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125730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62"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FORM 10-K</w:t>
      </w:r>
    </w:p>
    <w:p>
      <w:pPr>
        <w:spacing w:after="0" w:line="90" w:lineRule="exact"/>
        <w:rPr>
          <w:sz w:val="24"/>
          <w:szCs w:val="24"/>
          <w:color w:val="auto"/>
        </w:rPr>
      </w:pPr>
    </w:p>
    <w:p>
      <w:pPr>
        <w:ind w:left="6"/>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346" w:hanging="346"/>
        <w:spacing w:after="0"/>
        <w:tabs>
          <w:tab w:leader="none" w:pos="34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-104140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84" w:lineRule="exact"/>
        <w:rPr>
          <w:sz w:val="24"/>
          <w:szCs w:val="24"/>
          <w:color w:val="auto"/>
        </w:rPr>
      </w:pPr>
    </w:p>
    <w:p>
      <w:pPr>
        <w:ind w:left="346"/>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104" w:lineRule="exact"/>
        <w:rPr>
          <w:sz w:val="24"/>
          <w:szCs w:val="24"/>
          <w:color w:val="auto"/>
        </w:rPr>
      </w:pPr>
    </w:p>
    <w:p>
      <w:pPr>
        <w:ind w:left="346" w:hanging="346"/>
        <w:spacing w:after="0"/>
        <w:tabs>
          <w:tab w:leader="none" w:pos="34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-104140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84" w:lineRule="exact"/>
        <w:rPr>
          <w:sz w:val="24"/>
          <w:szCs w:val="24"/>
          <w:color w:val="auto"/>
        </w:rPr>
      </w:pPr>
    </w:p>
    <w:tbl>
      <w:tblPr>
        <w:tblLayout w:type="fixed"/>
        <w:tblInd w:w="346" w:type="dxa"/>
        <w:tblCellMar>
          <w:top w:w="0" w:type="dxa"/>
          <w:left w:w="0" w:type="dxa"/>
          <w:bottom w:w="0" w:type="dxa"/>
          <w:right w:w="0" w:type="dxa"/>
        </w:tblCellMar>
      </w:tblPr>
      <w:tr>
        <w:trPr>
          <w:trHeight w:val="234"/>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480" w:type="dxa"/>
            <w:vAlign w:val="bottom"/>
          </w:tcPr>
          <w:p>
            <w:pPr>
              <w:ind w:left="180"/>
              <w:spacing w:after="0"/>
              <w:rPr>
                <w:sz w:val="20"/>
                <w:szCs w:val="20"/>
                <w:color w:val="auto"/>
              </w:rPr>
            </w:pPr>
            <w:r>
              <w:rPr>
                <w:rFonts w:ascii="Arial" w:cs="Arial" w:eastAsia="Arial" w:hAnsi="Arial"/>
                <w:sz w:val="18"/>
                <w:szCs w:val="18"/>
                <w:b w:val="1"/>
                <w:bCs w:val="1"/>
                <w:color w:val="auto"/>
              </w:rPr>
              <w:t>to</w:t>
            </w:r>
          </w:p>
        </w:tc>
        <w:tc>
          <w:tcPr>
            <w:tcW w:w="5640" w:type="dxa"/>
            <w:vAlign w:val="bottom"/>
            <w:gridSpan w:val="5"/>
            <w:vMerge w:val="restart"/>
          </w:tcPr>
          <w:p>
            <w:pPr>
              <w:jc w:val="center"/>
              <w:ind w:right="2392"/>
              <w:spacing w:after="0"/>
              <w:rPr>
                <w:sz w:val="20"/>
                <w:szCs w:val="20"/>
                <w:color w:val="auto"/>
              </w:rPr>
            </w:pPr>
            <w:r>
              <w:rPr>
                <w:rFonts w:ascii="Arial" w:cs="Arial" w:eastAsia="Arial" w:hAnsi="Arial"/>
                <w:sz w:val="18"/>
                <w:szCs w:val="18"/>
                <w:b w:val="1"/>
                <w:bCs w:val="1"/>
                <w:color w:val="auto"/>
                <w:w w:val="89"/>
              </w:rPr>
              <w:t>Commission File No. 1-13079</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120" w:type="dxa"/>
            <w:vAlign w:val="bottom"/>
            <w:gridSpan w:val="6"/>
          </w:tcPr>
          <w:p>
            <w:pPr>
              <w:jc w:val="center"/>
              <w:ind w:right="1892"/>
              <w:spacing w:after="0"/>
              <w:rPr>
                <w:sz w:val="20"/>
                <w:szCs w:val="20"/>
                <w:color w:val="auto"/>
              </w:rPr>
            </w:pPr>
            <w:r>
              <w:rPr>
                <w:rFonts w:ascii="Arial" w:cs="Arial" w:eastAsia="Arial" w:hAnsi="Arial"/>
                <w:sz w:val="18"/>
                <w:szCs w:val="18"/>
                <w:b w:val="1"/>
                <w:bCs w:val="1"/>
                <w:color w:val="auto"/>
              </w:rPr>
              <w:t>RYMAN HOSPITALITY PROPERTIES, INC.</w:t>
            </w: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120" w:type="dxa"/>
            <w:vAlign w:val="bottom"/>
            <w:gridSpan w:val="6"/>
          </w:tcPr>
          <w:p>
            <w:pPr>
              <w:jc w:val="center"/>
              <w:ind w:right="1912"/>
              <w:spacing w:after="0"/>
              <w:rPr>
                <w:sz w:val="20"/>
                <w:szCs w:val="20"/>
                <w:color w:val="auto"/>
              </w:rPr>
            </w:pPr>
            <w:r>
              <w:rPr>
                <w:rFonts w:ascii="Arial" w:cs="Arial" w:eastAsia="Arial" w:hAnsi="Arial"/>
                <w:sz w:val="16"/>
                <w:szCs w:val="16"/>
                <w:i w:val="1"/>
                <w:iCs w:val="1"/>
                <w:color w:val="auto"/>
                <w:w w:val="92"/>
              </w:rPr>
              <w:t>(Exact Name of Registrant as Specified in Its Charter)</w:t>
            </w:r>
          </w:p>
        </w:tc>
        <w:tc>
          <w:tcPr>
            <w:tcW w:w="0" w:type="dxa"/>
            <w:vAlign w:val="bottom"/>
          </w:tcPr>
          <w:p>
            <w:pPr>
              <w:spacing w:after="0"/>
              <w:rPr>
                <w:sz w:val="1"/>
                <w:szCs w:val="1"/>
                <w:color w:val="auto"/>
              </w:rPr>
            </w:pPr>
          </w:p>
        </w:tc>
      </w:tr>
      <w:tr>
        <w:trPr>
          <w:trHeight w:val="293"/>
        </w:trPr>
        <w:tc>
          <w:tcPr>
            <w:tcW w:w="720" w:type="dxa"/>
            <w:vAlign w:val="bottom"/>
          </w:tcPr>
          <w:p>
            <w:pPr>
              <w:spacing w:after="0"/>
              <w:rPr>
                <w:sz w:val="24"/>
                <w:szCs w:val="24"/>
                <w:color w:val="auto"/>
              </w:rPr>
            </w:pPr>
          </w:p>
        </w:tc>
        <w:tc>
          <w:tcPr>
            <w:tcW w:w="2460" w:type="dxa"/>
            <w:vAlign w:val="bottom"/>
            <w:gridSpan w:val="2"/>
          </w:tcPr>
          <w:p>
            <w:pPr>
              <w:jc w:val="center"/>
              <w:ind w:left="1476"/>
              <w:spacing w:after="0"/>
              <w:rPr>
                <w:sz w:val="20"/>
                <w:szCs w:val="20"/>
                <w:color w:val="auto"/>
              </w:rPr>
            </w:pPr>
            <w:r>
              <w:rPr>
                <w:rFonts w:ascii="Arial" w:cs="Arial" w:eastAsia="Arial" w:hAnsi="Arial"/>
                <w:sz w:val="16"/>
                <w:szCs w:val="16"/>
                <w:b w:val="1"/>
                <w:bCs w:val="1"/>
                <w:color w:val="auto"/>
                <w:w w:val="93"/>
              </w:rPr>
              <w:t>Delaware</w:t>
            </w: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80" w:type="dxa"/>
            <w:vAlign w:val="bottom"/>
            <w:gridSpan w:val="3"/>
          </w:tcPr>
          <w:p>
            <w:pPr>
              <w:jc w:val="right"/>
              <w:ind w:right="1532"/>
              <w:spacing w:after="0"/>
              <w:rPr>
                <w:sz w:val="20"/>
                <w:szCs w:val="20"/>
                <w:color w:val="auto"/>
              </w:rPr>
            </w:pPr>
            <w:r>
              <w:rPr>
                <w:rFonts w:ascii="Arial" w:cs="Arial" w:eastAsia="Arial" w:hAnsi="Arial"/>
                <w:sz w:val="16"/>
                <w:szCs w:val="16"/>
                <w:b w:val="1"/>
                <w:bCs w:val="1"/>
                <w:color w:val="auto"/>
              </w:rPr>
              <w:t>73-0664379</w:t>
            </w:r>
          </w:p>
        </w:tc>
        <w:tc>
          <w:tcPr>
            <w:tcW w:w="0" w:type="dxa"/>
            <w:vAlign w:val="bottom"/>
          </w:tcPr>
          <w:p>
            <w:pPr>
              <w:spacing w:after="0"/>
              <w:rPr>
                <w:sz w:val="1"/>
                <w:szCs w:val="1"/>
                <w:color w:val="auto"/>
              </w:rPr>
            </w:pPr>
          </w:p>
        </w:tc>
      </w:tr>
      <w:tr>
        <w:trPr>
          <w:trHeight w:val="206"/>
        </w:trPr>
        <w:tc>
          <w:tcPr>
            <w:tcW w:w="5540" w:type="dxa"/>
            <w:vAlign w:val="bottom"/>
            <w:gridSpan w:val="5"/>
          </w:tcPr>
          <w:p>
            <w:pPr>
              <w:jc w:val="center"/>
              <w:ind w:right="10"/>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280" w:type="dxa"/>
            <w:vAlign w:val="bottom"/>
            <w:gridSpan w:val="3"/>
          </w:tcPr>
          <w:p>
            <w:pPr>
              <w:jc w:val="center"/>
              <w:ind w:right="632"/>
              <w:spacing w:after="0"/>
              <w:rPr>
                <w:sz w:val="20"/>
                <w:szCs w:val="20"/>
                <w:color w:val="auto"/>
              </w:rPr>
            </w:pPr>
            <w:r>
              <w:rPr>
                <w:rFonts w:ascii="Arial" w:cs="Arial" w:eastAsia="Arial" w:hAnsi="Arial"/>
                <w:sz w:val="16"/>
                <w:szCs w:val="16"/>
                <w:i w:val="1"/>
                <w:iCs w:val="1"/>
                <w:color w:val="auto"/>
                <w:w w:val="94"/>
              </w:rPr>
              <w:t>(I.R.S. Employer Identification No.)</w:t>
            </w:r>
          </w:p>
        </w:tc>
        <w:tc>
          <w:tcPr>
            <w:tcW w:w="0" w:type="dxa"/>
            <w:vAlign w:val="bottom"/>
          </w:tcPr>
          <w:p>
            <w:pPr>
              <w:spacing w:after="0"/>
              <w:rPr>
                <w:sz w:val="1"/>
                <w:szCs w:val="1"/>
                <w:color w:val="auto"/>
              </w:rPr>
            </w:pPr>
          </w:p>
        </w:tc>
      </w:tr>
      <w:tr>
        <w:trPr>
          <w:trHeight w:val="293"/>
        </w:trPr>
        <w:tc>
          <w:tcPr>
            <w:tcW w:w="720" w:type="dxa"/>
            <w:vAlign w:val="bottom"/>
          </w:tcPr>
          <w:p>
            <w:pPr>
              <w:spacing w:after="0"/>
              <w:rPr>
                <w:sz w:val="24"/>
                <w:szCs w:val="24"/>
                <w:color w:val="auto"/>
              </w:rPr>
            </w:pPr>
          </w:p>
        </w:tc>
        <w:tc>
          <w:tcPr>
            <w:tcW w:w="4820" w:type="dxa"/>
            <w:vAlign w:val="bottom"/>
            <w:gridSpan w:val="4"/>
          </w:tcPr>
          <w:p>
            <w:pPr>
              <w:jc w:val="center"/>
              <w:ind w:right="710"/>
              <w:spacing w:after="0"/>
              <w:rPr>
                <w:sz w:val="20"/>
                <w:szCs w:val="20"/>
                <w:color w:val="auto"/>
              </w:rPr>
            </w:pPr>
            <w:r>
              <w:rPr>
                <w:rFonts w:ascii="Arial" w:cs="Arial" w:eastAsia="Arial" w:hAnsi="Arial"/>
                <w:sz w:val="16"/>
                <w:szCs w:val="16"/>
                <w:b w:val="1"/>
                <w:bCs w:val="1"/>
                <w:color w:val="auto"/>
                <w:w w:val="90"/>
              </w:rPr>
              <w:t>One Gaylord Drive, Nashville, Tennessee</w:t>
            </w:r>
          </w:p>
        </w:tc>
        <w:tc>
          <w:tcPr>
            <w:tcW w:w="3280" w:type="dxa"/>
            <w:vAlign w:val="bottom"/>
            <w:gridSpan w:val="3"/>
          </w:tcPr>
          <w:p>
            <w:pPr>
              <w:jc w:val="right"/>
              <w:ind w:right="1712"/>
              <w:spacing w:after="0"/>
              <w:rPr>
                <w:sz w:val="20"/>
                <w:szCs w:val="20"/>
                <w:color w:val="auto"/>
              </w:rPr>
            </w:pPr>
            <w:r>
              <w:rPr>
                <w:rFonts w:ascii="Arial" w:cs="Arial" w:eastAsia="Arial" w:hAnsi="Arial"/>
                <w:sz w:val="16"/>
                <w:szCs w:val="16"/>
                <w:b w:val="1"/>
                <w:bCs w:val="1"/>
                <w:color w:val="auto"/>
              </w:rPr>
              <w:t>37214</w:t>
            </w: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4820" w:type="dxa"/>
            <w:vAlign w:val="bottom"/>
            <w:gridSpan w:val="4"/>
          </w:tcPr>
          <w:p>
            <w:pPr>
              <w:jc w:val="center"/>
              <w:ind w:right="710"/>
              <w:spacing w:after="0"/>
              <w:rPr>
                <w:sz w:val="20"/>
                <w:szCs w:val="20"/>
                <w:color w:val="auto"/>
              </w:rPr>
            </w:pPr>
            <w:r>
              <w:rPr>
                <w:rFonts w:ascii="Arial" w:cs="Arial" w:eastAsia="Arial" w:hAnsi="Arial"/>
                <w:sz w:val="16"/>
                <w:szCs w:val="16"/>
                <w:i w:val="1"/>
                <w:iCs w:val="1"/>
                <w:color w:val="auto"/>
                <w:w w:val="93"/>
              </w:rPr>
              <w:t>(Address of Principal Executive Offices)</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0" w:type="dxa"/>
            <w:vAlign w:val="bottom"/>
          </w:tcPr>
          <w:p>
            <w:pPr>
              <w:jc w:val="center"/>
              <w:ind w:right="1332"/>
              <w:spacing w:after="0"/>
              <w:rPr>
                <w:sz w:val="20"/>
                <w:szCs w:val="20"/>
                <w:color w:val="auto"/>
              </w:rPr>
            </w:pPr>
            <w:r>
              <w:rPr>
                <w:rFonts w:ascii="Arial" w:cs="Arial" w:eastAsia="Arial" w:hAnsi="Arial"/>
                <w:sz w:val="16"/>
                <w:szCs w:val="16"/>
                <w:i w:val="1"/>
                <w:iCs w:val="1"/>
                <w:color w:val="auto"/>
                <w:w w:val="92"/>
              </w:rPr>
              <w:t>(Zip Code)</w:t>
            </w:r>
          </w:p>
        </w:tc>
        <w:tc>
          <w:tcPr>
            <w:tcW w:w="0" w:type="dxa"/>
            <w:vAlign w:val="bottom"/>
          </w:tcPr>
          <w:p>
            <w:pPr>
              <w:spacing w:after="0"/>
              <w:rPr>
                <w:sz w:val="1"/>
                <w:szCs w:val="1"/>
                <w:color w:val="auto"/>
              </w:rPr>
            </w:pPr>
          </w:p>
        </w:tc>
      </w:tr>
      <w:tr>
        <w:trPr>
          <w:trHeight w:val="297"/>
        </w:trPr>
        <w:tc>
          <w:tcPr>
            <w:tcW w:w="720" w:type="dxa"/>
            <w:vAlign w:val="bottom"/>
          </w:tcPr>
          <w:p>
            <w:pPr>
              <w:spacing w:after="0"/>
              <w:rPr>
                <w:sz w:val="24"/>
                <w:szCs w:val="24"/>
                <w:color w:val="auto"/>
              </w:rPr>
            </w:pPr>
          </w:p>
        </w:tc>
        <w:tc>
          <w:tcPr>
            <w:tcW w:w="8100" w:type="dxa"/>
            <w:vAlign w:val="bottom"/>
            <w:gridSpan w:val="7"/>
          </w:tcPr>
          <w:p>
            <w:pPr>
              <w:jc w:val="center"/>
              <w:spacing w:after="0"/>
              <w:rPr>
                <w:sz w:val="20"/>
                <w:szCs w:val="20"/>
                <w:color w:val="auto"/>
              </w:rPr>
            </w:pPr>
            <w:r>
              <w:rPr>
                <w:rFonts w:ascii="Arial" w:cs="Arial" w:eastAsia="Arial" w:hAnsi="Arial"/>
                <w:sz w:val="16"/>
                <w:szCs w:val="16"/>
                <w:b w:val="1"/>
                <w:bCs w:val="1"/>
                <w:color w:val="auto"/>
                <w:w w:val="92"/>
              </w:rPr>
              <w:t>Registrant’s Telephone Number, Including Area Code: (615) 316-6000</w:t>
            </w:r>
          </w:p>
        </w:tc>
        <w:tc>
          <w:tcPr>
            <w:tcW w:w="0" w:type="dxa"/>
            <w:vAlign w:val="bottom"/>
          </w:tcPr>
          <w:p>
            <w:pPr>
              <w:spacing w:after="0"/>
              <w:rPr>
                <w:sz w:val="1"/>
                <w:szCs w:val="1"/>
                <w:color w:val="auto"/>
              </w:rPr>
            </w:pPr>
          </w:p>
        </w:tc>
      </w:tr>
      <w:tr>
        <w:trPr>
          <w:trHeight w:val="297"/>
        </w:trPr>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120" w:type="dxa"/>
            <w:vAlign w:val="bottom"/>
            <w:gridSpan w:val="6"/>
          </w:tcPr>
          <w:p>
            <w:pPr>
              <w:jc w:val="center"/>
              <w:ind w:right="1892"/>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0" w:type="dxa"/>
            <w:vAlign w:val="bottom"/>
          </w:tcPr>
          <w:p>
            <w:pPr>
              <w:spacing w:after="0"/>
              <w:rPr>
                <w:sz w:val="1"/>
                <w:szCs w:val="1"/>
                <w:color w:val="auto"/>
              </w:rPr>
            </w:pPr>
          </w:p>
        </w:tc>
      </w:tr>
      <w:tr>
        <w:trPr>
          <w:trHeight w:val="302"/>
        </w:trPr>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Name of Each Exchange on</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980" w:type="dxa"/>
            <w:vAlign w:val="bottom"/>
            <w:tcBorders>
              <w:bottom w:val="single" w:sz="8" w:color="auto"/>
            </w:tcBorders>
          </w:tcPr>
          <w:p>
            <w:pPr>
              <w:jc w:val="center"/>
              <w:ind w:left="396"/>
              <w:spacing w:after="0"/>
              <w:rPr>
                <w:sz w:val="20"/>
                <w:szCs w:val="20"/>
                <w:color w:val="auto"/>
              </w:rPr>
            </w:pPr>
            <w:r>
              <w:rPr>
                <w:rFonts w:ascii="Arial" w:cs="Arial" w:eastAsia="Arial" w:hAnsi="Arial"/>
                <w:sz w:val="18"/>
                <w:szCs w:val="18"/>
                <w:color w:val="auto"/>
                <w:w w:val="91"/>
              </w:rPr>
              <w:t>Title of Each Class</w:t>
            </w:r>
          </w:p>
        </w:tc>
        <w:tc>
          <w:tcPr>
            <w:tcW w:w="48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8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1"/>
              </w:rPr>
              <w:t>Trading Symbol(s)</w:t>
            </w:r>
          </w:p>
        </w:tc>
        <w:tc>
          <w:tcPr>
            <w:tcW w:w="2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Which Registered</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0"/>
              </w:rPr>
              <w:t>Common stock, par value $.01</w:t>
            </w:r>
          </w:p>
        </w:tc>
        <w:tc>
          <w:tcPr>
            <w:tcW w:w="500" w:type="dxa"/>
            <w:vAlign w:val="bottom"/>
          </w:tcPr>
          <w:p>
            <w:pPr>
              <w:spacing w:after="0"/>
              <w:rPr>
                <w:sz w:val="19"/>
                <w:szCs w:val="19"/>
                <w:color w:val="auto"/>
              </w:rPr>
            </w:pPr>
          </w:p>
        </w:tc>
        <w:tc>
          <w:tcPr>
            <w:tcW w:w="1860" w:type="dxa"/>
            <w:vAlign w:val="bottom"/>
          </w:tcPr>
          <w:p>
            <w:pPr>
              <w:jc w:val="center"/>
              <w:ind w:left="150"/>
              <w:spacing w:after="0"/>
              <w:rPr>
                <w:sz w:val="20"/>
                <w:szCs w:val="20"/>
                <w:color w:val="auto"/>
              </w:rPr>
            </w:pPr>
            <w:r>
              <w:rPr>
                <w:rFonts w:ascii="Arial" w:cs="Arial" w:eastAsia="Arial" w:hAnsi="Arial"/>
                <w:sz w:val="18"/>
                <w:szCs w:val="18"/>
                <w:color w:val="auto"/>
                <w:w w:val="89"/>
              </w:rPr>
              <w:t>RHP</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74"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6"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NONE</w:t>
      </w:r>
    </w:p>
    <w:p>
      <w:pPr>
        <w:spacing w:after="0" w:line="19" w:lineRule="exact"/>
        <w:rPr>
          <w:sz w:val="24"/>
          <w:szCs w:val="24"/>
          <w:color w:val="auto"/>
        </w:rPr>
      </w:pPr>
    </w:p>
    <w:p>
      <w:pPr>
        <w:jc w:val="center"/>
        <w:ind w:right="-5"/>
        <w:spacing w:after="0"/>
        <w:rPr>
          <w:sz w:val="20"/>
          <w:szCs w:val="20"/>
          <w:color w:val="auto"/>
        </w:rPr>
      </w:pPr>
      <w:r>
        <w:rPr>
          <w:rFonts w:ascii="Arial" w:cs="Arial" w:eastAsia="Arial" w:hAnsi="Arial"/>
          <w:sz w:val="16"/>
          <w:szCs w:val="16"/>
          <w:i w:val="1"/>
          <w:iCs w:val="1"/>
          <w:color w:val="auto"/>
        </w:rPr>
        <w:t>(Title of Class)</w:t>
      </w:r>
    </w:p>
    <w:p>
      <w:pPr>
        <w:spacing w:after="0" w:line="83" w:lineRule="exact"/>
        <w:rPr>
          <w:sz w:val="24"/>
          <w:szCs w:val="24"/>
          <w:color w:val="auto"/>
        </w:rPr>
      </w:pPr>
    </w:p>
    <w:p>
      <w:pPr>
        <w:ind w:left="6" w:right="3000"/>
        <w:spacing w:after="0" w:line="22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 Indicate by check mark if the registrant is not required to file reports pursuant to Section 13 or Section 15(d) of the Act.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w:t>
      </w:r>
    </w:p>
    <w:p>
      <w:pPr>
        <w:spacing w:after="0" w:line="43" w:lineRule="exact"/>
        <w:rPr>
          <w:sz w:val="24"/>
          <w:szCs w:val="24"/>
          <w:color w:val="auto"/>
        </w:rPr>
      </w:pPr>
    </w:p>
    <w:p>
      <w:pPr>
        <w:ind w:left="6" w:right="20"/>
        <w:spacing w:after="0" w:line="16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57" w:lineRule="exact"/>
        <w:rPr>
          <w:sz w:val="24"/>
          <w:szCs w:val="24"/>
          <w:color w:val="auto"/>
        </w:rPr>
      </w:pPr>
    </w:p>
    <w:p>
      <w:pPr>
        <w:ind w:left="6"/>
        <w:spacing w:after="0" w:line="168"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57" w:lineRule="exact"/>
        <w:rPr>
          <w:sz w:val="24"/>
          <w:szCs w:val="24"/>
          <w:color w:val="auto"/>
        </w:rPr>
      </w:pPr>
    </w:p>
    <w:p>
      <w:pPr>
        <w:ind w:left="6"/>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0226"/>
          </w:cols>
          <w:pgMar w:left="834" w:top="665" w:right="839" w:bottom="1440" w:gutter="0" w:footer="0" w:header="0"/>
        </w:sectPr>
      </w:pPr>
    </w:p>
    <w:p>
      <w:pPr>
        <w:spacing w:after="0" w:line="12" w:lineRule="exact"/>
        <w:rPr>
          <w:sz w:val="24"/>
          <w:szCs w:val="24"/>
          <w:color w:val="auto"/>
        </w:rPr>
      </w:pPr>
    </w:p>
    <w:p>
      <w:pPr>
        <w:ind w:left="906"/>
        <w:spacing w:after="0" w:line="161" w:lineRule="exact"/>
        <w:rPr>
          <w:sz w:val="20"/>
          <w:szCs w:val="20"/>
          <w:color w:val="auto"/>
        </w:rPr>
      </w:pPr>
      <w:r>
        <w:rPr>
          <w:rFonts w:ascii="Arial" w:cs="Arial" w:eastAsia="Arial" w:hAnsi="Arial"/>
          <w:sz w:val="12"/>
          <w:szCs w:val="12"/>
          <w:color w:val="auto"/>
        </w:rPr>
        <w:t xml:space="preserve">Large accelerated filer </w:t>
      </w:r>
      <w:r>
        <w:rPr>
          <w:rFonts w:ascii="Arial Unicode MS" w:cs="Arial Unicode MS" w:eastAsia="Arial Unicode MS" w:hAnsi="Arial Unicode MS"/>
          <w:sz w:val="12"/>
          <w:szCs w:val="12"/>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2"/>
          <w:szCs w:val="12"/>
          <w:color w:val="auto"/>
        </w:rPr>
        <w:t xml:space="preserve">Accelerated filer </w:t>
      </w:r>
      <w:r>
        <w:rPr>
          <w:rFonts w:ascii="Arial Unicode MS" w:cs="Arial Unicode MS" w:eastAsia="Arial Unicode MS" w:hAnsi="Arial Unicode MS"/>
          <w:sz w:val="12"/>
          <w:szCs w:val="12"/>
          <w:color w:val="auto"/>
        </w:rPr>
        <w:t>☐</w:t>
      </w:r>
    </w:p>
    <w:p>
      <w:pPr>
        <w:spacing w:after="0" w:line="136" w:lineRule="exact"/>
        <w:rPr>
          <w:sz w:val="24"/>
          <w:szCs w:val="24"/>
          <w:color w:val="auto"/>
        </w:rPr>
      </w:pPr>
    </w:p>
    <w:p>
      <w:pPr>
        <w:sectPr>
          <w:pgSz w:w="11900" w:h="16838" w:orient="portrait"/>
          <w:cols w:equalWidth="0" w:num="2">
            <w:col w:w="3466" w:space="720"/>
            <w:col w:w="6040"/>
          </w:cols>
          <w:pgMar w:left="834" w:top="665" w:right="839" w:bottom="1440" w:gutter="0" w:footer="0" w:header="0"/>
          <w:type w:val="continuous"/>
        </w:sectPr>
      </w:pPr>
    </w:p>
    <w:p>
      <w:pPr>
        <w:ind w:left="906"/>
        <w:spacing w:after="0" w:line="161" w:lineRule="exact"/>
        <w:rPr>
          <w:sz w:val="20"/>
          <w:szCs w:val="20"/>
          <w:color w:val="auto"/>
        </w:rPr>
      </w:pPr>
      <w:r>
        <w:rPr>
          <w:rFonts w:ascii="Arial" w:cs="Arial" w:eastAsia="Arial" w:hAnsi="Arial"/>
          <w:sz w:val="12"/>
          <w:szCs w:val="12"/>
          <w:color w:val="auto"/>
        </w:rPr>
        <w:t xml:space="preserve">Non-accelerated filer </w:t>
      </w:r>
      <w:r>
        <w:rPr>
          <w:rFonts w:ascii="Arial Unicode MS" w:cs="Arial Unicode MS" w:eastAsia="Arial Unicode MS" w:hAnsi="Arial Unicode MS"/>
          <w:sz w:val="12"/>
          <w:szCs w:val="12"/>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2"/>
          <w:szCs w:val="12"/>
          <w:color w:val="auto"/>
        </w:rPr>
        <w:t xml:space="preserve">Smaller reporting company </w:t>
      </w:r>
      <w:r>
        <w:rPr>
          <w:rFonts w:ascii="Arial Unicode MS" w:cs="Arial Unicode MS" w:eastAsia="Arial Unicode MS" w:hAnsi="Arial Unicode MS"/>
          <w:sz w:val="12"/>
          <w:szCs w:val="12"/>
          <w:color w:val="auto"/>
        </w:rPr>
        <w:t>☐</w:t>
      </w:r>
    </w:p>
    <w:p>
      <w:pPr>
        <w:spacing w:after="0" w:line="25" w:lineRule="exact"/>
        <w:rPr>
          <w:sz w:val="24"/>
          <w:szCs w:val="24"/>
          <w:color w:val="auto"/>
        </w:rPr>
      </w:pPr>
    </w:p>
    <w:p>
      <w:pPr>
        <w:spacing w:after="0" w:line="161" w:lineRule="exact"/>
        <w:rPr>
          <w:sz w:val="20"/>
          <w:szCs w:val="20"/>
          <w:color w:val="auto"/>
        </w:rPr>
      </w:pPr>
      <w:r>
        <w:rPr>
          <w:rFonts w:ascii="Arial" w:cs="Arial" w:eastAsia="Arial" w:hAnsi="Arial"/>
          <w:sz w:val="12"/>
          <w:szCs w:val="12"/>
          <w:color w:val="auto"/>
        </w:rPr>
        <w:t xml:space="preserve">Emerging growth company </w:t>
      </w:r>
      <w:r>
        <w:rPr>
          <w:rFonts w:ascii="Arial Unicode MS" w:cs="Arial Unicode MS" w:eastAsia="Arial Unicode MS" w:hAnsi="Arial Unicode MS"/>
          <w:sz w:val="12"/>
          <w:szCs w:val="12"/>
          <w:color w:val="auto"/>
        </w:rPr>
        <w:t>☐</w:t>
      </w:r>
    </w:p>
    <w:p>
      <w:pPr>
        <w:spacing w:after="0" w:line="124" w:lineRule="exact"/>
        <w:rPr>
          <w:sz w:val="24"/>
          <w:szCs w:val="24"/>
          <w:color w:val="auto"/>
        </w:rPr>
      </w:pPr>
    </w:p>
    <w:p>
      <w:pPr>
        <w:sectPr>
          <w:pgSz w:w="11900" w:h="16838" w:orient="portrait"/>
          <w:cols w:equalWidth="0" w:num="2">
            <w:col w:w="3466" w:space="720"/>
            <w:col w:w="6040"/>
          </w:cols>
          <w:pgMar w:left="834" w:top="665" w:right="839" w:bottom="1440" w:gutter="0" w:footer="0" w:header="0"/>
          <w:type w:val="continuous"/>
        </w:sectPr>
      </w:pPr>
    </w:p>
    <w:p>
      <w:pPr>
        <w:jc w:val="both"/>
        <w:ind w:left="6"/>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jc w:val="both"/>
        <w:ind w:left="6"/>
        <w:spacing w:after="0" w:line="168"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32" w:lineRule="exact"/>
        <w:rPr>
          <w:sz w:val="24"/>
          <w:szCs w:val="24"/>
          <w:color w:val="auto"/>
        </w:rPr>
      </w:pPr>
    </w:p>
    <w:p>
      <w:pPr>
        <w:ind w:left="6"/>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80" w:lineRule="exact"/>
        <w:rPr>
          <w:sz w:val="24"/>
          <w:szCs w:val="24"/>
          <w:color w:val="auto"/>
        </w:rPr>
      </w:pPr>
    </w:p>
    <w:p>
      <w:pPr>
        <w:jc w:val="both"/>
        <w:ind w:left="6"/>
        <w:spacing w:after="0" w:line="256" w:lineRule="auto"/>
        <w:rPr>
          <w:sz w:val="20"/>
          <w:szCs w:val="20"/>
          <w:color w:val="auto"/>
        </w:rPr>
      </w:pPr>
      <w:r>
        <w:rPr>
          <w:rFonts w:ascii="Arial" w:cs="Arial" w:eastAsia="Arial" w:hAnsi="Arial"/>
          <w:sz w:val="13"/>
          <w:szCs w:val="13"/>
          <w:color w:val="auto"/>
        </w:rPr>
        <w:t>The aggregate market value of the shares of Common Stock held by non-affiliates of the registrant based on the closing price of the Common Stock on the New York Stock Exchange on June 30, 2020 of $34.60 per share was approximately $1,752,136,111 (assuming for this purpose that shares beneficially owned by persons other than officers or directors of the registrant, and their affiliates, are held by non-affiliates).</w:t>
      </w:r>
    </w:p>
    <w:p>
      <w:pPr>
        <w:spacing w:after="0" w:line="62" w:lineRule="exact"/>
        <w:rPr>
          <w:sz w:val="24"/>
          <w:szCs w:val="24"/>
          <w:color w:val="auto"/>
        </w:rPr>
      </w:pPr>
    </w:p>
    <w:p>
      <w:pPr>
        <w:ind w:left="6"/>
        <w:spacing w:after="0"/>
        <w:rPr>
          <w:sz w:val="20"/>
          <w:szCs w:val="20"/>
          <w:color w:val="auto"/>
        </w:rPr>
      </w:pPr>
      <w:r>
        <w:rPr>
          <w:rFonts w:ascii="Arial" w:cs="Arial" w:eastAsia="Arial" w:hAnsi="Arial"/>
          <w:sz w:val="13"/>
          <w:szCs w:val="13"/>
          <w:color w:val="auto"/>
        </w:rPr>
        <w:t>As of January 31, 2021, there were 54,983,526 shares of Common Stock outstanding.</w:t>
      </w:r>
    </w:p>
    <w:p>
      <w:pPr>
        <w:spacing w:after="0" w:line="90"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3" w:lineRule="exact"/>
        <w:rPr>
          <w:sz w:val="24"/>
          <w:szCs w:val="24"/>
          <w:color w:val="auto"/>
        </w:rPr>
      </w:pPr>
    </w:p>
    <w:p>
      <w:pPr>
        <w:jc w:val="both"/>
        <w:ind w:left="6"/>
        <w:spacing w:after="0" w:line="258" w:lineRule="auto"/>
        <w:rPr>
          <w:sz w:val="20"/>
          <w:szCs w:val="20"/>
          <w:color w:val="auto"/>
        </w:rPr>
      </w:pPr>
      <w:r>
        <w:rPr>
          <w:rFonts w:ascii="Arial" w:cs="Arial" w:eastAsia="Arial" w:hAnsi="Arial"/>
          <w:sz w:val="13"/>
          <w:szCs w:val="13"/>
          <w:color w:val="auto"/>
        </w:rPr>
        <w:t>Portions of the registrant’s definitive Proxy Statement for the 2021 Annual Meeting of Stockholders to be filed with the Securities and Exchange Commission are incorporated by reference into Part III of this Form 10-K</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643890</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43815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112395</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26"/>
          </w:cols>
          <w:pgMar w:left="834"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RYMAN HOSPITALITY PROPERTIES,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ANNUAL REPORT ON FORM 10-K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r>
      <w:tr>
        <w:trPr>
          <w:trHeight w:val="425"/>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80" w:type="dxa"/>
            <w:vAlign w:val="bottom"/>
            <w:gridSpan w:val="2"/>
          </w:tcPr>
          <w:p>
            <w:pPr>
              <w:jc w:val="center"/>
              <w:ind w:right="840"/>
              <w:spacing w:after="0"/>
              <w:rPr>
                <w:rFonts w:ascii="Arial" w:cs="Arial" w:eastAsia="Arial" w:hAnsi="Arial"/>
                <w:sz w:val="18"/>
                <w:szCs w:val="18"/>
                <w:b w:val="1"/>
                <w:bCs w:val="1"/>
                <w:u w:val="single" w:color="auto"/>
                <w:color w:val="0000EE"/>
                <w:w w:val="98"/>
              </w:rPr>
            </w:pPr>
            <w:hyperlink w:anchor="page3">
              <w:r>
                <w:rPr>
                  <w:rFonts w:ascii="Arial" w:cs="Arial" w:eastAsia="Arial" w:hAnsi="Arial"/>
                  <w:sz w:val="18"/>
                  <w:szCs w:val="18"/>
                  <w:b w:val="1"/>
                  <w:bCs w:val="1"/>
                  <w:u w:val="single" w:color="auto"/>
                  <w:color w:val="0000EE"/>
                  <w:w w:val="98"/>
                </w:rPr>
                <w:t>PART I</w:t>
              </w:r>
            </w:hyperlink>
          </w:p>
        </w:tc>
        <w:tc>
          <w:tcPr>
            <w:tcW w:w="840" w:type="dxa"/>
            <w:vAlign w:val="bottom"/>
          </w:tcPr>
          <w:p>
            <w:pPr>
              <w:spacing w:after="0"/>
              <w:rPr>
                <w:sz w:val="24"/>
                <w:szCs w:val="24"/>
                <w:color w:val="auto"/>
              </w:rPr>
            </w:pPr>
          </w:p>
        </w:tc>
      </w:tr>
      <w:tr>
        <w:trPr>
          <w:trHeight w:val="418"/>
        </w:trPr>
        <w:tc>
          <w:tcPr>
            <w:tcW w:w="660" w:type="dxa"/>
            <w:vAlign w:val="bottom"/>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w:t>
              </w:r>
            </w:hyperlink>
          </w:p>
        </w:tc>
        <w:tc>
          <w:tcPr>
            <w:tcW w:w="742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080" w:type="dxa"/>
            <w:vAlign w:val="bottom"/>
            <w:gridSpan w:val="5"/>
          </w:tcPr>
          <w:p>
            <w:pPr>
              <w:ind w:left="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 xml:space="preserve">Item </w:t>
              </w:r>
            </w:hyperlink>
            <w:r>
              <w:rPr>
                <w:rFonts w:ascii="Arial" w:cs="Arial" w:eastAsia="Arial" w:hAnsi="Arial"/>
                <w:sz w:val="18"/>
                <w:szCs w:val="18"/>
                <w:u w:val="single" w:color="auto"/>
                <w:color w:val="0000EE"/>
              </w:rPr>
              <w:t xml:space="preserve">1A.Risk </w:t>
            </w:r>
            <w:hyperlink w:anchor="page18">
              <w:r>
                <w:rPr>
                  <w:rFonts w:ascii="Arial" w:cs="Arial" w:eastAsia="Arial" w:hAnsi="Arial"/>
                  <w:sz w:val="18"/>
                  <w:szCs w:val="18"/>
                  <w:u w:val="single" w:color="auto"/>
                  <w:color w:val="0000EE"/>
                </w:rPr>
                <w:t>Factors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080" w:type="dxa"/>
            <w:vAlign w:val="bottom"/>
            <w:gridSpan w:val="5"/>
          </w:tcPr>
          <w:p>
            <w:pPr>
              <w:ind w:left="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1B.Unresolved Staff Comments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660" w:type="dxa"/>
            <w:vAlign w:val="bottom"/>
          </w:tcPr>
          <w:p>
            <w:pPr>
              <w:ind w:left="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2.</w:t>
              </w:r>
            </w:hyperlink>
          </w:p>
        </w:tc>
        <w:tc>
          <w:tcPr>
            <w:tcW w:w="742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Properties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60" w:type="dxa"/>
            <w:vAlign w:val="bottom"/>
          </w:tcPr>
          <w:p>
            <w:pPr>
              <w:ind w:left="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3.</w:t>
              </w:r>
            </w:hyperlink>
          </w:p>
        </w:tc>
        <w:tc>
          <w:tcPr>
            <w:tcW w:w="7420" w:type="dxa"/>
            <w:vAlign w:val="bottom"/>
            <w:gridSpan w:val="4"/>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660" w:type="dxa"/>
            <w:vAlign w:val="bottom"/>
          </w:tcPr>
          <w:p>
            <w:pPr>
              <w:ind w:left="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4.</w:t>
              </w:r>
            </w:hyperlink>
          </w:p>
        </w:tc>
        <w:tc>
          <w:tcPr>
            <w:tcW w:w="7420" w:type="dxa"/>
            <w:vAlign w:val="bottom"/>
            <w:gridSpan w:val="4"/>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Mine Safety Disclosures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80" w:type="dxa"/>
            <w:vAlign w:val="bottom"/>
            <w:gridSpan w:val="2"/>
          </w:tcPr>
          <w:p>
            <w:pPr>
              <w:jc w:val="center"/>
              <w:ind w:right="84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PART II</w:t>
              </w:r>
            </w:hyperlink>
          </w:p>
        </w:tc>
        <w:tc>
          <w:tcPr>
            <w:tcW w:w="840" w:type="dxa"/>
            <w:vAlign w:val="bottom"/>
          </w:tcPr>
          <w:p>
            <w:pPr>
              <w:spacing w:after="0"/>
              <w:rPr>
                <w:sz w:val="24"/>
                <w:szCs w:val="24"/>
                <w:color w:val="auto"/>
              </w:rPr>
            </w:pPr>
          </w:p>
        </w:tc>
      </w:tr>
      <w:tr>
        <w:trPr>
          <w:trHeight w:val="392"/>
        </w:trPr>
        <w:tc>
          <w:tcPr>
            <w:tcW w:w="660" w:type="dxa"/>
            <w:vAlign w:val="bottom"/>
          </w:tcPr>
          <w:p>
            <w:pPr>
              <w:ind w:left="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5.</w:t>
              </w:r>
            </w:hyperlink>
          </w:p>
        </w:tc>
        <w:tc>
          <w:tcPr>
            <w:tcW w:w="7420" w:type="dxa"/>
            <w:vAlign w:val="bottom"/>
            <w:gridSpan w:val="4"/>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Market for Registrant’s Common Equity, Related Stockholder Matters and Issuer Purchases of Equity</w:t>
              </w:r>
            </w:hyperlink>
          </w:p>
        </w:tc>
        <w:tc>
          <w:tcPr>
            <w:tcW w:w="84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Securities</w:t>
              </w:r>
            </w:hyperlink>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2"/>
        </w:trPr>
        <w:tc>
          <w:tcPr>
            <w:tcW w:w="660" w:type="dxa"/>
            <w:vAlign w:val="bottom"/>
          </w:tcPr>
          <w:p>
            <w:pPr>
              <w:ind w:left="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7.</w:t>
              </w:r>
            </w:hyperlink>
          </w:p>
        </w:tc>
        <w:tc>
          <w:tcPr>
            <w:tcW w:w="7420" w:type="dxa"/>
            <w:vAlign w:val="bottom"/>
            <w:gridSpan w:val="4"/>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Management’s Discussion and Analysis of Financial Condition and Results of Operations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080" w:type="dxa"/>
            <w:vAlign w:val="bottom"/>
            <w:gridSpan w:val="5"/>
          </w:tcPr>
          <w:p>
            <w:pPr>
              <w:ind w:left="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7A.Quantitative and Qualitative Disclosures About Market Risk</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60" w:type="dxa"/>
            <w:vAlign w:val="bottom"/>
          </w:tcPr>
          <w:p>
            <w:pPr>
              <w:ind w:left="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Item 8.</w:t>
              </w:r>
            </w:hyperlink>
          </w:p>
        </w:tc>
        <w:tc>
          <w:tcPr>
            <w:tcW w:w="7420" w:type="dxa"/>
            <w:vAlign w:val="bottom"/>
            <w:gridSpan w:val="4"/>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Financial Statements and Supplementary Data</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60" w:type="dxa"/>
            <w:vAlign w:val="bottom"/>
          </w:tcPr>
          <w:p>
            <w:pPr>
              <w:ind w:left="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Item 9.</w:t>
              </w:r>
            </w:hyperlink>
          </w:p>
        </w:tc>
        <w:tc>
          <w:tcPr>
            <w:tcW w:w="7420" w:type="dxa"/>
            <w:vAlign w:val="bottom"/>
            <w:gridSpan w:val="4"/>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Changes in and Disagreements with Accountants on Accounting and Financial Disclosure</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080" w:type="dxa"/>
            <w:vAlign w:val="bottom"/>
            <w:gridSpan w:val="5"/>
          </w:tcPr>
          <w:p>
            <w:pPr>
              <w:ind w:left="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9A.Controls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080" w:type="dxa"/>
            <w:vAlign w:val="bottom"/>
            <w:gridSpan w:val="5"/>
          </w:tcPr>
          <w:p>
            <w:pPr>
              <w:ind w:left="2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9B.Other Information</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80" w:type="dxa"/>
            <w:vAlign w:val="bottom"/>
            <w:gridSpan w:val="2"/>
          </w:tcPr>
          <w:p>
            <w:pPr>
              <w:jc w:val="center"/>
              <w:ind w:right="840"/>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PART III</w:t>
              </w:r>
            </w:hyperlink>
          </w:p>
        </w:tc>
        <w:tc>
          <w:tcPr>
            <w:tcW w:w="840" w:type="dxa"/>
            <w:vAlign w:val="bottom"/>
          </w:tcPr>
          <w:p>
            <w:pPr>
              <w:spacing w:after="0"/>
              <w:rPr>
                <w:sz w:val="24"/>
                <w:szCs w:val="24"/>
                <w:color w:val="auto"/>
              </w:rPr>
            </w:pPr>
          </w:p>
        </w:tc>
      </w:tr>
      <w:tr>
        <w:trPr>
          <w:trHeight w:val="418"/>
        </w:trPr>
        <w:tc>
          <w:tcPr>
            <w:tcW w:w="660" w:type="dxa"/>
            <w:vAlign w:val="bottom"/>
          </w:tcPr>
          <w:p>
            <w:pPr>
              <w:ind w:left="20"/>
              <w:spacing w:after="0"/>
              <w:rPr>
                <w:rFonts w:ascii="Arial" w:cs="Arial" w:eastAsia="Arial" w:hAnsi="Arial"/>
                <w:sz w:val="18"/>
                <w:szCs w:val="18"/>
                <w:u w:val="single" w:color="auto"/>
                <w:color w:val="0000EE"/>
                <w:w w:val="95"/>
              </w:rPr>
            </w:pPr>
            <w:hyperlink w:anchor="page74">
              <w:r>
                <w:rPr>
                  <w:rFonts w:ascii="Arial" w:cs="Arial" w:eastAsia="Arial" w:hAnsi="Arial"/>
                  <w:sz w:val="18"/>
                  <w:szCs w:val="18"/>
                  <w:u w:val="single" w:color="auto"/>
                  <w:color w:val="0000EE"/>
                  <w:w w:val="95"/>
                </w:rPr>
                <w:t>Item 10.</w:t>
              </w:r>
            </w:hyperlink>
          </w:p>
        </w:tc>
        <w:tc>
          <w:tcPr>
            <w:tcW w:w="7420" w:type="dxa"/>
            <w:vAlign w:val="bottom"/>
            <w:gridSpan w:val="4"/>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Directors, Executive Officers and Corporate Governance</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080" w:type="dxa"/>
            <w:vAlign w:val="bottom"/>
            <w:gridSpan w:val="5"/>
          </w:tcPr>
          <w:p>
            <w:pPr>
              <w:ind w:left="20"/>
              <w:spacing w:after="0"/>
              <w:rPr>
                <w:rFonts w:ascii="Arial" w:cs="Arial" w:eastAsia="Arial" w:hAnsi="Arial"/>
                <w:sz w:val="18"/>
                <w:szCs w:val="18"/>
                <w:color w:val="0000EE"/>
              </w:rPr>
            </w:pPr>
            <w:hyperlink w:anchor="page74">
              <w:r>
                <w:rPr>
                  <w:rFonts w:ascii="Arial" w:cs="Arial" w:eastAsia="Arial" w:hAnsi="Arial"/>
                  <w:sz w:val="18"/>
                  <w:szCs w:val="18"/>
                  <w:u w:val="single" w:color="auto"/>
                  <w:color w:val="0000EE"/>
                </w:rPr>
                <w:t>Item 11</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Executive Compensation</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660" w:type="dxa"/>
            <w:vAlign w:val="bottom"/>
          </w:tcPr>
          <w:p>
            <w:pPr>
              <w:ind w:left="20"/>
              <w:spacing w:after="0"/>
              <w:rPr>
                <w:rFonts w:ascii="Arial" w:cs="Arial" w:eastAsia="Arial" w:hAnsi="Arial"/>
                <w:sz w:val="18"/>
                <w:szCs w:val="18"/>
                <w:u w:val="single" w:color="auto"/>
                <w:color w:val="0000EE"/>
                <w:w w:val="95"/>
              </w:rPr>
            </w:pPr>
            <w:hyperlink w:anchor="page75">
              <w:r>
                <w:rPr>
                  <w:rFonts w:ascii="Arial" w:cs="Arial" w:eastAsia="Arial" w:hAnsi="Arial"/>
                  <w:sz w:val="18"/>
                  <w:szCs w:val="18"/>
                  <w:u w:val="single" w:color="auto"/>
                  <w:color w:val="0000EE"/>
                  <w:w w:val="95"/>
                </w:rPr>
                <w:t>Item 12.</w:t>
              </w:r>
            </w:hyperlink>
          </w:p>
        </w:tc>
        <w:tc>
          <w:tcPr>
            <w:tcW w:w="7420" w:type="dxa"/>
            <w:vAlign w:val="bottom"/>
            <w:gridSpan w:val="4"/>
          </w:tcPr>
          <w:p>
            <w:pPr>
              <w:spacing w:after="0"/>
              <w:rPr>
                <w:rFonts w:ascii="Arial" w:cs="Arial" w:eastAsia="Arial" w:hAnsi="Arial"/>
                <w:sz w:val="18"/>
                <w:szCs w:val="18"/>
                <w:u w:val="single" w:color="auto"/>
                <w:color w:val="0000EE"/>
                <w:w w:val="92"/>
              </w:rPr>
            </w:pPr>
            <w:hyperlink w:anchor="page75">
              <w:r>
                <w:rPr>
                  <w:rFonts w:ascii="Arial" w:cs="Arial" w:eastAsia="Arial" w:hAnsi="Arial"/>
                  <w:sz w:val="18"/>
                  <w:szCs w:val="18"/>
                  <w:u w:val="single" w:color="auto"/>
                  <w:color w:val="0000EE"/>
                  <w:w w:val="92"/>
                </w:rPr>
                <w:t>Security Ownership of Certain Beneficial Owners and Management and Related Stockholder Matters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60" w:type="dxa"/>
            <w:vAlign w:val="bottom"/>
          </w:tcPr>
          <w:p>
            <w:pPr>
              <w:ind w:left="20"/>
              <w:spacing w:after="0"/>
              <w:rPr>
                <w:rFonts w:ascii="Arial" w:cs="Arial" w:eastAsia="Arial" w:hAnsi="Arial"/>
                <w:sz w:val="18"/>
                <w:szCs w:val="18"/>
                <w:u w:val="single" w:color="auto"/>
                <w:color w:val="0000EE"/>
                <w:w w:val="95"/>
              </w:rPr>
            </w:pPr>
            <w:hyperlink w:anchor="page75">
              <w:r>
                <w:rPr>
                  <w:rFonts w:ascii="Arial" w:cs="Arial" w:eastAsia="Arial" w:hAnsi="Arial"/>
                  <w:sz w:val="18"/>
                  <w:szCs w:val="18"/>
                  <w:u w:val="single" w:color="auto"/>
                  <w:color w:val="0000EE"/>
                  <w:w w:val="95"/>
                </w:rPr>
                <w:t>Item 13.</w:t>
              </w:r>
            </w:hyperlink>
          </w:p>
        </w:tc>
        <w:tc>
          <w:tcPr>
            <w:tcW w:w="7420" w:type="dxa"/>
            <w:vAlign w:val="bottom"/>
            <w:gridSpan w:val="4"/>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Certain Relationships and Related Transactions, and Director Independence</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660" w:type="dxa"/>
            <w:vAlign w:val="bottom"/>
          </w:tcPr>
          <w:p>
            <w:pPr>
              <w:ind w:left="20"/>
              <w:spacing w:after="0"/>
              <w:rPr>
                <w:rFonts w:ascii="Arial" w:cs="Arial" w:eastAsia="Arial" w:hAnsi="Arial"/>
                <w:sz w:val="18"/>
                <w:szCs w:val="18"/>
                <w:u w:val="single" w:color="auto"/>
                <w:color w:val="0000EE"/>
                <w:w w:val="95"/>
              </w:rPr>
            </w:pPr>
            <w:hyperlink w:anchor="page75">
              <w:r>
                <w:rPr>
                  <w:rFonts w:ascii="Arial" w:cs="Arial" w:eastAsia="Arial" w:hAnsi="Arial"/>
                  <w:sz w:val="18"/>
                  <w:szCs w:val="18"/>
                  <w:u w:val="single" w:color="auto"/>
                  <w:color w:val="0000EE"/>
                  <w:w w:val="95"/>
                </w:rPr>
                <w:t>Item 14.</w:t>
              </w:r>
            </w:hyperlink>
          </w:p>
        </w:tc>
        <w:tc>
          <w:tcPr>
            <w:tcW w:w="7420" w:type="dxa"/>
            <w:vAlign w:val="bottom"/>
            <w:gridSpan w:val="4"/>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Principal Accountant Fees and Services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80" w:type="dxa"/>
            <w:vAlign w:val="bottom"/>
            <w:gridSpan w:val="2"/>
          </w:tcPr>
          <w:p>
            <w:pPr>
              <w:jc w:val="center"/>
              <w:ind w:right="840"/>
              <w:spacing w:after="0"/>
              <w:rPr>
                <w:rFonts w:ascii="Arial" w:cs="Arial" w:eastAsia="Arial" w:hAnsi="Arial"/>
                <w:sz w:val="18"/>
                <w:szCs w:val="18"/>
                <w:b w:val="1"/>
                <w:bCs w:val="1"/>
                <w:u w:val="single" w:color="auto"/>
                <w:color w:val="0000EE"/>
                <w:w w:val="98"/>
              </w:rPr>
            </w:pPr>
            <w:hyperlink w:anchor="page75">
              <w:r>
                <w:rPr>
                  <w:rFonts w:ascii="Arial" w:cs="Arial" w:eastAsia="Arial" w:hAnsi="Arial"/>
                  <w:sz w:val="18"/>
                  <w:szCs w:val="18"/>
                  <w:b w:val="1"/>
                  <w:bCs w:val="1"/>
                  <w:u w:val="single" w:color="auto"/>
                  <w:color w:val="0000EE"/>
                  <w:w w:val="98"/>
                </w:rPr>
                <w:t>PART IV</w:t>
              </w:r>
            </w:hyperlink>
          </w:p>
        </w:tc>
        <w:tc>
          <w:tcPr>
            <w:tcW w:w="840" w:type="dxa"/>
            <w:vAlign w:val="bottom"/>
          </w:tcPr>
          <w:p>
            <w:pPr>
              <w:spacing w:after="0"/>
              <w:rPr>
                <w:sz w:val="24"/>
                <w:szCs w:val="24"/>
                <w:color w:val="auto"/>
              </w:rPr>
            </w:pPr>
          </w:p>
        </w:tc>
      </w:tr>
      <w:tr>
        <w:trPr>
          <w:trHeight w:val="418"/>
        </w:trPr>
        <w:tc>
          <w:tcPr>
            <w:tcW w:w="660" w:type="dxa"/>
            <w:vAlign w:val="bottom"/>
          </w:tcPr>
          <w:p>
            <w:pPr>
              <w:ind w:left="20"/>
              <w:spacing w:after="0"/>
              <w:rPr>
                <w:rFonts w:ascii="Arial" w:cs="Arial" w:eastAsia="Arial" w:hAnsi="Arial"/>
                <w:sz w:val="18"/>
                <w:szCs w:val="18"/>
                <w:u w:val="single" w:color="auto"/>
                <w:color w:val="0000EE"/>
                <w:w w:val="95"/>
              </w:rPr>
            </w:pPr>
            <w:hyperlink w:anchor="page75">
              <w:r>
                <w:rPr>
                  <w:rFonts w:ascii="Arial" w:cs="Arial" w:eastAsia="Arial" w:hAnsi="Arial"/>
                  <w:sz w:val="18"/>
                  <w:szCs w:val="18"/>
                  <w:u w:val="single" w:color="auto"/>
                  <w:color w:val="0000EE"/>
                  <w:w w:val="95"/>
                </w:rPr>
                <w:t>Item 15.</w:t>
              </w:r>
            </w:hyperlink>
          </w:p>
        </w:tc>
        <w:tc>
          <w:tcPr>
            <w:tcW w:w="7420" w:type="dxa"/>
            <w:vAlign w:val="bottom"/>
            <w:gridSpan w:val="4"/>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Exhibits and Financial Statement Schedules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080" w:type="dxa"/>
            <w:vAlign w:val="bottom"/>
            <w:gridSpan w:val="5"/>
          </w:tcPr>
          <w:p>
            <w:pPr>
              <w:ind w:left="2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SIGNATURES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1222"/>
        </w:trPr>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Throughout this report, we refer to Ryman Hospitality Properties, Inc., a Delaware corporation (“Ryman”), together with its subsidiaries, as “we,” “us,” “our,” or the “Company.” For each year discussed, our fiscal year ends on December 31. All of the discussion and analysis in this report should be read with, and is qualified in its entirety by, the Consolidated Financial Statements and related notes included in this Annual Report on Form 10-K.</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This report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anticipated impact of the novel coronavirus (COVID-19) pandemic on travel, transient and group demand, the anticipated impact of the COVID-19 pandemic on our results from operations, liquidity, collection of cancellation and attrition fees, cost containment efforts, efforts to rebook customers for later dates in 2021 and later years, and our plans for reopening and operating our Gaylord Hotels properties and other assets during the ongoing pandemic and when the COVID-19 pandemic subsides; (ii) the effect of our election to be taxed as a real estate investment trust (“REIT”) and maintain REIT status for U.S. federal income tax purposes; (iii) the holding of our non-qualifying REIT assets in one or more taxable REIT subsidiaries (“TRSs”); (iv) the suspension of our dividend and our dividend policy, including the frequency and amount of any dividend we may pay; (v) potential growth opportunities, including future expansion of the geographic diversity of our existing asset portfolio through acquisitions and investment in joint ventures;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use of cash during 2021; (x) our ability to borrow available funds under our credit facility; (xi) our expectations about successfully amending the agreements governing our indebtedness should the need arise; and (xii) any other business or operational matters. We have based these forward-looking statements on our current expectations and projections about future events.</w:t>
      </w:r>
    </w:p>
    <w:p>
      <w:pPr>
        <w:spacing w:after="0" w:line="175"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Although we believe that the expectations reflected in such forward-looking statements are based upon reasonable assumptions, beliefs and expectations, our actual results could differ materially from the results anticipated by the forward-looking statements as a result of many known and unknown factors including, but not limited to, those discussed in</w:t>
      </w:r>
    </w:p>
    <w:p>
      <w:pPr>
        <w:spacing w:after="0" w:line="2" w:lineRule="exact"/>
        <w:rPr>
          <w:sz w:val="20"/>
          <w:szCs w:val="20"/>
          <w:color w:val="auto"/>
        </w:rPr>
      </w:pPr>
    </w:p>
    <w:p>
      <w:pPr>
        <w:ind w:left="60" w:right="199"/>
        <w:spacing w:after="0" w:line="271" w:lineRule="auto"/>
        <w:rPr>
          <w:sz w:val="20"/>
          <w:szCs w:val="20"/>
          <w:color w:val="auto"/>
        </w:rPr>
      </w:pPr>
      <w:r>
        <w:rPr>
          <w:rFonts w:ascii="Arial" w:cs="Arial" w:eastAsia="Arial" w:hAnsi="Arial"/>
          <w:sz w:val="17"/>
          <w:szCs w:val="17"/>
          <w:color w:val="auto"/>
        </w:rPr>
        <w:t>Item 1A, “Risk Factors,” Item 7, “Management’s Discussion and Analysis of Financial Condition and Results of Operations,” and elsewhere in this report. Any forward-looking statement made in this Annual Report on Form 10-K speaks only as of the date on which the statement is made. New risks and uncertainties may arise from time to time, and it is impossible for us to predict these events or how they may affect us. We have no duty to, and do not intend to, update or revise the forward-looking statements we make in this report,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 Item 1A of this Annual Report on Form 10-K. Set forth below is a summary list of the principal risk factors as of the date of the filing of this Annual Report on Form 10-K:</w:t>
      </w:r>
    </w:p>
    <w:p>
      <w:pPr>
        <w:spacing w:after="0" w:line="188" w:lineRule="exact"/>
        <w:rPr>
          <w:sz w:val="20"/>
          <w:szCs w:val="20"/>
          <w:color w:val="auto"/>
        </w:rPr>
      </w:pPr>
    </w:p>
    <w:p>
      <w:pPr>
        <w:jc w:val="both"/>
        <w:ind w:left="720" w:right="43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novel coronavirus (COVID-19) pandemic has had and is expected to continue to have a material adverse effect on our financial condition, results of operations, cash flows and our ability to make distributions to our shareholders and may have an adverse effect on our access to financial markets and our ability to service our indebtedness.</w:t>
      </w:r>
    </w:p>
    <w:p>
      <w:pPr>
        <w:spacing w:after="0" w:line="78" w:lineRule="exact"/>
        <w:rPr>
          <w:rFonts w:ascii="Arial" w:cs="Arial" w:eastAsia="Arial" w:hAnsi="Arial"/>
          <w:sz w:val="18"/>
          <w:szCs w:val="18"/>
          <w:color w:val="auto"/>
        </w:rPr>
      </w:pPr>
    </w:p>
    <w:p>
      <w:pPr>
        <w:ind w:left="720" w:right="99" w:hanging="319"/>
        <w:spacing w:after="0" w:line="25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Marriott or any future third-party hotel manager does not manage our hotel properties or other businesses successfully, our financial condition, results of operations and our ability to service debt and make distributions to our stockholders may be negatively impacted. Further, the operation and management of our current hotel properties, the operation of which generates substantially all our Hospitality segment revenue, is concentrated in Marriott.</w:t>
      </w:r>
    </w:p>
    <w:p>
      <w:pPr>
        <w:spacing w:after="0" w:line="79" w:lineRule="exact"/>
        <w:rPr>
          <w:rFonts w:ascii="Arial" w:cs="Arial" w:eastAsia="Arial" w:hAnsi="Arial"/>
          <w:sz w:val="18"/>
          <w:szCs w:val="18"/>
          <w:color w:val="auto"/>
        </w:rPr>
      </w:pPr>
    </w:p>
    <w:p>
      <w:pPr>
        <w:jc w:val="both"/>
        <w:ind w:left="720" w:right="159" w:hanging="319"/>
        <w:spacing w:after="0" w:line="311"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Restrictive covenants and other provisions in our hotel management agreements with third-party hotel managers could limit our ability to sell or lease our hotel properties or refinance our existing debt. In addition, Marriott and any future third-party hotel manager may own or operate hotels that compete with our hotel properties.</w:t>
      </w:r>
    </w:p>
    <w:p>
      <w:pPr>
        <w:spacing w:after="0" w:line="40" w:lineRule="exact"/>
        <w:rPr>
          <w:rFonts w:ascii="Arial" w:cs="Arial" w:eastAsia="Arial" w:hAnsi="Arial"/>
          <w:sz w:val="16"/>
          <w:szCs w:val="16"/>
          <w:color w:val="auto"/>
        </w:rPr>
      </w:pPr>
    </w:p>
    <w:p>
      <w:pPr>
        <w:ind w:left="720" w:right="53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concentration in the hospitality industry, and in particular the group-oriented meetings sector of the hospitality industry, exposes us to certain risks outside of our and Marriott’s control. In addition, due to the geographic concentration of our current hotel properties, we are subject to a greater degree of risk to certain factors.</w:t>
      </w:r>
    </w:p>
    <w:p>
      <w:pPr>
        <w:spacing w:after="0" w:line="78"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hotel business is capital-intensive, and our inability to obtain financing or successfully complete acquisitions or capital improvements, or the disruption associated with them, could limit our growth.</w:t>
      </w:r>
    </w:p>
    <w:p>
      <w:pPr>
        <w:spacing w:after="0" w:line="62"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TRS lessee structure will subject us to the risk of increased hotel operating expenses and the inability of our TRS lessees to make lease payments to us.</w:t>
      </w:r>
    </w:p>
    <w:p>
      <w:pPr>
        <w:spacing w:after="0" w:line="62" w:lineRule="exact"/>
        <w:rPr>
          <w:rFonts w:ascii="Arial" w:cs="Arial" w:eastAsia="Arial" w:hAnsi="Arial"/>
          <w:sz w:val="18"/>
          <w:szCs w:val="18"/>
          <w:color w:val="auto"/>
        </w:rPr>
      </w:pPr>
    </w:p>
    <w:p>
      <w:pPr>
        <w:ind w:left="720" w:right="1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and our third-party hotel manager rely on information technology in our operations, and any material failure, inadequacy, interruption, or security failure could harm our business. In addition, cyber security incidents could have a disruptive effect on our business.</w:t>
      </w:r>
    </w:p>
    <w:p>
      <w:pPr>
        <w:spacing w:after="0" w:line="75" w:lineRule="exact"/>
        <w:rPr>
          <w:rFonts w:ascii="Arial" w:cs="Arial" w:eastAsia="Arial" w:hAnsi="Arial"/>
          <w:sz w:val="18"/>
          <w:szCs w:val="18"/>
          <w:color w:val="auto"/>
        </w:rPr>
      </w:pPr>
    </w:p>
    <w:p>
      <w:pPr>
        <w:ind w:left="720" w:right="199" w:hanging="319"/>
        <w:spacing w:after="0" w:line="279"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real estate assets are subject to numerous risks, including environmental regulations that could impose significant financial liability on us. Illiquidity of real estate investments could significantly impede our ability to respond to adverse changes in the performance of our hotel properties and harm our financial condition. Moreover, compliance with the Americans with Disabilities Act could require us to incur substantial costs.</w:t>
      </w:r>
    </w:p>
    <w:p>
      <w:pPr>
        <w:spacing w:after="0" w:line="63" w:lineRule="exact"/>
        <w:rPr>
          <w:rFonts w:ascii="Arial" w:cs="Arial" w:eastAsia="Arial" w:hAnsi="Arial"/>
          <w:sz w:val="17"/>
          <w:szCs w:val="17"/>
          <w:color w:val="auto"/>
        </w:rPr>
      </w:pPr>
    </w:p>
    <w:p>
      <w:pPr>
        <w:ind w:left="720" w:right="15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an owner of hotel properties and operator of leisure businesses, we are subject to risks relating to acts of God, outbreaks of pandemic disease, terrorist activity and war. Also, our operating results and ability to service debt and make distributions to our stockholders may be adversely affected by various operating risks common to the lodging industry.</w:t>
      </w:r>
    </w:p>
    <w:p>
      <w:pPr>
        <w:spacing w:after="0" w:line="78" w:lineRule="exact"/>
        <w:rPr>
          <w:rFonts w:ascii="Arial" w:cs="Arial" w:eastAsia="Arial" w:hAnsi="Arial"/>
          <w:sz w:val="18"/>
          <w:szCs w:val="18"/>
          <w:color w:val="auto"/>
        </w:rPr>
      </w:pPr>
    </w:p>
    <w:p>
      <w:pPr>
        <w:ind w:left="720" w:right="21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risks associated with our hotel managers’ employment of hotel personnel, particularly with hotels whose managers employ unionized labor, which could increase our hotels’ operating costs, reduce the flexibility of our third-party hotel managers to adjust the size of the workforce at our hotel properties and impair our ability to make distributions to our stockholders.</w:t>
      </w:r>
    </w:p>
    <w:p>
      <w:pPr>
        <w:spacing w:after="0" w:line="78"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to protect the trademarks and intellectual property used in our business could reduce the value of our brand names and harm our business.</w:t>
      </w:r>
    </w:p>
    <w:p>
      <w:pPr>
        <w:spacing w:after="0" w:line="62" w:lineRule="exact"/>
        <w:rPr>
          <w:rFonts w:ascii="Arial" w:cs="Arial" w:eastAsia="Arial" w:hAnsi="Arial"/>
          <w:sz w:val="18"/>
          <w:szCs w:val="18"/>
          <w:color w:val="auto"/>
        </w:rPr>
      </w:pPr>
    </w:p>
    <w:p>
      <w:pPr>
        <w:jc w:val="both"/>
        <w:ind w:left="720" w:right="259" w:hanging="319"/>
        <w:spacing w:after="0" w:line="311"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fail to remain qualified as a REIT, we would be subject to tax at corporate income tax rates and would not be able to deduct distributions to stockholders when computing our taxable income. As a REIT, failure to make required distributions to our stockholders would subject us to federal and state corporate income tax.</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though we are conducting our business as a REIT, certain of our business activities will be subject to corporate level income tax, which will continue to reduce our cash flows, and we will have potential deferred and contingent tax liabilities.</w:t>
      </w:r>
    </w:p>
    <w:p>
      <w:pPr>
        <w:spacing w:after="0" w:line="75" w:lineRule="exact"/>
        <w:rPr>
          <w:rFonts w:ascii="Arial" w:cs="Arial" w:eastAsia="Arial" w:hAnsi="Arial"/>
          <w:sz w:val="18"/>
          <w:szCs w:val="18"/>
          <w:color w:val="auto"/>
        </w:rPr>
      </w:pPr>
    </w:p>
    <w:p>
      <w:pPr>
        <w:ind w:left="720" w:right="379" w:hanging="319"/>
        <w:spacing w:after="0" w:line="259"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Complying with REIT requirements may limit our ability to hedge effectively and increase the costs of our hedging, may cause us to incur tax liabilities, and may limit our flexibility or cause us to forego otherwise attractive opportunities. Further, we may be required to borrow funds, sell assets, or issue equity to satisfy our REIT distribution requirements or maintain the asset ownership tests.</w:t>
      </w:r>
    </w:p>
    <w:p>
      <w:pPr>
        <w:spacing w:after="0" w:line="78" w:lineRule="exact"/>
        <w:rPr>
          <w:rFonts w:ascii="Arial" w:cs="Arial" w:eastAsia="Arial" w:hAnsi="Arial"/>
          <w:sz w:val="18"/>
          <w:szCs w:val="18"/>
          <w:color w:val="auto"/>
        </w:rPr>
      </w:pPr>
    </w:p>
    <w:p>
      <w:pPr>
        <w:ind w:left="720" w:right="159" w:hanging="319"/>
        <w:spacing w:after="0" w:line="296"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Legislative or other actions affecting REITs could have a negative effect on us or our stockholders, and even as a REIT, changes in federal, state, or local tax law, interpretations of existing tax law or agreements with tax authorities could affect our profitability and financial condition by increasing our tax costs. Further, U.S. federal tax reform legislation could affect REITs generally, the geographic markets in which we operate, our stock and our results of operations, both positively and negatively in ways that are difficult to anticipate.</w:t>
      </w:r>
    </w:p>
    <w:p>
      <w:pPr>
        <w:spacing w:after="0" w:line="53" w:lineRule="exact"/>
        <w:rPr>
          <w:rFonts w:ascii="Arial" w:cs="Arial" w:eastAsia="Arial" w:hAnsi="Arial"/>
          <w:sz w:val="16"/>
          <w:szCs w:val="16"/>
          <w:color w:val="auto"/>
        </w:rPr>
      </w:pPr>
    </w:p>
    <w:p>
      <w:pPr>
        <w:ind w:left="720" w:right="25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board of directors to revoke our REIT qualification, without stockholder approval, may cause adverse consequences to our stockholders.</w:t>
      </w:r>
    </w:p>
    <w:p>
      <w:pPr>
        <w:spacing w:after="0" w:line="62" w:lineRule="exact"/>
        <w:rPr>
          <w:rFonts w:ascii="Arial" w:cs="Arial" w:eastAsia="Arial" w:hAnsi="Arial"/>
          <w:sz w:val="18"/>
          <w:szCs w:val="18"/>
          <w:color w:val="auto"/>
        </w:rPr>
      </w:pPr>
    </w:p>
    <w:p>
      <w:pPr>
        <w:ind w:left="720" w:right="41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planned use of TRSs may cause us to fail to qualify as a REIT, and if our leases of our hotel properties to TRS lessees are not true leases for federal income tax purposes, we may fail to qualify as a REIT.</w:t>
      </w:r>
    </w:p>
    <w:p>
      <w:pPr>
        <w:spacing w:after="0" w:line="15" w:lineRule="exact"/>
        <w:rPr>
          <w:rFonts w:ascii="Arial" w:cs="Arial" w:eastAsia="Arial" w:hAnsi="Arial"/>
          <w:sz w:val="16"/>
          <w:szCs w:val="16"/>
          <w:color w:val="auto"/>
        </w:rPr>
      </w:pPr>
    </w:p>
    <w:p>
      <w:pPr>
        <w:ind w:left="720" w:right="33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Marriott or any future third-party hotel manager fails to qualify as an “eligible independent contractor,” or if our hotels are not “qualified lodging facilities,” we may fail to qualify as a REIT.</w:t>
      </w:r>
    </w:p>
    <w:p>
      <w:pPr>
        <w:spacing w:after="0" w:line="62" w:lineRule="exact"/>
        <w:rPr>
          <w:rFonts w:ascii="Arial" w:cs="Arial" w:eastAsia="Arial" w:hAnsi="Arial"/>
          <w:sz w:val="18"/>
          <w:szCs w:val="18"/>
          <w:color w:val="auto"/>
        </w:rPr>
      </w:pPr>
    </w:p>
    <w:p>
      <w:pPr>
        <w:ind w:left="720" w:right="33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dividend is currently suspended, and covenants in our current and future debt instruments may limit our ability to make required distributions to our stockholders in accordance with our announced intended dividend policy.</w:t>
      </w:r>
    </w:p>
    <w:p>
      <w:pPr>
        <w:spacing w:after="0" w:line="75" w:lineRule="exact"/>
        <w:rPr>
          <w:rFonts w:ascii="Arial" w:cs="Arial" w:eastAsia="Arial" w:hAnsi="Arial"/>
          <w:sz w:val="18"/>
          <w:szCs w:val="18"/>
          <w:color w:val="auto"/>
        </w:rPr>
      </w:pPr>
    </w:p>
    <w:p>
      <w:pPr>
        <w:jc w:val="both"/>
        <w:ind w:left="720" w:right="279" w:hanging="319"/>
        <w:spacing w:after="0" w:line="286"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cash distributions are not guaranteed and may fluctuate. Further, we may not have sufficient funds to make cash distributions to stockholders at intended payment levels, and we may be unable to generate sufficient cash flows from our operations to make distributions to our stockholders at any time in the future.</w:t>
      </w:r>
    </w:p>
    <w:p>
      <w:pPr>
        <w:spacing w:after="0" w:line="57" w:lineRule="exact"/>
        <w:rPr>
          <w:rFonts w:ascii="Arial" w:cs="Arial" w:eastAsia="Arial" w:hAnsi="Arial"/>
          <w:sz w:val="17"/>
          <w:szCs w:val="17"/>
          <w:color w:val="auto"/>
        </w:rPr>
      </w:pPr>
    </w:p>
    <w:p>
      <w:pPr>
        <w:ind w:left="720" w:right="139" w:hanging="319"/>
        <w:spacing w:after="0" w:line="259"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invested in, and in the future may invest in, mortgage loans, mezzanine debt, joint ventures or certain minority equity interests over which we may not have significant control, to or for which we may owe significant funding or obligations and for which there is no readily available market, and these investments may not be profitable.</w:t>
      </w:r>
    </w:p>
    <w:p>
      <w:pPr>
        <w:spacing w:after="0" w:line="78" w:lineRule="exact"/>
        <w:rPr>
          <w:rFonts w:ascii="Arial" w:cs="Arial" w:eastAsia="Arial" w:hAnsi="Arial"/>
          <w:sz w:val="18"/>
          <w:szCs w:val="18"/>
          <w:color w:val="auto"/>
        </w:rPr>
      </w:pPr>
    </w:p>
    <w:p>
      <w:pPr>
        <w:ind w:left="720" w:right="79" w:hanging="319"/>
        <w:spacing w:after="0" w:line="286"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substantial debt could reduce our cash flow and limit our business activities, and our indebtedness is secured by a substantial portion of our assets. In addition, we could be required to refinance our debt before it matures and there is no assurance that we will be able to refinance our debt on acceptable terms.</w:t>
      </w:r>
    </w:p>
    <w:p>
      <w:pPr>
        <w:spacing w:after="0" w:line="57" w:lineRule="exact"/>
        <w:rPr>
          <w:rFonts w:ascii="Arial" w:cs="Arial" w:eastAsia="Arial" w:hAnsi="Arial"/>
          <w:sz w:val="17"/>
          <w:szCs w:val="17"/>
          <w:color w:val="auto"/>
        </w:rPr>
      </w:pPr>
    </w:p>
    <w:p>
      <w:pPr>
        <w:ind w:left="720" w:right="19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service our debt and pay other obligations, we will require a significant amount of cash, which may not be available to us. In addition, any replacement of LIBOR as the basis on which interest on our variable-rate debt is calculated may harm our financial results, profitability and cash flows.</w:t>
      </w:r>
    </w:p>
    <w:p>
      <w:pPr>
        <w:spacing w:after="0" w:line="75" w:lineRule="exact"/>
        <w:rPr>
          <w:rFonts w:ascii="Arial" w:cs="Arial" w:eastAsia="Arial" w:hAnsi="Arial"/>
          <w:sz w:val="18"/>
          <w:szCs w:val="18"/>
          <w:color w:val="auto"/>
        </w:rPr>
      </w:pPr>
    </w:p>
    <w:p>
      <w:pPr>
        <w:ind w:left="720" w:right="2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agreements governing our debt contain various covenants that may limit our ability to operate our business and impair our ability to make distributions to our stockholders.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a holding company and depend upon our subsidiaries’ cash flow to meet our debt service obligations.</w:t>
      </w:r>
    </w:p>
    <w:p>
      <w:pPr>
        <w:spacing w:after="0" w:line="128" w:lineRule="exact"/>
        <w:rPr>
          <w:rFonts w:ascii="Arial" w:cs="Arial" w:eastAsia="Arial" w:hAnsi="Arial"/>
          <w:sz w:val="17"/>
          <w:szCs w:val="17"/>
          <w:color w:val="auto"/>
        </w:rPr>
      </w:pPr>
    </w:p>
    <w:p>
      <w:pPr>
        <w:ind w:left="720" w:right="239" w:hanging="319"/>
        <w:spacing w:after="0" w:line="259"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organizational documents, Delaware law and our issuance of preferred stock could make it difficult for a third party to acquire control of us and could adversely affect our stockholders. In addition, the ownership limitations in our charter may restrict or prevent stockholders from engaging in certain transfers of our common stock.</w:t>
      </w:r>
    </w:p>
    <w:p>
      <w:pPr>
        <w:spacing w:after="0" w:line="78"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certain general risks, including, but not limited to, risks related to our environmental, social and governance practices, class actions and other lawsuits, healthcare reform legislation, the market price of our common stock, and our board of directors’ ability to change our major policies.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Ryman is the successor to Gaylord Entertainment Company (“Gaylord”), a Delaware corporation originally incorporated in 1956. As part of the plan to restructure our business operations to facilitate our qualification as a REIT for federal income tax purposes, Gaylord merged with and into its wholly-owned subsidiary, Ryman, on October 1, 2012, with Ryman as the surviving corporation, and Ryman succeeded to and began conducting, either directly or indirectly, all of the business conducted by Gaylord immediately prior to the merger. Ryman is a Delaware corporation that began operating as a self-advised and self-administered REIT for federal income tax purposes on January 1, 2013. We specialize in group-oriented, destination hotel assets in urban and resort markets. As a REIT, we generally will not be subject to federal corporate income taxes on that portion of our capital gain or ordinary income from our REIT operations that is distributed to our stockholders. This treatment substantially eliminates the federal “double taxation” on earnings from our REIT operations, or taxation once at the corporate level and again at the stockholder level, that generally results from investment in a regular C corporation. Our non-REIT operations, which consist of the activities of our TRSs that lease or sublease our hotels from our qualified REIT subsidiaries, as well as businesses within our Entertainment segment, continue to be subject, as applicable, to federal and state corporate income taxes.</w:t>
      </w:r>
    </w:p>
    <w:p>
      <w:pPr>
        <w:spacing w:after="0" w:line="186"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color w:val="auto"/>
        </w:rPr>
        <w:t>Our owned assets include a network of five upscale, meetings-focused resorts totaling 9,615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which is owned by a joint venture (the “Gaylord Rockies joint venture”), in which we own a 65% interest. Our other owned hotel assets managed by Marriott include the Inn at Opryland, an overflow hotel adjacent to Gaylord Opryland, and the AC Hotel at National Harbor, Washington D.C. (“AC Hotel”), an overflow hotel adjacent to Gaylord National.</w:t>
      </w:r>
    </w:p>
    <w:p>
      <w:pPr>
        <w:spacing w:after="0" w:line="166"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We also own and operate media and entertainment assets including the Grand Ole Opry, the legendary weekly showcase of country music’s finest performers for 95 years; the Ryman Auditorium, the storied live music venue and former home of the Grand Ole Opry located in downtown Nashville; WSM-AM, the Opry’s radio home; Ole Red, a brand of Blake Shelton-themed bar, music venue and event spaces; and three Nashville-based assets managed by Marriott – Gaylord Springs Golf Links (“Gaylord Springs”), the Wildhorse Saloon, and the General Jackson Showboat (“General Jackson”). We also own a 50% interest in a joint venture intended to create and distribute a linear multicast and over-the-top channel dedicated to the country music lifestyle (“Circle”).</w:t>
      </w:r>
    </w:p>
    <w:p>
      <w:pPr>
        <w:spacing w:after="0" w:line="177"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Our operations are organized into three principal business segments: (i) Hospitality, which includes our directly-owned hotel properties and the results of hotel operations, as well as the Gaylord Rockies joint venture; (ii) Entertainment, which includes our Grand Ole Opry assets, the Ryman Auditorium, WSM-AM, Ole Red, our other Nashville-based attractions, among others, as well as the Circle joint venture; and (iii) Corporate and Other, which includes corporate expenses. These three business segments — Hospitality, Entertainment, and Corporate and Other — represented approximately 89%, 11%, and 0%, respectively, of our total revenues for the fiscal year ended December 31, 2020.</w:t>
      </w:r>
    </w:p>
    <w:p>
      <w:pPr>
        <w:spacing w:after="0" w:line="164"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Financial information by business segment and for each of our Gaylord Hotels properties as of December 31, 2020 and for each of the three years then ended appears in Item 7, “Management’s Discussion and Analysis of Financial Condition and Results of Operations,” and in “Note 15 – Financial Reporting by Business Segments” to our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Current Status</w:t>
      </w:r>
    </w:p>
    <w:p>
      <w:pPr>
        <w:spacing w:after="0" w:line="229"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Our business has been adversely impacted by the ongoing COVID-19 pandemic. As of the date of this Annual Report on Form 10-K, all of our hotel properties are open at limited capacity, other than Gaylord National, which remains closed. All of our entertainment assets are open at limited capacity, including limited attendance for shows at the Grand Ole Opry and Ryman Auditorium, other than the General Jackson, which remains closed, and the Wildhorse Saloon, which is temporarily closed due to the recent December 2020 bombing in downtown Nashville. Any decision to increase capacity at our assets will be made in conjunction with local health authorities and in the best interests of our employees and guests. We have taken steps to conserve our liquidity and contain costs, including suspending our regular quarterly cash dividend payments to stockholders, deferring most non-essential capital projects, including our previously announced expansion at Gaylord Rockies, and obtaining waivers under and amendments to our credit agreement as described below. For more information concerning our operations during the ongoing COVID-19 pandemic, see Item 7, “Management’s Discussion and Analysis of Financial Condition and Results of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Strategic Plan</w:t>
      </w:r>
    </w:p>
    <w:p>
      <w:pPr>
        <w:spacing w:after="0" w:line="229"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Our goal is to be the nation’s premier hospitality REIT for group-oriented, destination hotel assets in urban and resort markets.</w:t>
      </w:r>
    </w:p>
    <w:p>
      <w:pPr>
        <w:spacing w:after="0" w:line="170" w:lineRule="exact"/>
        <w:rPr>
          <w:sz w:val="20"/>
          <w:szCs w:val="20"/>
          <w:color w:val="auto"/>
        </w:rPr>
      </w:pPr>
    </w:p>
    <w:p>
      <w:pPr>
        <w:ind w:left="720" w:right="119" w:hanging="319"/>
        <w:spacing w:after="0" w:line="296"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Existing Hotel Property Design. </w:t>
      </w:r>
      <w:r>
        <w:rPr>
          <w:rFonts w:ascii="Arial" w:cs="Arial" w:eastAsia="Arial" w:hAnsi="Arial"/>
          <w:sz w:val="16"/>
          <w:szCs w:val="16"/>
          <w:color w:val="auto"/>
        </w:rPr>
        <w:t>Our Gaylord Hotels properties focus on the large group meetings market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61" w:lineRule="exact"/>
        <w:rPr>
          <w:rFonts w:ascii="Arial" w:cs="Arial" w:eastAsia="Arial" w:hAnsi="Arial"/>
          <w:sz w:val="16"/>
          <w:szCs w:val="16"/>
          <w:color w:val="auto"/>
        </w:rPr>
      </w:pPr>
    </w:p>
    <w:p>
      <w:pPr>
        <w:ind w:left="720" w:right="139" w:hanging="319"/>
        <w:spacing w:after="0" w:line="288"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Expansion of Hotel Asset Portfolio. </w:t>
      </w:r>
      <w:r>
        <w:rPr>
          <w:rFonts w:ascii="Arial" w:cs="Arial" w:eastAsia="Arial" w:hAnsi="Arial"/>
          <w:sz w:val="16"/>
          <w:szCs w:val="16"/>
          <w:color w:val="auto"/>
        </w:rPr>
        <w:t>Part of our long-term growth strategy includes acquisitions of other hotels,</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assets with over 400 hotel rooms in urban and resort group destination markets. We also consider assets that possess or are located near convention centers that present a repositioning opportunity and/or would significantly benefit from capital investment in additional rooms or meeting space. We plan to expand the geographic diversity of our existing asset portfolio through acquisitions. As a REIT, we do not view independent, large-scale development of resort and convention hotels as part of our long-term growth strategy.</w:t>
      </w:r>
    </w:p>
    <w:p>
      <w:pPr>
        <w:spacing w:after="0" w:line="168" w:lineRule="exact"/>
        <w:rPr>
          <w:rFonts w:ascii="Arial" w:cs="Arial" w:eastAsia="Arial" w:hAnsi="Arial"/>
          <w:sz w:val="16"/>
          <w:szCs w:val="16"/>
          <w:color w:val="auto"/>
        </w:rPr>
      </w:pPr>
    </w:p>
    <w:p>
      <w:pPr>
        <w:ind w:left="720" w:right="99" w:hanging="319"/>
        <w:spacing w:after="0" w:line="289"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Leverage Brand Name Awareness. </w:t>
      </w:r>
      <w:r>
        <w:rPr>
          <w:rFonts w:ascii="Arial" w:cs="Arial" w:eastAsia="Arial" w:hAnsi="Arial"/>
          <w:sz w:val="16"/>
          <w:szCs w:val="16"/>
          <w:color w:val="auto"/>
        </w:rPr>
        <w:t>We believe the Grand Ole Opry is one of the most recognized entertainment</w:t>
      </w:r>
      <w:r>
        <w:rPr>
          <w:rFonts w:ascii="Arial" w:cs="Arial" w:eastAsia="Arial" w:hAnsi="Arial"/>
          <w:sz w:val="16"/>
          <w:szCs w:val="16"/>
          <w:i w:val="1"/>
          <w:iCs w:val="1"/>
          <w:color w:val="auto"/>
        </w:rPr>
        <w:t xml:space="preserve"> </w:t>
      </w:r>
      <w:r>
        <w:rPr>
          <w:rFonts w:ascii="Arial" w:cs="Arial" w:eastAsia="Arial" w:hAnsi="Arial"/>
          <w:sz w:val="16"/>
          <w:szCs w:val="16"/>
          <w:color w:val="auto"/>
        </w:rPr>
        <w:t>brands in 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four Blake Shelton-themed multi-level bar, music venue and event spaces named after the Shelton hit “Ol’ Red,” and invested in Circle.</w:t>
      </w:r>
    </w:p>
    <w:p>
      <w:pPr>
        <w:spacing w:after="0" w:line="166" w:lineRule="exact"/>
        <w:rPr>
          <w:rFonts w:ascii="Arial" w:cs="Arial" w:eastAsia="Arial" w:hAnsi="Arial"/>
          <w:sz w:val="16"/>
          <w:szCs w:val="16"/>
          <w:color w:val="auto"/>
        </w:rPr>
      </w:pPr>
    </w:p>
    <w:p>
      <w:pPr>
        <w:ind w:left="720" w:right="99" w:hanging="319"/>
        <w:spacing w:after="0" w:line="291"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Short-Term Capital Allocation</w:t>
      </w:r>
      <w:r>
        <w:rPr>
          <w:rFonts w:ascii="Arial" w:cs="Arial" w:eastAsia="Arial" w:hAnsi="Arial"/>
          <w:sz w:val="16"/>
          <w:szCs w:val="16"/>
          <w:color w:val="auto"/>
        </w:rPr>
        <w:t>. Prior to the COVID-19 pandemic, our short-term capital allocation strategy</w:t>
      </w:r>
      <w:r>
        <w:rPr>
          <w:rFonts w:ascii="Arial" w:cs="Arial" w:eastAsia="Arial" w:hAnsi="Arial"/>
          <w:sz w:val="16"/>
          <w:szCs w:val="16"/>
          <w:i w:val="1"/>
          <w:iCs w:val="1"/>
          <w:color w:val="auto"/>
        </w:rPr>
        <w:t xml:space="preserve"> </w:t>
      </w:r>
      <w:r>
        <w:rPr>
          <w:rFonts w:ascii="Arial" w:cs="Arial" w:eastAsia="Arial" w:hAnsi="Arial"/>
          <w:sz w:val="16"/>
          <w:szCs w:val="16"/>
          <w:color w:val="auto"/>
        </w:rPr>
        <w:t>focused on returning capital to stockholders through the payment of dividends, in addition to investing in our assets and operations. However, in March 2020, we suspended our regular quarterly dividend payments. Our board of directors will consider a future dividend as permitted by our credit agreement. Any future dividend is subject to our board of director’s determinations as to the amount and timing thereof. We are currently focused on managing our business through the COVID-19 pandemic and are limiting our non-essential capital expenditures. See Item 7, “Management’s Discussion and Analysis of Financial Condition and Results of Operations.”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 of our Hotel Portfolio</w:t>
      </w:r>
    </w:p>
    <w:p>
      <w:pPr>
        <w:spacing w:after="0" w:line="229" w:lineRule="exact"/>
        <w:rPr>
          <w:sz w:val="20"/>
          <w:szCs w:val="20"/>
          <w:color w:val="auto"/>
        </w:rPr>
      </w:pPr>
    </w:p>
    <w:p>
      <w:pPr>
        <w:jc w:val="both"/>
        <w:ind w:left="60" w:right="379"/>
        <w:spacing w:after="0" w:line="259" w:lineRule="auto"/>
        <w:rPr>
          <w:sz w:val="20"/>
          <w:szCs w:val="20"/>
          <w:color w:val="auto"/>
        </w:rPr>
      </w:pPr>
      <w:r>
        <w:rPr>
          <w:rFonts w:ascii="Arial" w:cs="Arial" w:eastAsia="Arial" w:hAnsi="Arial"/>
          <w:sz w:val="18"/>
          <w:szCs w:val="18"/>
          <w:color w:val="auto"/>
        </w:rPr>
        <w:t>Our Gaylord Hotels properties incorporate meeting, convention and exhibition space with a large hotel property so the attendees never have to leave the location during their meetings. This concept of a self-contained destination dedicated primarily to the meetings industry has placed our Gaylord Hotels properties among the leading convention hotels in the country.</w:t>
      </w:r>
    </w:p>
    <w:p>
      <w:pPr>
        <w:spacing w:after="0" w:line="187"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auto"/>
        </w:rPr>
        <w:t>Marriott is responsible for the day-to-day management of our Gaylord Hotels properties, the Inn at Opryland, and the AC Hotel. We believe that our Gaylord Hotels properties have benefitted and will continue to benefit from Marriott’s expansive sales force and popular frequent traveler program, as well as its ability to manage group business.</w:t>
      </w:r>
    </w:p>
    <w:p>
      <w:pPr>
        <w:spacing w:after="0" w:line="165"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Based on our information, publicly-available information, and information and data obtained from Smith Travel Research, the top 10 hotels within the United States with the highest square footage of self-contained exhibit and meeting space as of January 2021 are as follows: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Total Exhibit and</w:t>
            </w:r>
          </w:p>
        </w:tc>
        <w:tc>
          <w:tcPr>
            <w:tcW w:w="0" w:type="dxa"/>
            <w:vAlign w:val="bottom"/>
          </w:tcPr>
          <w:p>
            <w:pPr>
              <w:spacing w:after="0"/>
              <w:rPr>
                <w:sz w:val="1"/>
                <w:szCs w:val="1"/>
                <w:color w:val="auto"/>
              </w:rPr>
            </w:pPr>
          </w:p>
        </w:tc>
      </w:tr>
      <w:tr>
        <w:trPr>
          <w:trHeight w:val="148"/>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Facility (1)</w:t>
            </w:r>
          </w:p>
        </w:tc>
        <w:tc>
          <w:tcPr>
            <w:tcW w:w="160" w:type="dxa"/>
            <w:vAlign w:val="bottom"/>
          </w:tcPr>
          <w:p>
            <w:pPr>
              <w:spacing w:after="0"/>
              <w:rPr>
                <w:sz w:val="12"/>
                <w:szCs w:val="12"/>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Location</w:t>
            </w: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Hotel Rooms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Meeting Space</w:t>
            </w:r>
          </w:p>
        </w:tc>
        <w:tc>
          <w:tcPr>
            <w:tcW w:w="0" w:type="dxa"/>
            <w:vAlign w:val="bottom"/>
          </w:tcPr>
          <w:p>
            <w:pPr>
              <w:spacing w:after="0"/>
              <w:rPr>
                <w:sz w:val="1"/>
                <w:szCs w:val="1"/>
                <w:color w:val="auto"/>
              </w:rPr>
            </w:pPr>
          </w:p>
        </w:tc>
      </w:tr>
      <w:tr>
        <w:trPr>
          <w:trHeight w:val="171"/>
        </w:trPr>
        <w:tc>
          <w:tcPr>
            <w:tcW w:w="4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(sq. ft.)</w:t>
            </w:r>
          </w:p>
        </w:tc>
        <w:tc>
          <w:tcPr>
            <w:tcW w:w="0" w:type="dxa"/>
            <w:vAlign w:val="bottom"/>
          </w:tcPr>
          <w:p>
            <w:pPr>
              <w:spacing w:after="0"/>
              <w:rPr>
                <w:sz w:val="1"/>
                <w:szCs w:val="1"/>
                <w:color w:val="auto"/>
              </w:rPr>
            </w:pPr>
          </w:p>
        </w:tc>
      </w:tr>
      <w:tr>
        <w:trPr>
          <w:trHeight w:val="209"/>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The Venetian Resort &amp; Casino</w:t>
            </w:r>
          </w:p>
        </w:tc>
        <w:tc>
          <w:tcPr>
            <w:tcW w:w="1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Las Vegas, NV</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Mandalay Bay Resort &amp; Casino</w:t>
            </w:r>
          </w:p>
        </w:tc>
        <w:tc>
          <w:tcPr>
            <w:tcW w:w="2000" w:type="dxa"/>
            <w:vAlign w:val="bottom"/>
            <w:gridSpan w:val="3"/>
          </w:tcPr>
          <w:p>
            <w:pPr>
              <w:ind w:left="140"/>
              <w:spacing w:after="0"/>
              <w:rPr>
                <w:sz w:val="20"/>
                <w:szCs w:val="20"/>
                <w:color w:val="auto"/>
              </w:rPr>
            </w:pPr>
            <w:r>
              <w:rPr>
                <w:rFonts w:ascii="Arial" w:cs="Arial" w:eastAsia="Arial" w:hAnsi="Arial"/>
                <w:sz w:val="18"/>
                <w:szCs w:val="18"/>
                <w:color w:val="auto"/>
              </w:rPr>
              <w:t>Las Vegas, NV</w:t>
            </w:r>
          </w:p>
        </w:tc>
        <w:tc>
          <w:tcPr>
            <w:tcW w:w="800" w:type="dxa"/>
            <w:vAlign w:val="bottom"/>
          </w:tcPr>
          <w:p>
            <w:pPr>
              <w:jc w:val="right"/>
              <w:spacing w:after="0"/>
              <w:rPr>
                <w:sz w:val="20"/>
                <w:szCs w:val="20"/>
                <w:color w:val="auto"/>
              </w:rPr>
            </w:pPr>
            <w:r>
              <w:rPr>
                <w:rFonts w:ascii="Arial" w:cs="Arial" w:eastAsia="Arial" w:hAnsi="Arial"/>
                <w:sz w:val="18"/>
                <w:szCs w:val="18"/>
                <w:color w:val="auto"/>
              </w:rPr>
              <w:t>3,209</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Gaylord Opryland Resort &amp; Convention Center</w:t>
            </w: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Nashville, TN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MGM Grand Las Vegas</w:t>
            </w:r>
          </w:p>
        </w:tc>
        <w:tc>
          <w:tcPr>
            <w:tcW w:w="2000" w:type="dxa"/>
            <w:vAlign w:val="bottom"/>
            <w:gridSpan w:val="3"/>
          </w:tcPr>
          <w:p>
            <w:pPr>
              <w:ind w:left="140"/>
              <w:spacing w:after="0"/>
              <w:rPr>
                <w:sz w:val="20"/>
                <w:szCs w:val="20"/>
                <w:color w:val="auto"/>
              </w:rPr>
            </w:pPr>
            <w:r>
              <w:rPr>
                <w:rFonts w:ascii="Arial" w:cs="Arial" w:eastAsia="Arial" w:hAnsi="Arial"/>
                <w:sz w:val="18"/>
                <w:szCs w:val="18"/>
                <w:color w:val="auto"/>
              </w:rPr>
              <w:t>Las Vegas, NV</w:t>
            </w:r>
          </w:p>
        </w:tc>
        <w:tc>
          <w:tcPr>
            <w:tcW w:w="800" w:type="dxa"/>
            <w:vAlign w:val="bottom"/>
          </w:tcPr>
          <w:p>
            <w:pPr>
              <w:jc w:val="right"/>
              <w:spacing w:after="0"/>
              <w:rPr>
                <w:sz w:val="20"/>
                <w:szCs w:val="20"/>
                <w:color w:val="auto"/>
              </w:rPr>
            </w:pPr>
            <w:r>
              <w:rPr>
                <w:rFonts w:ascii="Arial" w:cs="Arial" w:eastAsia="Arial" w:hAnsi="Arial"/>
                <w:sz w:val="18"/>
                <w:szCs w:val="18"/>
                <w:color w:val="auto"/>
              </w:rPr>
              <w:t>5,044</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Gaylord National Resort &amp; Convention Center</w:t>
            </w: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National Harbor, MD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1,996</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b w:val="1"/>
                <w:bCs w:val="1"/>
                <w:color w:val="auto"/>
              </w:rPr>
              <w:t>Gaylord Texan Resort &amp; Convention Center</w:t>
            </w:r>
          </w:p>
        </w:tc>
        <w:tc>
          <w:tcPr>
            <w:tcW w:w="2000" w:type="dxa"/>
            <w:vAlign w:val="bottom"/>
            <w:gridSpan w:val="3"/>
          </w:tcPr>
          <w:p>
            <w:pPr>
              <w:ind w:left="140"/>
              <w:spacing w:after="0"/>
              <w:rPr>
                <w:sz w:val="20"/>
                <w:szCs w:val="20"/>
                <w:color w:val="auto"/>
              </w:rPr>
            </w:pPr>
            <w:r>
              <w:rPr>
                <w:rFonts w:ascii="Arial" w:cs="Arial" w:eastAsia="Arial" w:hAnsi="Arial"/>
                <w:sz w:val="18"/>
                <w:szCs w:val="18"/>
                <w:b w:val="1"/>
                <w:bCs w:val="1"/>
                <w:color w:val="auto"/>
              </w:rPr>
              <w:t>Grapevine, TX</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1,814</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488,000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Marriott Orlando World Center Resort</w:t>
            </w: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Orlando, FL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Rosen Shingle Creek Resort</w:t>
            </w:r>
          </w:p>
        </w:tc>
        <w:tc>
          <w:tcPr>
            <w:tcW w:w="2000" w:type="dxa"/>
            <w:vAlign w:val="bottom"/>
            <w:gridSpan w:val="3"/>
          </w:tcPr>
          <w:p>
            <w:pPr>
              <w:ind w:left="140"/>
              <w:spacing w:after="0"/>
              <w:rPr>
                <w:sz w:val="20"/>
                <w:szCs w:val="20"/>
                <w:color w:val="auto"/>
              </w:rPr>
            </w:pPr>
            <w:r>
              <w:rPr>
                <w:rFonts w:ascii="Arial" w:cs="Arial" w:eastAsia="Arial" w:hAnsi="Arial"/>
                <w:sz w:val="18"/>
                <w:szCs w:val="18"/>
                <w:color w:val="auto"/>
              </w:rPr>
              <w:t>Orlando, FL</w:t>
            </w:r>
          </w:p>
        </w:tc>
        <w:tc>
          <w:tcPr>
            <w:tcW w:w="800" w:type="dxa"/>
            <w:vAlign w:val="bottom"/>
          </w:tcPr>
          <w:p>
            <w:pPr>
              <w:jc w:val="right"/>
              <w:spacing w:after="0"/>
              <w:rPr>
                <w:sz w:val="20"/>
                <w:szCs w:val="20"/>
                <w:color w:val="auto"/>
              </w:rPr>
            </w:pPr>
            <w:r>
              <w:rPr>
                <w:rFonts w:ascii="Arial" w:cs="Arial" w:eastAsia="Arial" w:hAnsi="Arial"/>
                <w:sz w:val="18"/>
                <w:szCs w:val="18"/>
                <w:color w:val="auto"/>
              </w:rPr>
              <w:t>1,501</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Gaylord Rockies Resort &amp; Convention Center (2)</w:t>
            </w: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Aurora, CO</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409,000</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Gaylord Palms Resort &amp; Convention Center</w:t>
            </w:r>
          </w:p>
        </w:tc>
        <w:tc>
          <w:tcPr>
            <w:tcW w:w="2000" w:type="dxa"/>
            <w:vAlign w:val="bottom"/>
            <w:gridSpan w:val="3"/>
          </w:tcPr>
          <w:p>
            <w:pPr>
              <w:ind w:left="140"/>
              <w:spacing w:after="0"/>
              <w:rPr>
                <w:sz w:val="20"/>
                <w:szCs w:val="20"/>
                <w:color w:val="auto"/>
              </w:rPr>
            </w:pPr>
            <w:r>
              <w:rPr>
                <w:rFonts w:ascii="Arial" w:cs="Arial" w:eastAsia="Arial" w:hAnsi="Arial"/>
                <w:sz w:val="18"/>
                <w:szCs w:val="18"/>
                <w:b w:val="1"/>
                <w:bCs w:val="1"/>
                <w:color w:val="auto"/>
              </w:rPr>
              <w:t>Kissimmee, FL</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1,416</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Bolded facilities are owned by the Company.</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owns a 65 percent interest through the Gaylord Rockies joint venture.</w:t>
      </w:r>
    </w:p>
    <w:p>
      <w:pPr>
        <w:spacing w:after="0" w:line="211"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b w:val="1"/>
          <w:bCs w:val="1"/>
          <w:i w:val="1"/>
          <w:iCs w:val="1"/>
          <w:color w:val="auto"/>
        </w:rPr>
        <w:t xml:space="preserve">Gaylord Opryland Resort and Convention Center — Nashville, Tennessee. </w:t>
      </w:r>
      <w:r>
        <w:rPr>
          <w:rFonts w:ascii="Arial" w:cs="Arial" w:eastAsia="Arial" w:hAnsi="Arial"/>
          <w:sz w:val="17"/>
          <w:szCs w:val="17"/>
          <w:color w:val="auto"/>
        </w:rPr>
        <w:t>Gaylord Opryland is one of the leading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convention destinations in the United States based upon number of rooms, exhibit space and conventions held. Designed with lavish gardens and expansive atrium areas, the resort is situated on approximately 172 acres in the Opryland complex. Gaylord Opryland has a number of themed restaurants, retail outlets, and a full-service spa with 27,000 square feet of dedicated space. It also serves as a destination resort for vacationers due to its proximity to the Grand Ole Opry, the Ryman Auditorium, the General Jackson Showboat, and other attractions in the Nashville area. Gaylord Opryland has 2,888 signature guest rooms, four ballrooms with approximately 127,000 square feet, 111 banquet/meeting rooms, and total meeting, exhibit and pre-function space of approximately 640,000 square feet. Gaylord Opryland is routinely recognized by many industry and commercial publications, including being named a 2019 STELLA Award Finalist for best conference center by Northstar Meetings Group and </w:t>
      </w:r>
      <w:r>
        <w:rPr>
          <w:rFonts w:ascii="Arial" w:cs="Arial" w:eastAsia="Arial" w:hAnsi="Arial"/>
          <w:sz w:val="17"/>
          <w:szCs w:val="17"/>
          <w:i w:val="1"/>
          <w:iCs w:val="1"/>
          <w:color w:val="auto"/>
        </w:rPr>
        <w:t>Meetings &amp; Conventions</w:t>
      </w:r>
      <w:r>
        <w:rPr>
          <w:rFonts w:ascii="Arial" w:cs="Arial" w:eastAsia="Arial" w:hAnsi="Arial"/>
          <w:sz w:val="17"/>
          <w:szCs w:val="17"/>
          <w:color w:val="auto"/>
        </w:rPr>
        <w:t xml:space="preserve"> and </w:t>
      </w:r>
      <w:r>
        <w:rPr>
          <w:rFonts w:ascii="Arial" w:cs="Arial" w:eastAsia="Arial" w:hAnsi="Arial"/>
          <w:sz w:val="17"/>
          <w:szCs w:val="17"/>
          <w:i w:val="1"/>
          <w:iCs w:val="1"/>
          <w:color w:val="auto"/>
        </w:rPr>
        <w:t>Successful Meetings</w:t>
      </w:r>
      <w:r>
        <w:rPr>
          <w:rFonts w:ascii="Arial" w:cs="Arial" w:eastAsia="Arial" w:hAnsi="Arial"/>
          <w:sz w:val="17"/>
          <w:szCs w:val="17"/>
          <w:color w:val="auto"/>
        </w:rPr>
        <w:t xml:space="preserve"> magazines, a 2020 Award of Excellence Recipient from </w:t>
      </w:r>
      <w:r>
        <w:rPr>
          <w:rFonts w:ascii="Arial" w:cs="Arial" w:eastAsia="Arial" w:hAnsi="Arial"/>
          <w:sz w:val="17"/>
          <w:szCs w:val="17"/>
          <w:i w:val="1"/>
          <w:iCs w:val="1"/>
          <w:color w:val="auto"/>
        </w:rPr>
        <w:t>Corporate &amp; Incentive Travel</w:t>
      </w:r>
      <w:r>
        <w:rPr>
          <w:rFonts w:ascii="Arial" w:cs="Arial" w:eastAsia="Arial" w:hAnsi="Arial"/>
          <w:sz w:val="17"/>
          <w:szCs w:val="17"/>
          <w:color w:val="auto"/>
        </w:rPr>
        <w:t xml:space="preserve"> magazine, and recognition as a member of </w:t>
      </w:r>
      <w:r>
        <w:rPr>
          <w:rFonts w:ascii="Arial" w:cs="Arial" w:eastAsia="Arial" w:hAnsi="Arial"/>
          <w:sz w:val="17"/>
          <w:szCs w:val="17"/>
          <w:i w:val="1"/>
          <w:iCs w:val="1"/>
          <w:color w:val="auto"/>
        </w:rPr>
        <w:t>Meeting &amp;</w:t>
      </w:r>
      <w:r>
        <w:rPr>
          <w:rFonts w:ascii="Arial" w:cs="Arial" w:eastAsia="Arial" w:hAnsi="Arial"/>
          <w:sz w:val="17"/>
          <w:szCs w:val="17"/>
          <w:color w:val="auto"/>
        </w:rPr>
        <w:t xml:space="preserve"> </w:t>
      </w:r>
      <w:r>
        <w:rPr>
          <w:rFonts w:ascii="Arial" w:cs="Arial" w:eastAsia="Arial" w:hAnsi="Arial"/>
          <w:sz w:val="17"/>
          <w:szCs w:val="17"/>
          <w:i w:val="1"/>
          <w:iCs w:val="1"/>
          <w:color w:val="auto"/>
        </w:rPr>
        <w:t>Conventions</w:t>
      </w:r>
      <w:r>
        <w:rPr>
          <w:rFonts w:ascii="Arial" w:cs="Arial" w:eastAsia="Arial" w:hAnsi="Arial"/>
          <w:sz w:val="17"/>
          <w:szCs w:val="17"/>
          <w:color w:val="auto"/>
        </w:rPr>
        <w:t>’ Hall of Fame. We opened the indoor sections of SoundWaves, a $90 million luxury indoor/outdoor waterpark</w:t>
      </w:r>
      <w:r>
        <w:rPr>
          <w:rFonts w:ascii="Arial" w:cs="Arial" w:eastAsia="Arial" w:hAnsi="Arial"/>
          <w:sz w:val="17"/>
          <w:szCs w:val="17"/>
          <w:i w:val="1"/>
          <w:iCs w:val="1"/>
          <w:color w:val="auto"/>
        </w:rPr>
        <w:t xml:space="preserve"> </w:t>
      </w:r>
      <w:r>
        <w:rPr>
          <w:rFonts w:ascii="Arial" w:cs="Arial" w:eastAsia="Arial" w:hAnsi="Arial"/>
          <w:sz w:val="17"/>
          <w:szCs w:val="17"/>
          <w:color w:val="auto"/>
        </w:rPr>
        <w:t>with over 200,000 square feet of water attractions and amenities adjacent to Gaylord Opryland in December 2018 and the outdoor sections in May 2019.</w:t>
      </w:r>
    </w:p>
    <w:p>
      <w:pPr>
        <w:spacing w:after="0" w:line="184"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b w:val="1"/>
          <w:bCs w:val="1"/>
          <w:i w:val="1"/>
          <w:iCs w:val="1"/>
          <w:color w:val="auto"/>
        </w:rPr>
        <w:t xml:space="preserve">Gaylord Palms Resort and Convention Center — Kissimmee, Florida. </w:t>
      </w:r>
      <w:r>
        <w:rPr>
          <w:rFonts w:ascii="Arial" w:cs="Arial" w:eastAsia="Arial" w:hAnsi="Arial"/>
          <w:sz w:val="16"/>
          <w:szCs w:val="16"/>
          <w:color w:val="auto"/>
        </w:rPr>
        <w:t>Gaylord Palms has 1,416 signature guest rooms,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ballrooms with approximately 76,000 square feet, 76 banquet/meeting rooms, and total meeting, exhibit and pre-function space of approximately 400,000 square feet. The resort is situated on a 65-acre site in Osceola County, Florida, which we have leased pursuant to a 75-year ground lease with a 24-year renewal option. The resort is approximately a five-minute drive from the main gate of the Walt Disney World® Resort complex. Gaylord Palms has a number of themed restaurants, retail outlets, a new resort pool, and a full-service spa with 20,000 square feet of dedicated space. Hotel guests also have golf privileges at Celebration Golf Club, located approximately two miles from the property. Gaylord Palms is rated as a AAA Four-Diamond Hotel and is routinely recognized by many industry and commercial</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3" w:lineRule="auto"/>
        <w:rPr>
          <w:sz w:val="20"/>
          <w:szCs w:val="20"/>
          <w:color w:val="auto"/>
        </w:rPr>
      </w:pPr>
      <w:r>
        <w:rPr>
          <w:rFonts w:ascii="Arial" w:cs="Arial" w:eastAsia="Arial" w:hAnsi="Arial"/>
          <w:sz w:val="17"/>
          <w:szCs w:val="17"/>
          <w:color w:val="auto"/>
        </w:rPr>
        <w:t xml:space="preserve">publications, including being awarded a 2019 STELLA Award Bronze Winner for best conference center by Northstar Meetings Group and </w:t>
      </w:r>
      <w:r>
        <w:rPr>
          <w:rFonts w:ascii="Arial" w:cs="Arial" w:eastAsia="Arial" w:hAnsi="Arial"/>
          <w:sz w:val="17"/>
          <w:szCs w:val="17"/>
          <w:i w:val="1"/>
          <w:iCs w:val="1"/>
          <w:color w:val="auto"/>
        </w:rPr>
        <w:t>Meetings &amp; Conventions</w:t>
      </w:r>
      <w:r>
        <w:rPr>
          <w:rFonts w:ascii="Arial" w:cs="Arial" w:eastAsia="Arial" w:hAnsi="Arial"/>
          <w:sz w:val="17"/>
          <w:szCs w:val="17"/>
          <w:color w:val="auto"/>
        </w:rPr>
        <w:t xml:space="preserve"> and </w:t>
      </w:r>
      <w:r>
        <w:rPr>
          <w:rFonts w:ascii="Arial" w:cs="Arial" w:eastAsia="Arial" w:hAnsi="Arial"/>
          <w:sz w:val="17"/>
          <w:szCs w:val="17"/>
          <w:i w:val="1"/>
          <w:iCs w:val="1"/>
          <w:color w:val="auto"/>
        </w:rPr>
        <w:t>Successful Meetings</w:t>
      </w:r>
      <w:r>
        <w:rPr>
          <w:rFonts w:ascii="Arial" w:cs="Arial" w:eastAsia="Arial" w:hAnsi="Arial"/>
          <w:sz w:val="17"/>
          <w:szCs w:val="17"/>
          <w:color w:val="auto"/>
        </w:rPr>
        <w:t xml:space="preserve"> magazines, a 2020 Award of Excellence Recipient from </w:t>
      </w:r>
      <w:r>
        <w:rPr>
          <w:rFonts w:ascii="Arial" w:cs="Arial" w:eastAsia="Arial" w:hAnsi="Arial"/>
          <w:sz w:val="17"/>
          <w:szCs w:val="17"/>
          <w:i w:val="1"/>
          <w:iCs w:val="1"/>
          <w:color w:val="auto"/>
        </w:rPr>
        <w:t>Corporate &amp; Incentive Travel</w:t>
      </w:r>
      <w:r>
        <w:rPr>
          <w:rFonts w:ascii="Arial" w:cs="Arial" w:eastAsia="Arial" w:hAnsi="Arial"/>
          <w:sz w:val="17"/>
          <w:szCs w:val="17"/>
          <w:color w:val="auto"/>
        </w:rPr>
        <w:t xml:space="preserve"> magazine, and recognition as a member of </w:t>
      </w:r>
      <w:r>
        <w:rPr>
          <w:rFonts w:ascii="Arial" w:cs="Arial" w:eastAsia="Arial" w:hAnsi="Arial"/>
          <w:sz w:val="17"/>
          <w:szCs w:val="17"/>
          <w:i w:val="1"/>
          <w:iCs w:val="1"/>
          <w:color w:val="auto"/>
        </w:rPr>
        <w:t>Meeting &amp; Conventions</w:t>
      </w:r>
      <w:r>
        <w:rPr>
          <w:rFonts w:ascii="Arial" w:cs="Arial" w:eastAsia="Arial" w:hAnsi="Arial"/>
          <w:sz w:val="17"/>
          <w:szCs w:val="17"/>
          <w:color w:val="auto"/>
        </w:rPr>
        <w:t xml:space="preserve"> Hall of Fame. In 2018, we began construction of a $158 million expansion of Gaylord Palms, which will include an additional 302 guest rooms and 96,000 square feet of meeting space, an expanded resort pool and events lawn, and a new multi-level parking structure. The expansion is expected to be completed in April 2021.</w:t>
      </w:r>
    </w:p>
    <w:p>
      <w:pPr>
        <w:spacing w:after="0" w:line="178"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b w:val="1"/>
          <w:bCs w:val="1"/>
          <w:i w:val="1"/>
          <w:iCs w:val="1"/>
          <w:color w:val="auto"/>
        </w:rPr>
        <w:t xml:space="preserve">Gaylord Texan Resort and Convention Center — Grapevine, Texas. </w:t>
      </w:r>
      <w:r>
        <w:rPr>
          <w:rFonts w:ascii="Arial" w:cs="Arial" w:eastAsia="Arial" w:hAnsi="Arial"/>
          <w:sz w:val="17"/>
          <w:szCs w:val="17"/>
          <w:color w:val="auto"/>
        </w:rPr>
        <w:t>Gaylord Texan is situated on approximately 85 acres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and is located approximately six minutes from the Dallas/Fort Worth International Airport. Of the 85 acres, we own 75 acres and lease approximately 10 acres pursuant to a ground lease. The hotel features a lavish and expansive atrium, 1,814 signature guest rooms, four ballrooms with approximately 115,000 square feet, 88 banquet/meeting rooms, and total meeting, exhibit and pre-function space of approximately 488,000 square feet. The property also includes a number of themed restaurants, retail outlets, a resort pool, a full-service spa with 25,000 square feet of dedicated space, and an entertainment complex consisting of an approximately 39,000 square foot venue with a performance stage, dance floor, and a two-story outdoor deck. Guests also have access to the adjacent Cowboys Golf Club. Gaylord Texan is rated as a AAA Four-Diamond Hotel and is routinely recognized by many industry and commercial publications, including being awarded a 2020 STELLA Award Gold Winner by Northstar Meetings Group and </w:t>
      </w:r>
      <w:r>
        <w:rPr>
          <w:rFonts w:ascii="Arial" w:cs="Arial" w:eastAsia="Arial" w:hAnsi="Arial"/>
          <w:sz w:val="17"/>
          <w:szCs w:val="17"/>
          <w:i w:val="1"/>
          <w:iCs w:val="1"/>
          <w:color w:val="auto"/>
        </w:rPr>
        <w:t>Meetings &amp; Conventions</w:t>
      </w:r>
      <w:r>
        <w:rPr>
          <w:rFonts w:ascii="Arial" w:cs="Arial" w:eastAsia="Arial" w:hAnsi="Arial"/>
          <w:sz w:val="17"/>
          <w:szCs w:val="17"/>
          <w:color w:val="auto"/>
        </w:rPr>
        <w:t xml:space="preserve"> and </w:t>
      </w:r>
      <w:r>
        <w:rPr>
          <w:rFonts w:ascii="Arial" w:cs="Arial" w:eastAsia="Arial" w:hAnsi="Arial"/>
          <w:sz w:val="17"/>
          <w:szCs w:val="17"/>
          <w:i w:val="1"/>
          <w:iCs w:val="1"/>
          <w:color w:val="auto"/>
        </w:rPr>
        <w:t>Successful Meetings</w:t>
      </w:r>
      <w:r>
        <w:rPr>
          <w:rFonts w:ascii="Arial" w:cs="Arial" w:eastAsia="Arial" w:hAnsi="Arial"/>
          <w:sz w:val="17"/>
          <w:szCs w:val="17"/>
          <w:color w:val="auto"/>
        </w:rPr>
        <w:t xml:space="preserve"> magazines and a 2020 Award of Excellence Recipient from </w:t>
      </w:r>
      <w:r>
        <w:rPr>
          <w:rFonts w:ascii="Arial" w:cs="Arial" w:eastAsia="Arial" w:hAnsi="Arial"/>
          <w:sz w:val="17"/>
          <w:szCs w:val="17"/>
          <w:i w:val="1"/>
          <w:iCs w:val="1"/>
          <w:color w:val="auto"/>
        </w:rPr>
        <w:t>Corporate &amp; Incentive Travel</w:t>
      </w:r>
      <w:r>
        <w:rPr>
          <w:rFonts w:ascii="Arial" w:cs="Arial" w:eastAsia="Arial" w:hAnsi="Arial"/>
          <w:sz w:val="17"/>
          <w:szCs w:val="17"/>
          <w:color w:val="auto"/>
        </w:rPr>
        <w:t xml:space="preserve"> magazine. In 2018, we completed construction of a $110 million expansion of Gaylord Texan that included an additional 303 guest rooms and 88,000 square feet of meeting space.</w:t>
      </w:r>
    </w:p>
    <w:p>
      <w:pPr>
        <w:spacing w:after="0" w:line="186"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b w:val="1"/>
          <w:bCs w:val="1"/>
          <w:i w:val="1"/>
          <w:iCs w:val="1"/>
          <w:color w:val="auto"/>
        </w:rPr>
        <w:t xml:space="preserve">Gaylord National Resort and Convention Center — National Harbor, Maryland. </w:t>
      </w:r>
      <w:r>
        <w:rPr>
          <w:rFonts w:ascii="Arial" w:cs="Arial" w:eastAsia="Arial" w:hAnsi="Arial"/>
          <w:sz w:val="17"/>
          <w:szCs w:val="17"/>
          <w:color w:val="auto"/>
        </w:rPr>
        <w:t>Gaylord National is situated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approximately 42 acres of land located on the Potomac River in Prince George’s County, Maryland, eight miles south of Washington, D.C. The hotel has 1,996 signature guest rooms, four ballrooms with approximately 103,000 square feet, 82 conference and breakout rooms, and total meeting, exhibit and pre-function space of approximately 500,000 square feet. The hotel complex includes an 18-story glass atrium, a 20,000 square foot spa and fitness center, a freestanding 24,000-square foot ballroom building offering 16,000 square feet of meeting space on the banks of the Potomac River that opened in May 2017, and entertainment options such as restaurants, shops, and a two-story rooftop nightclub. Gaylord National is rated as a AAA Four-Diamond Hotel and is routinely recognized by many industry and commercial publications, including being awarded a 2020 STELLA Award Silver Winner by Northstar Meetings Group and </w:t>
      </w:r>
      <w:r>
        <w:rPr>
          <w:rFonts w:ascii="Arial" w:cs="Arial" w:eastAsia="Arial" w:hAnsi="Arial"/>
          <w:sz w:val="17"/>
          <w:szCs w:val="17"/>
          <w:i w:val="1"/>
          <w:iCs w:val="1"/>
          <w:color w:val="auto"/>
        </w:rPr>
        <w:t>Meetings &amp; Conventions</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Successful Meetings </w:t>
      </w:r>
      <w:r>
        <w:rPr>
          <w:rFonts w:ascii="Arial" w:cs="Arial" w:eastAsia="Arial" w:hAnsi="Arial"/>
          <w:sz w:val="17"/>
          <w:szCs w:val="17"/>
          <w:color w:val="auto"/>
        </w:rPr>
        <w:t>magazines, a 2020 Award of Excellence Recipient from</w:t>
      </w:r>
      <w:r>
        <w:rPr>
          <w:rFonts w:ascii="Arial" w:cs="Arial" w:eastAsia="Arial" w:hAnsi="Arial"/>
          <w:sz w:val="17"/>
          <w:szCs w:val="17"/>
          <w:i w:val="1"/>
          <w:iCs w:val="1"/>
          <w:color w:val="auto"/>
        </w:rPr>
        <w:t xml:space="preserve"> Corporate &amp; Incentive Travel </w:t>
      </w:r>
      <w:r>
        <w:rPr>
          <w:rFonts w:ascii="Arial" w:cs="Arial" w:eastAsia="Arial" w:hAnsi="Arial"/>
          <w:sz w:val="17"/>
          <w:szCs w:val="17"/>
          <w:color w:val="auto"/>
        </w:rPr>
        <w:t>magazine,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Best of the East Award Winner from </w:t>
      </w:r>
      <w:r>
        <w:rPr>
          <w:rFonts w:ascii="Arial" w:cs="Arial" w:eastAsia="Arial" w:hAnsi="Arial"/>
          <w:sz w:val="17"/>
          <w:szCs w:val="17"/>
          <w:i w:val="1"/>
          <w:iCs w:val="1"/>
          <w:color w:val="auto"/>
        </w:rPr>
        <w:t>Meetings Today</w:t>
      </w:r>
      <w:r>
        <w:rPr>
          <w:rFonts w:ascii="Arial" w:cs="Arial" w:eastAsia="Arial" w:hAnsi="Arial"/>
          <w:sz w:val="17"/>
          <w:szCs w:val="17"/>
          <w:color w:val="auto"/>
        </w:rPr>
        <w:t>. Gaylord National is currently closed due to the COVID-19 pandemic.</w:t>
      </w:r>
    </w:p>
    <w:p>
      <w:pPr>
        <w:spacing w:after="0" w:line="179"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b w:val="1"/>
          <w:bCs w:val="1"/>
          <w:i w:val="1"/>
          <w:iCs w:val="1"/>
          <w:color w:val="auto"/>
        </w:rPr>
        <w:t xml:space="preserve">Gaylord Rockies Resort and Convention Center — Aurora, Colorado. </w:t>
      </w:r>
      <w:r>
        <w:rPr>
          <w:rFonts w:ascii="Arial" w:cs="Arial" w:eastAsia="Arial" w:hAnsi="Arial"/>
          <w:sz w:val="17"/>
          <w:szCs w:val="17"/>
          <w:color w:val="auto"/>
        </w:rPr>
        <w:t>As further discussed in “Note 4 – Investment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Gaylord Rockies Joint Venture” to our consolidated financial statements included in this Annual Report on Form 10-K, we own a 65% interest in, and are the managing member of, the Gaylord Rockies joint venture. Gaylord Rockies is situated on approximately 85 acres and is located approximately 10 minutes from Denver International Airport. The hotel features a lavish and expansive atrium, 1,501 signature guest rooms, including 114 suites, four ballrooms with up to approximately 60,000 square feet, up to 81 breakout rooms, indoor meeting, exhibit and pre-function space of approximately 409,000 square feet, and additional outdoor meeting space of approximately 76,000 square feet. The property also includes a number of themed restaurants, retail outlets, a full-service spa, five outdoor event spaces and an indoor/outdoor pool complex. The approximately $800 million hotel project opened on a limited basis in December 2018 and on a fully completed basis in January 2019. Gaylord Rockies is rated as a AAA Four-Diamond Hotel and was awarded a 2019 STELLA Award Silver Winner for best conference center by Northstar Meetings Group and </w:t>
      </w:r>
      <w:r>
        <w:rPr>
          <w:rFonts w:ascii="Arial" w:cs="Arial" w:eastAsia="Arial" w:hAnsi="Arial"/>
          <w:sz w:val="17"/>
          <w:szCs w:val="17"/>
          <w:i w:val="1"/>
          <w:iCs w:val="1"/>
          <w:color w:val="auto"/>
        </w:rPr>
        <w:t>Meetings &amp; Conventions</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Successful Meetings </w:t>
      </w:r>
      <w:r>
        <w:rPr>
          <w:rFonts w:ascii="Arial" w:cs="Arial" w:eastAsia="Arial" w:hAnsi="Arial"/>
          <w:sz w:val="17"/>
          <w:szCs w:val="17"/>
          <w:color w:val="auto"/>
        </w:rPr>
        <w:t>magazines.</w:t>
      </w:r>
    </w:p>
    <w:p>
      <w:pPr>
        <w:spacing w:after="0" w:line="179"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 xml:space="preserve">Inn at Opryland. </w:t>
      </w:r>
      <w:r>
        <w:rPr>
          <w:rFonts w:ascii="Arial" w:cs="Arial" w:eastAsia="Arial" w:hAnsi="Arial"/>
          <w:sz w:val="18"/>
          <w:szCs w:val="18"/>
          <w:color w:val="auto"/>
        </w:rPr>
        <w:t>We also own the Inn at Opryland, which is located across the street from Gaylord Opryland. The hotel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303 rooms and approximately 14,000 square feet of meeting space.</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 xml:space="preserve">AC Hotel. </w:t>
      </w:r>
      <w:r>
        <w:rPr>
          <w:rFonts w:ascii="Arial" w:cs="Arial" w:eastAsia="Arial" w:hAnsi="Arial"/>
          <w:sz w:val="18"/>
          <w:szCs w:val="18"/>
          <w:color w:val="auto"/>
        </w:rPr>
        <w:t>We also own the AC Hotel, which is located near Gaylord National. The hotel has 192 rooms and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3,700 square feet of meeting space.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 of our Entertainment Portfolio</w:t>
      </w:r>
    </w:p>
    <w:p>
      <w:pPr>
        <w:spacing w:after="0" w:line="219"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b w:val="1"/>
          <w:bCs w:val="1"/>
          <w:i w:val="1"/>
          <w:iCs w:val="1"/>
          <w:color w:val="auto"/>
        </w:rPr>
        <w:t xml:space="preserve">The Grand Ole Opry. </w:t>
      </w:r>
      <w:r>
        <w:rPr>
          <w:rFonts w:ascii="Arial" w:cs="Arial" w:eastAsia="Arial" w:hAnsi="Arial"/>
          <w:sz w:val="17"/>
          <w:szCs w:val="17"/>
          <w:color w:val="auto"/>
        </w:rPr>
        <w:t>The Grand Ole Opry, which celebrated its 95</w:t>
      </w:r>
      <w:r>
        <w:rPr>
          <w:rFonts w:ascii="Arial" w:cs="Arial" w:eastAsia="Arial" w:hAnsi="Arial"/>
          <w:sz w:val="25"/>
          <w:szCs w:val="25"/>
          <w:color w:val="auto"/>
          <w:vertAlign w:val="superscript"/>
        </w:rPr>
        <w:t>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anniversary in 2020, is one of the most widely known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platforms for country music in the world. The Opry features a live country music show with performances every Friday and Saturday night, as well as additional weekly performances on a seasonal basis. The Grand Ole Opry House, home of the Grand Ole Opry, seats approximately 4,400, is located in the Opryland complex, and was named the Venue of the Year by the Academy of Country Music in 2014. The Grand Ole Opry moved to the Opry House in 1974 from its most famous home in the Ryman Auditorium in downtown Nashville. Each week, the Grand Ole Opry is broadcast live to millions of country lifestyle consumers on radio via WSM-AM and Sirius/XM Radio and streamed on the Internet. The show has been broadcast since 1925 on WSM-AM, making it the longest running live radio program in the United States. In addition to performances by its members, the Grand Ole Opry presents performances by many other country music artists and other acts. In 2019, we completed construction of an approximately $20 million expansion to the Grand Ole Opry House, which includes a larger retail space, additional food and beverage options, a redesigned box office, VIP lounge area with a backstage tour theater, and additional parking.</w:t>
      </w:r>
    </w:p>
    <w:p>
      <w:pPr>
        <w:spacing w:after="0" w:line="187"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b w:val="1"/>
          <w:bCs w:val="1"/>
          <w:i w:val="1"/>
          <w:iCs w:val="1"/>
          <w:color w:val="auto"/>
        </w:rPr>
        <w:t xml:space="preserve">Ryman Auditorium. </w:t>
      </w:r>
      <w:r>
        <w:rPr>
          <w:rFonts w:ascii="Arial" w:cs="Arial" w:eastAsia="Arial" w:hAnsi="Arial"/>
          <w:sz w:val="17"/>
          <w:szCs w:val="17"/>
          <w:color w:val="auto"/>
        </w:rPr>
        <w:t>The Ryman Auditorium, which was built in 1892 and seats approximately 2,300, is designated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National Historic Landmark. The former home of the Grand Ole Opry, the Ryman Auditorium was renovated and re-opened in 1994 for concerts and musical productions. In June 2015, the Ryman completed a $14 million expansion, including updated museum exhibits, a new museum theatre and a new café. The Grand Ole Opry returns to the Ryman Auditorium periodically, most recently from November 2019 to January 2020. In 2019, the Ryman Auditorium was named “Theatre of the Year” by Pollstar Concert Industry Awards for the ninth consecutive year, “Venue of the Year” by the Country Music Association for the fifth consecutive year, and “Venue of the Year – Small Capacity” by the Academy of Country Music for the sixth time.</w:t>
      </w:r>
    </w:p>
    <w:p>
      <w:pPr>
        <w:spacing w:after="0" w:line="178"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b w:val="1"/>
          <w:bCs w:val="1"/>
          <w:i w:val="1"/>
          <w:iCs w:val="1"/>
          <w:color w:val="auto"/>
        </w:rPr>
        <w:t xml:space="preserve">WSM-AM. </w:t>
      </w:r>
      <w:r>
        <w:rPr>
          <w:rFonts w:ascii="Arial" w:cs="Arial" w:eastAsia="Arial" w:hAnsi="Arial"/>
          <w:sz w:val="17"/>
          <w:szCs w:val="17"/>
          <w:color w:val="auto"/>
        </w:rPr>
        <w:t>WSM-AM commenced broadcasting in 1925. The involvement of Ryman’s predecessors with country music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dates back to the creation of the radio program that became The Grand Ole Opry, which has been broadcast live on WSM-AM since 1925. WSM-AM is broadcast from the Gaylord Opryland complex in Nashville and has a country music format. WSM-AM is one of the nation’s “clear channel” stations, meaning that no other station in a 750-mile radius uses the same frequency for night time broadcasts. As a result, the station’s signal, transmitted by a 50,000-watt transmitter, can be heard at night in much of the United States and parts of Canada.</w:t>
      </w:r>
    </w:p>
    <w:p>
      <w:pPr>
        <w:spacing w:after="0" w:line="178"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b w:val="1"/>
          <w:bCs w:val="1"/>
          <w:i w:val="1"/>
          <w:iCs w:val="1"/>
          <w:color w:val="auto"/>
        </w:rPr>
        <w:t xml:space="preserve">Ole Red. </w:t>
      </w:r>
      <w:r>
        <w:rPr>
          <w:rFonts w:ascii="Arial" w:cs="Arial" w:eastAsia="Arial" w:hAnsi="Arial"/>
          <w:sz w:val="18"/>
          <w:szCs w:val="18"/>
          <w:color w:val="auto"/>
        </w:rPr>
        <w:t>In May 2018, we opened our flagship Ole Red location, a multi-level entertainment venue in downtown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Nashville. The 26,000-square foot venue features a two-story bar and restaurant, performance space, private event space and a 6,000-square foot rooftop restaurant and bar. We own additional Ole Red locations in Gatlinburg, Tennessee; Orlando, Florida; and Tishomingo, Oklahoma.</w:t>
      </w:r>
    </w:p>
    <w:p>
      <w:pPr>
        <w:spacing w:after="0" w:line="187"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b w:val="1"/>
          <w:bCs w:val="1"/>
          <w:i w:val="1"/>
          <w:iCs w:val="1"/>
          <w:color w:val="auto"/>
        </w:rPr>
        <w:t xml:space="preserve">The General Jackson Showboat. </w:t>
      </w:r>
      <w:r>
        <w:rPr>
          <w:rFonts w:ascii="Arial" w:cs="Arial" w:eastAsia="Arial" w:hAnsi="Arial"/>
          <w:sz w:val="17"/>
          <w:szCs w:val="17"/>
          <w:color w:val="auto"/>
        </w:rPr>
        <w:t>We own the General Jackson Showboat, a 300-foot, four-deck paddle wheel showboat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Cumberland River, which flows past the Gaylord Opryland complex in Nashville. Its Victorian Theatre can seat 600 people for banquets and 1,000 people for theater-style presentations. The showboat stages Broadway-style shows and other theatrical productions. The General Jackson is one of many sources of entertainment that is available to conventions held at Gaylord Opryland. During the day, it operates cruises, primarily serving tourists visiting the Gaylord Opryland complex and the Nashville area. Marriott manages the day-to-day operations of the General Jackson. The General Jackson is currently closed due to the COVID-19 pandemic.</w:t>
      </w:r>
    </w:p>
    <w:p>
      <w:pPr>
        <w:spacing w:after="0" w:line="177"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b w:val="1"/>
          <w:bCs w:val="1"/>
          <w:i w:val="1"/>
          <w:iCs w:val="1"/>
          <w:color w:val="auto"/>
        </w:rPr>
        <w:t xml:space="preserve">Gaylord Springs. </w:t>
      </w:r>
      <w:r>
        <w:rPr>
          <w:rFonts w:ascii="Arial" w:cs="Arial" w:eastAsia="Arial" w:hAnsi="Arial"/>
          <w:sz w:val="17"/>
          <w:szCs w:val="17"/>
          <w:color w:val="auto"/>
        </w:rPr>
        <w:t>Minutes from Gaylord Opryland, Gaylord Springs, our 18-hole championship golf course, was designed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former U.S. Open and PGA Champion Larry Nelson. The 40,000 square-foot antebellum-style clubhouse offers meeting space for up to 500 guests. Marriott manages the day-to-day operations of Gaylord Springs.</w:t>
      </w:r>
    </w:p>
    <w:p>
      <w:pPr>
        <w:spacing w:after="0" w:line="165"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b w:val="1"/>
          <w:bCs w:val="1"/>
          <w:i w:val="1"/>
          <w:iCs w:val="1"/>
          <w:color w:val="auto"/>
        </w:rPr>
        <w:t xml:space="preserve">The Wildhorse Saloon. </w:t>
      </w:r>
      <w:r>
        <w:rPr>
          <w:rFonts w:ascii="Arial" w:cs="Arial" w:eastAsia="Arial" w:hAnsi="Arial"/>
          <w:sz w:val="17"/>
          <w:szCs w:val="17"/>
          <w:color w:val="auto"/>
        </w:rPr>
        <w:t>Since 1994, we have owned the Wildhorse Saloon, a country music performance venue on historic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Second Avenue in downtown Nashville. The three-story facility includes a dance floor of approximately 2,000 square feet, as well as a restaurant and banquet facility that can accommodate up to 2,000 guests. Marriott manages the day-to-day operations of the Wildhorse Saloon. The Wildhorse Saloon temporarily closed in December 2020 subsequent to the downtown Nashville bombing, and is currently estimated to reopen in March 2021.</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b w:val="1"/>
          <w:bCs w:val="1"/>
          <w:i w:val="1"/>
          <w:iCs w:val="1"/>
          <w:color w:val="auto"/>
        </w:rPr>
        <w:t>Circle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2019, we acquired a 50% equity interest in Circle, a media network dedicated to the country lifestyle consumer.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Circle offers entertainment news, documentaries, movies, and archival, new and licensed programming, as well as Grand Ole Opry performances. We made $12.5 million in capital contributions through December 31, 2020, and the joint venture agreement requires us to contribute up to an additional $2.5 million through December 31, 2021. We made such a contribution in January 2021. Circle launched its broadcast network on January 1, 2020, with sixteen original shows and two major distribution partnerships. As of February 2021, Circle is available to more than 60% of U.S. television households via over-the-air and cable television and is available through multiple online streaming services covering over 100 million monthly average users.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and Other Segment</w:t>
      </w:r>
    </w:p>
    <w:p>
      <w:pPr>
        <w:spacing w:after="0" w:line="229" w:lineRule="exact"/>
        <w:rPr>
          <w:sz w:val="20"/>
          <w:szCs w:val="20"/>
          <w:color w:val="auto"/>
        </w:rPr>
      </w:pPr>
    </w:p>
    <w:p>
      <w:pPr>
        <w:ind w:left="60" w:right="519"/>
        <w:spacing w:after="0" w:line="259" w:lineRule="auto"/>
        <w:rPr>
          <w:sz w:val="20"/>
          <w:szCs w:val="20"/>
          <w:color w:val="auto"/>
        </w:rPr>
      </w:pPr>
      <w:r>
        <w:rPr>
          <w:rFonts w:ascii="Arial" w:cs="Arial" w:eastAsia="Arial" w:hAnsi="Arial"/>
          <w:sz w:val="18"/>
          <w:szCs w:val="18"/>
          <w:color w:val="auto"/>
        </w:rPr>
        <w:t>Our Corporate and Other segment includes operating and general and administrative expenses related to the overall management of the Company which are not allocated to the other reportable segments, including certain costs for our retirement plans, equity-based compensation plans, information technology, human resources, accounting, and other administrative expenses.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History and Structure</w:t>
      </w:r>
    </w:p>
    <w:p>
      <w:pPr>
        <w:spacing w:after="0" w:line="229"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We were originally incorporated in 1956 and were reorganized in connection with a 1997 corporate restructuring. Prior to our REIT conversion, we operated as a C corporation. In 2012, we completed restructuring transactions intended to facilitate our qualification as a REIT for federal income tax purposes, which included the merger, effective on October 1, 2012, of our predecessor, Gaylord, with and into its wholly-owned subsidiary, Ryman, with Ryman surviving the merger, at which time Ryman succeeded to and began conducting, directly or indirectly, all of the business conducted by Gaylord immediately prior to the merger. Prior to Marriott’s assumption of the day-to-day management of our hotels and certain of our Nashville attractions, we managed such assets. We elected REIT status effective January 1, 2013.</w:t>
      </w:r>
    </w:p>
    <w:p>
      <w:pPr>
        <w:spacing w:after="0" w:line="177"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All of our assets are held by, and all of our operations are conducted through, RHP Hotel Properties, LP, a Delaware limited partnership (the “Operating Partnership”), of which we own, directly or indirectly, 99.2% of the partnership interests, including all of the general partnership interests. On December 31, 2018, we amended the limited partnership agreement of the Operating Partnership to provide that its partnership units may be exchanged on a one-for-one basis for shares of our common stock. Under certain circumstances, we may issue such partnership units as consideration to acquire hotel properties. By offering partnership units, the seller of such hotel property could defer federal income tax on any of the seller’s gains on sale, and this tax advantage may enable us to acquire hotel properties in the future which otherwise may not be available for sale.</w:t>
      </w:r>
    </w:p>
    <w:p>
      <w:pPr>
        <w:spacing w:after="0" w:line="192"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As a REIT, at least 75% of our gross income for each taxable year must generally be derived from “rents from real property” or other income permitted by the Internal Revenue Code of 1986, as amended (the “Code”). To meet this requirement, our hotel properties are owned or leased by certain subsidiaries of the Operating Partnership, which are disregarded entities for federal income tax purposes, and these subsidiaries lease or sublease our hotels to our TRSs pursuant to leases that contain economic terms which are similar to leases between unrelated parties. The rent that we receive from our TRS lessees qualifies as “rents from real property” as long as the property is operated on behalf of our TRS lessees by a person who qualifies as an “independent contractor” (as defined in the Code) and who is, or is related to a person who is, actively engaged in the trade or business of operating “qualified lodging facilities” (as defined in the Code) for any person unrelated to us and our TRS lessees (an “eligible independent contractor”). Our TRS lessees have engaged Marriott to manage the day-to-day operations of our hotels as an eligible independent contractor.</w:t>
      </w:r>
    </w:p>
    <w:p>
      <w:pPr>
        <w:spacing w:after="0" w:line="168"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In addition, we own our Entertainment businesses in TRSs, and certain of those TRSs have engaged Marriott to manage their assets, as described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Tax Status</w:t>
      </w:r>
    </w:p>
    <w:p>
      <w:pPr>
        <w:spacing w:after="0" w:line="229"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As a REIT, we generally are not subject to corporate federal income tax on that portion of our REIT taxable income that we distribute to our stockholders. In addition to the requirement that 75% of our gross income for each taxable year be derived from “rents from real property” discussed above, we are subject to other organizational and operational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9" w:lineRule="auto"/>
        <w:rPr>
          <w:sz w:val="20"/>
          <w:szCs w:val="20"/>
          <w:color w:val="auto"/>
        </w:rPr>
      </w:pPr>
      <w:r>
        <w:rPr>
          <w:rFonts w:ascii="Arial" w:cs="Arial" w:eastAsia="Arial" w:hAnsi="Arial"/>
          <w:sz w:val="16"/>
          <w:szCs w:val="16"/>
          <w:color w:val="auto"/>
        </w:rPr>
        <w:t>requirements including the requirement that we distribute at least 90% of our REIT taxable income each year and the requirement that no more than 50% in value of our outstanding shares may be owned, directly or indirectly, by five or fewer individuals (as defined in the Code to include various kinds of entities). We will be subject to federal and state income tax on our taxable income at regular corporate rates to the extent we distribute less than 100% of our REIT taxable income in any taxable year or if we fail to qualify as a REIT for federal income tax purposes in any taxable year. In that latter event, we will also not be permitted to qualify for treatment as a REIT for federal income tax purposes until the fifth year following any year in which qualification is lost. Our non-REIT operations, which consist of the activities of our TRSs that lease or sublease our hotels from the Operating Partnership, as well as businesses within our Entertainment segment, will continue to be subject, as applicable, to federal and state corporate income taxes.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left="60" w:right="119"/>
        <w:spacing w:after="0" w:line="275" w:lineRule="auto"/>
        <w:rPr>
          <w:sz w:val="20"/>
          <w:szCs w:val="20"/>
          <w:color w:val="auto"/>
        </w:rPr>
      </w:pPr>
      <w:r>
        <w:rPr>
          <w:rFonts w:ascii="Arial" w:cs="Arial" w:eastAsia="Arial" w:hAnsi="Arial"/>
          <w:sz w:val="17"/>
          <w:szCs w:val="17"/>
          <w:color w:val="auto"/>
        </w:rPr>
        <w:t>We create unique destination and entertainment experiences for our customers. This work requires a strong, people-centric culture that celebrates diversity, provides opportunities for growth and improves the communities we serve. Demonstrating value to our employees is fundamental to the success of our organization. Ultimately, we believe that caring for the people who work in our businesses and communities leads to a more positive experience for our guests and gives us a competitive advantage in the industries in which we operate.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goal is to employ a highly engaged, high performing and satisfied workforce that is happy and empowered.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Workforce</w:t>
      </w:r>
    </w:p>
    <w:p>
      <w:pPr>
        <w:spacing w:after="0" w:line="225"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At December 31, 2020, we employed 995 people, including 476 full-time and 519 part-time and on-call employees in our Entertainment and Corporate segments. Fifty-five percent of our population identify as female and 45% identify as male. Women held 47% of leadership positions as of December 31, 2020. We do not have any employees in our direct employment represented by collective bargaining agreements.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Hotels and Managed Attractions</w:t>
      </w:r>
    </w:p>
    <w:p>
      <w:pPr>
        <w:spacing w:after="0" w:line="225"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While our hotel operator, Marriott, is responsible for hiring and managing the workforce at our Gaylord Hotels properties, as well as the Inn at Opryland, the AC Hotel, the General Jackson, Gaylord Springs and the Wildhorse Saloon, we take our oversight role in ensuring fair labor management practices seriously. We receive periodic updates from Marriott concerning Marriott’s policies, and we believe they reflect our people-first approach.</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Philosophy and Culture</w:t>
      </w:r>
    </w:p>
    <w:p>
      <w:pPr>
        <w:spacing w:after="0" w:line="225"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Our people philosophy centers around creating a workplace culture where all employees feel respected, valued and inspired. We celebrate and prioritize diversity and inclusion and position employees for success with the tools and resources they need to thrive. We also actively engage employees in regular opportunities to feel connected to our company’s goals and the communities in which we operate. Our Total Wellbeing benefits philosophy includes resources to help employees live happier, healthier lives, while rewarding performance and encouraging retention.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Programs in place to reinforce our people-centric culture include, among others:</w:t>
      </w:r>
    </w:p>
    <w:p>
      <w:pPr>
        <w:spacing w:after="0" w:line="225" w:lineRule="exact"/>
        <w:rPr>
          <w:sz w:val="20"/>
          <w:szCs w:val="20"/>
          <w:color w:val="auto"/>
        </w:rPr>
      </w:pPr>
    </w:p>
    <w:p>
      <w:pPr>
        <w:ind w:left="720" w:right="99" w:hanging="319"/>
        <w:spacing w:after="0" w:line="270"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Diversity &amp; Inclusion</w:t>
      </w:r>
      <w:r>
        <w:rPr>
          <w:rFonts w:ascii="Arial" w:cs="Arial" w:eastAsia="Arial" w:hAnsi="Arial"/>
          <w:sz w:val="17"/>
          <w:szCs w:val="17"/>
          <w:color w:val="auto"/>
        </w:rPr>
        <w:t>: We are committed to building a more diverse workforce through enhanced recruitment</w:t>
      </w:r>
      <w:r>
        <w:rPr>
          <w:rFonts w:ascii="Arial" w:cs="Arial" w:eastAsia="Arial" w:hAnsi="Arial"/>
          <w:sz w:val="17"/>
          <w:szCs w:val="17"/>
          <w:i w:val="1"/>
          <w:iCs w:val="1"/>
          <w:color w:val="auto"/>
        </w:rPr>
        <w:t xml:space="preserve"> </w:t>
      </w:r>
      <w:r>
        <w:rPr>
          <w:rFonts w:ascii="Arial" w:cs="Arial" w:eastAsia="Arial" w:hAnsi="Arial"/>
          <w:sz w:val="17"/>
          <w:szCs w:val="17"/>
          <w:color w:val="auto"/>
        </w:rPr>
        <w:t>initiatives to attract, employ and develop minority candidates. This includes establishing relationships with local, diverse community groups and universities, along with recruiting protocols to identify and recruit diverse candidates for management positions. We are also focused on engaging our existing workforce through policies and programs promoting workplace diversity and inclusion. In 2020, we created an employee Diversity Council with cross-organizational representatives who advocate for and monitor the Company’s commitment to diversity and inclusion. We also host a regular Diversity Champions meeting, open to all employees seeking to be involved in internal and external diversity and inclusion activities, including volunteer and mentoring opportunities to serve underrepresented youth in our community.</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59" w:hanging="319"/>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Pay Equity</w:t>
      </w:r>
      <w:r>
        <w:rPr>
          <w:rFonts w:ascii="Arial" w:cs="Arial" w:eastAsia="Arial" w:hAnsi="Arial"/>
          <w:sz w:val="18"/>
          <w:szCs w:val="18"/>
          <w:color w:val="auto"/>
        </w:rPr>
        <w:t>: We conduct regular compensation studies with third-party consultants to make our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for the markets in which we operate, and to address such issues as compensation level differences between male and female or minority and non-minority employees.</w:t>
      </w:r>
    </w:p>
    <w:p>
      <w:pPr>
        <w:spacing w:after="0" w:line="183" w:lineRule="exact"/>
        <w:rPr>
          <w:rFonts w:ascii="Arial" w:cs="Arial" w:eastAsia="Arial" w:hAnsi="Arial"/>
          <w:sz w:val="18"/>
          <w:szCs w:val="18"/>
          <w:color w:val="auto"/>
        </w:rPr>
      </w:pPr>
    </w:p>
    <w:p>
      <w:pPr>
        <w:ind w:left="720" w:right="239" w:hanging="319"/>
        <w:spacing w:after="0" w:line="259"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Succession Planning and Performance Management</w:t>
      </w:r>
      <w:r>
        <w:rPr>
          <w:rFonts w:ascii="Arial" w:cs="Arial" w:eastAsia="Arial" w:hAnsi="Arial"/>
          <w:sz w:val="18"/>
          <w:szCs w:val="18"/>
          <w:color w:val="auto"/>
        </w:rPr>
        <w:t>: Our employees receive annual performance reviews. Full-time, exempt employees set annual SMART goals and are evaluated on these goals and core competencies. We also conduct quarterly talent review processes with all departments to identify high-potential individuals and create individualized development plans.</w:t>
      </w:r>
    </w:p>
    <w:p>
      <w:pPr>
        <w:spacing w:after="0" w:line="186" w:lineRule="exact"/>
        <w:rPr>
          <w:rFonts w:ascii="Arial" w:cs="Arial" w:eastAsia="Arial" w:hAnsi="Arial"/>
          <w:sz w:val="18"/>
          <w:szCs w:val="18"/>
          <w:color w:val="auto"/>
        </w:rPr>
      </w:pPr>
    </w:p>
    <w:p>
      <w:pPr>
        <w:ind w:left="720" w:right="179" w:hanging="319"/>
        <w:spacing w:after="0" w:line="255"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Training and Development</w:t>
      </w:r>
      <w:r>
        <w:rPr>
          <w:rFonts w:ascii="Arial" w:cs="Arial" w:eastAsia="Arial" w:hAnsi="Arial"/>
          <w:sz w:val="18"/>
          <w:szCs w:val="18"/>
          <w:color w:val="auto"/>
        </w:rPr>
        <w:t>: We conduct robust onboarding, training and development for all levels of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our guiding principles (Passion, Respect, Winning Attitude, Integrity, Service, Teamwork, Pride, Creativity and Fun). In 2019, the Company created Ryman Hospitality University, which includes a physical training space and online learning portal open to all employees. Courses offered include mandatory annual workplace harassment training for all levels, unconscious bias training for leaders, and development classes for new and emerging leaders.</w:t>
      </w:r>
    </w:p>
    <w:p>
      <w:pPr>
        <w:spacing w:after="0" w:line="192" w:lineRule="exact"/>
        <w:rPr>
          <w:rFonts w:ascii="Arial" w:cs="Arial" w:eastAsia="Arial" w:hAnsi="Arial"/>
          <w:sz w:val="18"/>
          <w:szCs w:val="18"/>
          <w:color w:val="auto"/>
        </w:rPr>
      </w:pPr>
    </w:p>
    <w:p>
      <w:pPr>
        <w:ind w:left="720" w:right="99" w:hanging="319"/>
        <w:spacing w:after="0" w:line="272"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Employee Engagement</w:t>
      </w:r>
      <w:r>
        <w:rPr>
          <w:rFonts w:ascii="Arial" w:cs="Arial" w:eastAsia="Arial" w:hAnsi="Arial"/>
          <w:sz w:val="17"/>
          <w:szCs w:val="17"/>
          <w:color w:val="auto"/>
        </w:rPr>
        <w:t>: The Company provides regular opportunities for employee engagement, including update</w:t>
      </w:r>
      <w:r>
        <w:rPr>
          <w:rFonts w:ascii="Arial" w:cs="Arial" w:eastAsia="Arial" w:hAnsi="Arial"/>
          <w:sz w:val="17"/>
          <w:szCs w:val="17"/>
          <w:i w:val="1"/>
          <w:iCs w:val="1"/>
          <w:color w:val="auto"/>
        </w:rPr>
        <w:t xml:space="preserve"> </w:t>
      </w:r>
      <w:r>
        <w:rPr>
          <w:rFonts w:ascii="Arial" w:cs="Arial" w:eastAsia="Arial" w:hAnsi="Arial"/>
          <w:sz w:val="17"/>
          <w:szCs w:val="17"/>
          <w:color w:val="auto"/>
        </w:rPr>
        <w:t>meetings where full-time employees can hear directly from senior leadership about business performance and vision for the future. The meetings also celebrate employees demonstrating our workplace values. Weekly and monthly newsletter communications reinforce our people-centric culture, while regular communications from senior leaders ensure all employees have first-hand access to company updates between meetings. Two-way communication is encouraged through regular employee satisfaction surveys, CEO-led Think Tanks and focus groups designed to solicit candid feedback from employees.</w:t>
      </w:r>
    </w:p>
    <w:p>
      <w:pPr>
        <w:spacing w:after="0" w:line="177" w:lineRule="exact"/>
        <w:rPr>
          <w:rFonts w:ascii="Arial" w:cs="Arial" w:eastAsia="Arial" w:hAnsi="Arial"/>
          <w:sz w:val="17"/>
          <w:szCs w:val="17"/>
          <w:color w:val="auto"/>
        </w:rPr>
      </w:pPr>
    </w:p>
    <w:p>
      <w:pPr>
        <w:ind w:left="720" w:right="79" w:hanging="319"/>
        <w:spacing w:after="0" w:line="271"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Total Wellbeing/Total Rewards</w:t>
      </w:r>
      <w:r>
        <w:rPr>
          <w:rFonts w:ascii="Arial" w:cs="Arial" w:eastAsia="Arial" w:hAnsi="Arial"/>
          <w:sz w:val="17"/>
          <w:szCs w:val="17"/>
          <w:color w:val="auto"/>
        </w:rPr>
        <w:t>: We offer a competitive pay and benefits package that includes opportunities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our employees to enrich their lives and plan ahead. Offerings include health plan options for part- and full-time employees, with a generous employer cost-sharing arrangement for full-time employees; a 401(k) plan with employer match; employee assistance programs offering counselling services, financial literacy courses and many other options for employees and their families; tuition reimbursement for full-time employees; on-site wellness events, flu shot clinics and wellness fairs; complimentary tickets for our venue offerings; and on-site fitness classes at our corporate headquarters (currently suspended due to the COVID-19 pandemic). Part- and full-time employees are also eligible for annual performance-based financial bonuses.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COVID-19 Response</w:t>
      </w:r>
    </w:p>
    <w:p>
      <w:pPr>
        <w:spacing w:after="0" w:line="225" w:lineRule="exact"/>
        <w:rPr>
          <w:sz w:val="20"/>
          <w:szCs w:val="20"/>
          <w:color w:val="auto"/>
        </w:rPr>
      </w:pPr>
    </w:p>
    <w:p>
      <w:pPr>
        <w:ind w:left="60" w:right="119"/>
        <w:spacing w:after="0" w:line="286" w:lineRule="auto"/>
        <w:rPr>
          <w:sz w:val="20"/>
          <w:szCs w:val="20"/>
          <w:color w:val="auto"/>
        </w:rPr>
      </w:pPr>
      <w:r>
        <w:rPr>
          <w:rFonts w:ascii="Arial" w:cs="Arial" w:eastAsia="Arial" w:hAnsi="Arial"/>
          <w:sz w:val="16"/>
          <w:szCs w:val="16"/>
          <w:color w:val="auto"/>
        </w:rPr>
        <w:t>Our commitment to our strong employee-centric culture has driven our actions from the onset of the COVID-19 pandemic. In March, we proactively suspended operations at our Entertainment segment businesses as our communities worked to reduce COVID-19 spread. We extended full pay and benefits to full- and part-time employees in our operations who could not work due to the shutdown for 14 weeks and 8 weeks, respectively, while senior staff in director-level and above positions took voluntary pay cuts for the remainder of 2020. To ensure the continued well-being of our employees, we instituted regular employee meetings and communications, developed supportive policies for COVID-related leaves of absence, offered mindfulness for stress reduction classes and established proprietary health safety standards and training in partnership with Vanderbilt Health. Our corporate staff quickly adapted to a work-from-home structure. We also engaged with Vanderbilt Health to develop best-in-class safety protocols and proprietary training that allowed our businesses to safely and successfully reopen at reduced capacities by June 2020. We made this training available to other Nashville businesses through the “Good to Go” program. We continue to provide our employees with access to Vanderbilt Health experts via paid and voluntary training opportunities on infectious disease control, stress management and vaccine safety. While most of our workforce has returned to work, in 2020 we reduced our full-time workforce by approximately 15%. Approximately 35% of our workforce remains on furlough.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Hospitality</w:t>
      </w:r>
    </w:p>
    <w:p>
      <w:pPr>
        <w:spacing w:after="0" w:line="22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Our current hotel properties compete with numerous other hotels throughout the United States and abroad, particularly the approximately 100 convention hotels that, on average, have over 1,000 rooms and a significant amount of meeting and exhibit space. We believe that competition among convention hotels is based on, among other things: (i) the hotel’s reputation, (ii) the quality of the hotel’s facility, (iii) the quality and scope of a hotel’s meeting and convention facilities and services, (iv) the desirability of a hotel’s location, (v) travel distance to a hotel for meeting attendees, (vi) a hotel facility’s accessibility to a recognized airport, (vii) the amount of entertainment and recreational options available in and in the vicinity of the hotel, (viii) service levels at the hotel, and (ix) price. Our hotels also compete against large municipal convention centers, including Orlando, Chicago, Atlanta, Dallas, Nashville, Washington, D.C. and Denver. During the COVID-19 pandemic and the anticipated recovery, we believe that our hotels’ expansive spaces and enhanced safety protocols will provide a competitive advantage over other hotels.</w:t>
      </w:r>
    </w:p>
    <w:p>
      <w:pPr>
        <w:spacing w:after="0" w:line="185"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hotel business is management and marketing intensive. Our current hotel properties compete with other hotels throughout the United States for high quality management and marketing personnel. We believe that Marriott’s international brand, marketing scale and ability to manage group business have improved our hotels’ competitive position. However, there can be no assurance that Marriott will be able to continue to attract and retain employees with the requisite managerial and marketing skills.</w:t>
      </w:r>
    </w:p>
    <w:p>
      <w:pPr>
        <w:spacing w:after="0" w:line="188"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Additionally, as a REIT, we compete for investment opportunities in the hospitality industry, particularly the group-oriented meetings sector of the hospitality industry, with entities that may have substantially greater financial and other resources than we have. These entities generally may be able to accept more risk than we can prudently manage. Our focus on acquiring hotels in the large group meetings sector of the hospitality industry and the competition in this sector may generally limit the number of hotel properties that we are able to acquire. This competition may also increase the bargaining power of property owners seeking to sell to us, making it more difficult for us to acquire new properties on attractive terms.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Entertainment</w:t>
      </w:r>
    </w:p>
    <w:p>
      <w:pPr>
        <w:spacing w:after="0" w:line="225"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The Grand Ole Opry and our other entertainment businesses compete with all other forms of entertainment and recreational activities. The success of the Entertainment group is dependent upon certain factors beyond our control, including economic conditions, the amount of available leisure time, transportation cost, public taste and weather conditions. Our radio station competes with numerous other types of entertainment businesses and advertisement media, and success is often dependent on taste and fashion, which may fluctuate from time to time.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Agreements</w:t>
      </w:r>
    </w:p>
    <w:p>
      <w:pPr>
        <w:spacing w:after="0" w:line="229" w:lineRule="exact"/>
        <w:rPr>
          <w:sz w:val="20"/>
          <w:szCs w:val="20"/>
          <w:color w:val="auto"/>
        </w:rPr>
      </w:pPr>
    </w:p>
    <w:p>
      <w:pPr>
        <w:ind w:left="60" w:right="339"/>
        <w:spacing w:after="0" w:line="287" w:lineRule="auto"/>
        <w:rPr>
          <w:sz w:val="20"/>
          <w:szCs w:val="20"/>
          <w:color w:val="auto"/>
        </w:rPr>
      </w:pPr>
      <w:r>
        <w:rPr>
          <w:rFonts w:ascii="Arial" w:cs="Arial" w:eastAsia="Arial" w:hAnsi="Arial"/>
          <w:sz w:val="16"/>
          <w:szCs w:val="16"/>
          <w:b w:val="1"/>
          <w:bCs w:val="1"/>
          <w:i w:val="1"/>
          <w:iCs w:val="1"/>
          <w:color w:val="auto"/>
        </w:rPr>
        <w:t xml:space="preserve">Gaylord Hotels. </w:t>
      </w:r>
      <w:r>
        <w:rPr>
          <w:rFonts w:ascii="Arial" w:cs="Arial" w:eastAsia="Arial" w:hAnsi="Arial"/>
          <w:sz w:val="16"/>
          <w:szCs w:val="16"/>
          <w:color w:val="auto"/>
        </w:rPr>
        <w:t>We are a party to a management agreement with Marriott for each of our four wholly-owned Gaylord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Hotels properties, as well as a pooling agreement with Marriott with respect to our four wholly-owned Gaylord Hotels properties on an aggregate basis. Each of the management agreements has a term expiring in 2047, with three automatic</w:t>
      </w:r>
    </w:p>
    <w:p>
      <w:pPr>
        <w:spacing w:after="0" w:line="2"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10-year renewal periods (provided the applicable hotel has met certain performance thresholds). Each of the management agreements requires us to pay Marriott a base management fee of approximately 2% of gross revenues from the applicable property for each fiscal year or portion thereof. Additionally, the pooling agreement requires us to pay to Marriott an incentive fee of 10% of the first $15.0 million of pooled available cash flow (which is generally operating profit for the pooled hotels less an owner’s priority) plus 20% of any additional pooled available cash flow over such threshold. The owner’s priority is collectively $240 million, plus certain additional amounts, including 10% of certain non-routine capital expenditures and conversion work, and 10% of replacements of furniture, fixtures, and equipment and routine capital expenditures in excess of a reserve. If one or more of our four wholly-owned Gaylord Hotels properties were not a “pooled hotel” (i.e., if we cease to own the hotel or we lease the hotel to a third party), the thresholds used to calculate the incentive fee in the pooling agreement will be adjusted, and the incentive fee for the non-pooled hotel will be based on such hotel’s performance. The management agreements and pooling agreement also contain certain restrictions on our incurring indebtedness that encumber our four wholly-owned Gaylord Hotels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properties on an individual or aggregate basis. The management agreements may be terminated earlier than the stated term if certain events occur, including the failure of Marriott to satisfy certain performance standards. The management agreements prohibit us from selling the four wholly-owned Gaylord Hotels properties to certain persons, including any person who does not, in Marriott’s reasonable judgment, have sufficient financial resources and liquidity to fulfil our obligations under the management agreements, or any person who owns a controlling interest in a hotel brand (e.g., Hilton or Hyatt) totaling at least ten full-service hotels that are not affiliated with a brand but that are marketed and operated as a collective group, if such brand or group of hotels compete with Marriott. In addition, we may not sell a wholly-owned Gaylord Hotels property if we are then in breach of the applicable management agreement.</w:t>
      </w:r>
    </w:p>
    <w:p>
      <w:pPr>
        <w:spacing w:after="0" w:line="161"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b w:val="1"/>
          <w:bCs w:val="1"/>
          <w:i w:val="1"/>
          <w:iCs w:val="1"/>
          <w:color w:val="auto"/>
        </w:rPr>
        <w:t>Gaylord Rockies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Marriott manages the day-to-day operations of Gaylord Rockies pursuant to a management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requires the joint venture to pay Marriott a base management fee of approximately 3% of gross revenues for each fiscal year or portion thereof. This management agreement expires in 2049, with two automatic 20-year renewal periods (provided the hotel has met certain performance thresholds). Additionally, this management agreement requires the joint venture to pay Marriott an incentive fee of 20% of available cash flow (as defined in the management agreement). The owner’s priority is $81.4 million, plus certain additional amounts, including 10.75% of certain non-routine capital expenditures.</w:t>
      </w:r>
    </w:p>
    <w:p>
      <w:pPr>
        <w:spacing w:after="0" w:line="193"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b w:val="1"/>
          <w:bCs w:val="1"/>
          <w:i w:val="1"/>
          <w:iCs w:val="1"/>
          <w:color w:val="auto"/>
        </w:rPr>
        <w:t xml:space="preserve">Inn at Opryland. </w:t>
      </w:r>
      <w:r>
        <w:rPr>
          <w:rFonts w:ascii="Arial" w:cs="Arial" w:eastAsia="Arial" w:hAnsi="Arial"/>
          <w:sz w:val="16"/>
          <w:szCs w:val="16"/>
          <w:color w:val="auto"/>
        </w:rPr>
        <w:t>Marriott manages the day-to-day operations of the Inn at Opryland pursuant to a management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requires us to pay Marriott a base management fee of approximately 2% of gross revenues for each fiscal year or portion thereof. This management agreement expires in 2022, with five five-year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161"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b w:val="1"/>
          <w:bCs w:val="1"/>
          <w:i w:val="1"/>
          <w:iCs w:val="1"/>
          <w:color w:val="auto"/>
        </w:rPr>
        <w:t xml:space="preserve">AC Hotel. </w:t>
      </w:r>
      <w:r>
        <w:rPr>
          <w:rFonts w:ascii="Arial" w:cs="Arial" w:eastAsia="Arial" w:hAnsi="Arial"/>
          <w:sz w:val="18"/>
          <w:szCs w:val="18"/>
          <w:color w:val="auto"/>
        </w:rPr>
        <w:t>Marriott manages the day-to-day operations of the AC Hotel pursuant to a management agreement that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to pay Marriott a base management fee of 7% of gross revenues. This management agreement expires in 2040, with two ten-year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188"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b w:val="1"/>
          <w:bCs w:val="1"/>
          <w:i w:val="1"/>
          <w:iCs w:val="1"/>
          <w:color w:val="auto"/>
        </w:rPr>
        <w:t xml:space="preserve">Certain Nashville Attractions. </w:t>
      </w:r>
      <w:r>
        <w:rPr>
          <w:rFonts w:ascii="Arial" w:cs="Arial" w:eastAsia="Arial" w:hAnsi="Arial"/>
          <w:sz w:val="17"/>
          <w:szCs w:val="17"/>
          <w:color w:val="auto"/>
        </w:rPr>
        <w:t>Marriott manages the General Jackson, the Wildhorse Saloon, and Gaylord Springs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management agreements. Each of these management agreements require us to pay Marriott a base management fee of approximately 2% of total revenues. Additionally, the management agreements require us to pay to Marriott an incentive fee of 20% of the excess of available cash flow (as defined in the management agreements) over a certain threshold. The management agreements for the General Jackson and the Wildhorse Saloon expired in 2017, with five one-year renewal options, the fourth of which was exercised in 2020, so long as neither party terminates the agreement. The management agreement for Gaylord Springs expires in 2022.</w:t>
      </w:r>
    </w:p>
    <w:p>
      <w:pPr>
        <w:spacing w:after="0" w:line="177" w:lineRule="exact"/>
        <w:rPr>
          <w:sz w:val="20"/>
          <w:szCs w:val="20"/>
          <w:color w:val="auto"/>
        </w:rPr>
      </w:pPr>
    </w:p>
    <w:p>
      <w:pPr>
        <w:ind w:left="60" w:right="379"/>
        <w:spacing w:after="0" w:line="275" w:lineRule="auto"/>
        <w:rPr>
          <w:sz w:val="20"/>
          <w:szCs w:val="20"/>
          <w:color w:val="auto"/>
        </w:rPr>
      </w:pPr>
      <w:r>
        <w:rPr>
          <w:rFonts w:ascii="Arial" w:cs="Arial" w:eastAsia="Arial" w:hAnsi="Arial"/>
          <w:sz w:val="17"/>
          <w:szCs w:val="17"/>
          <w:color w:val="auto"/>
        </w:rPr>
        <w:t>Total base management fees incurred during 2020, 2019 and 2018 were $10.3 million, $31.6 million and $23.3 million, respectively. Total incentive fees incurred during 2020, 2019 and 2018 were $0, $12.6 million and $11.8 million, respectively. Management fees are presented in the accompanying financial information net of the amortization of the deferred management rights proceeds discussed further in “Note 6 – Deferred Management Rights Proceeds” to our consolidated financial statements included in this Annual Report on Form 10-K.</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Portions of our business are seasonal in nature. The group convention business at our Gaylord Hotels properties is subject to reduced levels of demand during the year-end holiday periods. We are not experiencing typical seasonal trends during the ongoing COVID-19 pandemic.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Regulation and Legislation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Hospitality</w:t>
      </w:r>
    </w:p>
    <w:p>
      <w:pPr>
        <w:spacing w:after="0" w:line="22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Our current hotel properties are subject to certain federal, state, and local governmental laws and regulations including, without limitation, capacity restrictions, labor regulations, health and safety laws and environmental regulations applicable to hotel and restaurant operations. The hotels are also subject to the requirements of the Americans with Disabilities Act and similar state laws, as well as regulations pursuant thereto. We believe that our hotel properties and our attractions are in substantial compliance with such regulations. In addition, the sale of alcoholic beverages by a hotel requires a license and is subject to regulation by the applicable state and local authorities. The agencies involved have the power to limit, condition, suspend or revoke any such license, and any disciplinary action or revocation could have an adverse effect upon the results of operations of our Hospitality segment. Pursuant to management agreements with Marriott, we do not control many of these activities at our hotel properties, and we rely on Marriott to comply with all such federal, state and local governmental laws and regulations with respect to such properties. However, under the terms of our management agreements with Marriott, we may be required to bear the cost of any capital expenditures necessary to comply with a legal requirement.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Entertainment</w:t>
      </w:r>
    </w:p>
    <w:p>
      <w:pPr>
        <w:spacing w:after="0" w:line="225"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WSM-AM is subject to regulation under the Communications Act of 1934, as amended. Under the Communications Act, the Federal Communications Commission, or FCC, among other things, assigns frequency bands for broadcasting; determines the frequencies, location, and signal strength of stations; issues, renews, revokes, and modifies station licenses; regulates equipment used by stations; and adopts and implements regulations and policies that directly or indirectly affect the ownership, operation, and other practices of broadcasting stations. Licenses issued for radio stations have terms of eight years. Radio broadcast licenses are renewable upon application to the FCC and in the past have been renewed except in rare cases. Competing applications will not be accepted at the time of license renewal, and will not be entertained at all unless the FCC first concludes that renewal of the license would not serve the public interest. A station will be entitled to renewal in the absence of serious violations of the Communications Act or FCC regulations or other violations which constitute a pattern of abuse. WSM-AM’s current radio station license will expire in August 2028; however, we are not aware of any reason why WSM-AM’s radio station license should not be renewed.</w:t>
      </w:r>
    </w:p>
    <w:p>
      <w:pPr>
        <w:spacing w:after="0" w:line="172"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color w:val="auto"/>
        </w:rPr>
        <w:t>Circle is subject to U.S. federal regulation of broadcast media, including FCC regulations on programming networks and content distributors. These include regulations related to closed captioning, advertising restrictions, obscenity restrictions and pricing, among others.</w:t>
      </w:r>
    </w:p>
    <w:p>
      <w:pPr>
        <w:spacing w:after="0" w:line="184"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Our entertainment attractions are also subject to the requirements of the Americans with Disabilities Act and similar state laws, as well as the laws and regulatory activities associated with the sale of alcoholic beverages described above. Pursuant to management agreements with Marriott, we do not control many of these activities with respect to the General Jackson Showboat, Gaylord Springs, and the Wildhorse Saloon, and we rely on Marriott to comply with all such federal, state and local governmental laws and regulations with respect to such businesses. However, under the terms of our management agreements with Marriott, we may be required to bear the cost of any capital expenditures necessary to comply with a legal requirement.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Our web site address is www.rymanhp.com. We make available free of charge through our web site our Annual Reports on Form 10-K, Quarterly Reports on Form 10-Q, Current Reports on Form 8-K, definitive proxy statements, and all amendments to those reports as soon as reasonably practicable after such material is electronically filed with or furnished to the Securities and Exchange Commission (the “SEC”). The information provided on our web site is not part of this report, and is therefore not incorporated by reference unless such information is otherwise specifically referenced elsewhere in this report. The public may also read and copy any materials that we file with the SEC on their website at www.sec.gov.</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 following table sets forth certain information regarding the executive officers of the Company at January 1, 2021. All officers serve at the discretion of the Board of Directors (subject to, in the case of officers who have entered into employment agreements with the Company, the terms of such employment agreements).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220" w:type="dxa"/>
            <w:vAlign w:val="bottom"/>
          </w:tcPr>
          <w:p>
            <w:pPr>
              <w:spacing w:after="0"/>
              <w:rPr>
                <w:sz w:val="14"/>
                <w:szCs w:val="14"/>
                <w:color w:val="auto"/>
              </w:rPr>
            </w:pPr>
          </w:p>
        </w:tc>
        <w:tc>
          <w:tcPr>
            <w:tcW w:w="6240" w:type="dxa"/>
            <w:vAlign w:val="bottom"/>
          </w:tcPr>
          <w:p>
            <w:pPr>
              <w:ind w:left="276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Colin V. Reed</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220" w:type="dxa"/>
            <w:vAlign w:val="bottom"/>
            <w:tcBorders>
              <w:top w:val="single" w:sz="8" w:color="CCEEFF"/>
            </w:tcBorders>
            <w:shd w:val="clear" w:color="auto" w:fill="CCEEFF"/>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 and Chief Executive Officer</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Mark Fioravanti</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6460" w:type="dxa"/>
            <w:vAlign w:val="bottom"/>
            <w:gridSpan w:val="2"/>
          </w:tcPr>
          <w:p>
            <w:pPr>
              <w:ind w:left="220"/>
              <w:spacing w:after="0"/>
              <w:rPr>
                <w:sz w:val="20"/>
                <w:szCs w:val="20"/>
                <w:color w:val="auto"/>
              </w:rPr>
            </w:pPr>
            <w:r>
              <w:rPr>
                <w:rFonts w:ascii="Arial" w:cs="Arial" w:eastAsia="Arial" w:hAnsi="Arial"/>
                <w:sz w:val="18"/>
                <w:szCs w:val="18"/>
                <w:color w:val="auto"/>
              </w:rPr>
              <w:t>President and Chief Financial Officer</w:t>
            </w: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Chaffin</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6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and Chief Operating Officer - Hotels</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Scott J. Lynn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646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Hutcheson</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6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Corporate Controller and Chief Accounting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additional information with respect to the above-named executive officers.</w:t>
      </w:r>
    </w:p>
    <w:p>
      <w:pPr>
        <w:spacing w:after="0" w:line="225"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i w:val="1"/>
          <w:iCs w:val="1"/>
          <w:color w:val="auto"/>
        </w:rPr>
        <w:t xml:space="preserve">Colin V. Reed </w:t>
      </w:r>
      <w:r>
        <w:rPr>
          <w:rFonts w:ascii="Arial" w:cs="Arial" w:eastAsia="Arial" w:hAnsi="Arial"/>
          <w:sz w:val="16"/>
          <w:szCs w:val="16"/>
          <w:color w:val="auto"/>
        </w:rPr>
        <w:t>has served as Chief Executive Officer and a director of the Company since April 2001, and Mr. Reed was</w:t>
      </w:r>
      <w:r>
        <w:rPr>
          <w:rFonts w:ascii="Arial" w:cs="Arial" w:eastAsia="Arial" w:hAnsi="Arial"/>
          <w:sz w:val="16"/>
          <w:szCs w:val="16"/>
          <w:i w:val="1"/>
          <w:iCs w:val="1"/>
          <w:color w:val="auto"/>
        </w:rPr>
        <w:t xml:space="preserve"> </w:t>
      </w:r>
      <w:r>
        <w:rPr>
          <w:rFonts w:ascii="Arial" w:cs="Arial" w:eastAsia="Arial" w:hAnsi="Arial"/>
          <w:sz w:val="16"/>
          <w:szCs w:val="16"/>
          <w:color w:val="auto"/>
        </w:rPr>
        <w:t>also elected Chairman of the Board of Directors of the Company in May 2005. Until November 2008, and again from November 2012 to March 2015, Mr. Reed also served as President of the Company. Prior to joining the Company, Mr. Reed had served as a member of the three-executive Office of the President of Harrah’s Entertainment, Inc. (now Caesar’s Entertainment) since May 1999, and he had served as Harrah’s Chief Financial Officer since April 1997. Mr. Reed also was a director of Harrah’s from 1998 to May 2001. Mr. Reed served in a variety of other management positions with Harrah’s and its predecessor, Holiday Corp., since 1977. Mr. Reed is a director of First Horizon National Corporation.</w:t>
      </w:r>
    </w:p>
    <w:p>
      <w:pPr>
        <w:spacing w:after="0" w:line="166" w:lineRule="exact"/>
        <w:rPr>
          <w:sz w:val="20"/>
          <w:szCs w:val="20"/>
          <w:color w:val="auto"/>
        </w:rPr>
      </w:pPr>
    </w:p>
    <w:p>
      <w:pPr>
        <w:ind w:left="60" w:right="239"/>
        <w:spacing w:after="0" w:line="291" w:lineRule="auto"/>
        <w:rPr>
          <w:sz w:val="20"/>
          <w:szCs w:val="20"/>
          <w:color w:val="auto"/>
        </w:rPr>
      </w:pPr>
      <w:r>
        <w:rPr>
          <w:rFonts w:ascii="Arial" w:cs="Arial" w:eastAsia="Arial" w:hAnsi="Arial"/>
          <w:sz w:val="16"/>
          <w:szCs w:val="16"/>
          <w:i w:val="1"/>
          <w:iCs w:val="1"/>
          <w:color w:val="auto"/>
        </w:rPr>
        <w:t xml:space="preserve">Mark Fioravanti </w:t>
      </w:r>
      <w:r>
        <w:rPr>
          <w:rFonts w:ascii="Arial" w:cs="Arial" w:eastAsia="Arial" w:hAnsi="Arial"/>
          <w:sz w:val="16"/>
          <w:szCs w:val="16"/>
          <w:color w:val="auto"/>
        </w:rPr>
        <w:t>is President and Chief Financial Officer of the Company, a position he has held since March 2015.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that time, Mr. Fioravanti served as Executive Vice President and Chief Financial Officer of the Company. Until</w:t>
      </w:r>
    </w:p>
    <w:p>
      <w:pPr>
        <w:ind w:left="60" w:right="79"/>
        <w:spacing w:after="0" w:line="269" w:lineRule="auto"/>
        <w:rPr>
          <w:sz w:val="20"/>
          <w:szCs w:val="20"/>
          <w:color w:val="auto"/>
        </w:rPr>
      </w:pPr>
      <w:r>
        <w:rPr>
          <w:rFonts w:ascii="Arial" w:cs="Arial" w:eastAsia="Arial" w:hAnsi="Arial"/>
          <w:sz w:val="17"/>
          <w:szCs w:val="17"/>
          <w:color w:val="auto"/>
        </w:rPr>
        <w:t>June 2009, Mr. Fioravanti served as Senior Vice President of Finance and Treasurer of the Company, a position he had held since June 2007. Prior to such time, Mr. Fioravanti had served as Executive Vice President of the Company and President of ResortQuest International since March 2004. From August 2002 to March 2004, Mr. Fioravanti was the Company’s Senior Vice President of Marketing. Prior to joining the Company in August 2002, Mr. Fioravanti spent nine years in a variety of roles with casino operator Harrah’s Entertainment, Inc., where he was most recently Vice President of Finance and Administration of Harrah’s New Orleans. Mr. Fioravanti graduated from The Ohio State University, where he earned his B.S. degree. He also holds an MBA from the University of Tennessee.</w:t>
      </w:r>
    </w:p>
    <w:p>
      <w:pPr>
        <w:spacing w:after="0" w:line="180" w:lineRule="exact"/>
        <w:rPr>
          <w:sz w:val="20"/>
          <w:szCs w:val="20"/>
          <w:color w:val="auto"/>
        </w:rPr>
      </w:pPr>
    </w:p>
    <w:p>
      <w:pPr>
        <w:ind w:left="60" w:right="119"/>
        <w:spacing w:after="0" w:line="288" w:lineRule="auto"/>
        <w:rPr>
          <w:sz w:val="20"/>
          <w:szCs w:val="20"/>
          <w:color w:val="auto"/>
        </w:rPr>
      </w:pPr>
      <w:r>
        <w:rPr>
          <w:rFonts w:ascii="Arial" w:cs="Arial" w:eastAsia="Arial" w:hAnsi="Arial"/>
          <w:sz w:val="16"/>
          <w:szCs w:val="16"/>
          <w:i w:val="1"/>
          <w:iCs w:val="1"/>
          <w:color w:val="auto"/>
        </w:rPr>
        <w:t xml:space="preserve">Patrick Chaffin </w:t>
      </w:r>
      <w:r>
        <w:rPr>
          <w:rFonts w:ascii="Arial" w:cs="Arial" w:eastAsia="Arial" w:hAnsi="Arial"/>
          <w:sz w:val="16"/>
          <w:szCs w:val="16"/>
          <w:color w:val="auto"/>
        </w:rPr>
        <w:t>is Executive Vice President and Chief Operating Officer – Hotels of the Company, a position he has held</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May 2019. In this role, Mr. Chaffin leads our asset management function, state and local government relations, product enhancement and site selection for our hotel portfolio’s growth. From April 2018 to May 2019, he was Executive Vice President of Asset Management for the Company. From January 2013 to March 2018, he was the Senior Vice President of Asset Management. From January 2007 to December 2012, he led the strategic planning, operations analysis and investor relations functions for Gaylord Entertainment. Prior to its sale in June 2007, Mr. Chaffin served as the head of finance for ResortQuest International, formerly a division of Gaylord Entertainment. Prior to joining Gaylord Entertainment in January 2005, Mr. Chaffin worked for General Motors Corporation for 9 years serving in a variety of corporate and manufacturing positions. Mr. Chaffin earned a B.S. degree from Lipscomb University and an MBA from the Owen Graduate School of Management at Vanderbilt University.</w:t>
      </w:r>
    </w:p>
    <w:p>
      <w:pPr>
        <w:spacing w:after="0" w:line="168"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i w:val="1"/>
          <w:iCs w:val="1"/>
          <w:color w:val="auto"/>
        </w:rPr>
        <w:t xml:space="preserve">Scott J. Lynn </w:t>
      </w:r>
      <w:r>
        <w:rPr>
          <w:rFonts w:ascii="Arial" w:cs="Arial" w:eastAsia="Arial" w:hAnsi="Arial"/>
          <w:sz w:val="17"/>
          <w:szCs w:val="17"/>
          <w:color w:val="auto"/>
        </w:rPr>
        <w:t>is the Executive Vice President, General Counsel and Secretary of the Company, a position he has held since</w:t>
      </w:r>
      <w:r>
        <w:rPr>
          <w:rFonts w:ascii="Arial" w:cs="Arial" w:eastAsia="Arial" w:hAnsi="Arial"/>
          <w:sz w:val="17"/>
          <w:szCs w:val="17"/>
          <w:i w:val="1"/>
          <w:iCs w:val="1"/>
          <w:color w:val="auto"/>
        </w:rPr>
        <w:t xml:space="preserve"> </w:t>
      </w:r>
      <w:r>
        <w:rPr>
          <w:rFonts w:ascii="Arial" w:cs="Arial" w:eastAsia="Arial" w:hAnsi="Arial"/>
          <w:sz w:val="17"/>
          <w:szCs w:val="17"/>
          <w:color w:val="auto"/>
        </w:rPr>
        <w:t>May 2018. From January 2013 to April 2018, he was the Company’s Senior Vice President, General Counsel and Secretary. From August 2003 to January 2013, he served as the Company’s Associate General Counsel. From May 2002 to August 2003, Mr. Lynn was Senior Counsel at Progeny Marketing Innovations, a subsidiary of Cendant Corporation. From August 1998 to May 2002, Mr. Lynn was an associate at the law firm of Stokes &amp; Bartholomew, P.A. Mr. Lynn is a graduate of the Vanderbilt University School of Law and Tennessee Technological University.</w:t>
      </w:r>
    </w:p>
    <w:p>
      <w:pPr>
        <w:spacing w:after="0" w:line="178" w:lineRule="exact"/>
        <w:rPr>
          <w:sz w:val="20"/>
          <w:szCs w:val="20"/>
          <w:color w:val="auto"/>
        </w:rPr>
      </w:pPr>
    </w:p>
    <w:p>
      <w:pPr>
        <w:ind w:left="60" w:right="139"/>
        <w:spacing w:after="0" w:line="342" w:lineRule="auto"/>
        <w:rPr>
          <w:sz w:val="20"/>
          <w:szCs w:val="20"/>
          <w:color w:val="auto"/>
        </w:rPr>
      </w:pPr>
      <w:r>
        <w:rPr>
          <w:rFonts w:ascii="Arial" w:cs="Arial" w:eastAsia="Arial" w:hAnsi="Arial"/>
          <w:sz w:val="16"/>
          <w:szCs w:val="16"/>
          <w:i w:val="1"/>
          <w:iCs w:val="1"/>
          <w:color w:val="auto"/>
        </w:rPr>
        <w:t xml:space="preserve">Jennifer Hutcheson </w:t>
      </w:r>
      <w:r>
        <w:rPr>
          <w:rFonts w:ascii="Arial" w:cs="Arial" w:eastAsia="Arial" w:hAnsi="Arial"/>
          <w:sz w:val="16"/>
          <w:szCs w:val="16"/>
          <w:color w:val="auto"/>
        </w:rPr>
        <w:t>is the Executive Vice President, Corporate Controller and Chief Accounting Officer of the Company, a</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she has held since March 2020. From May 2018 to February 2020, she was Senior Vice President,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Corporate Controller and Chief Accounting Officer. From January 2013 to April 2018, she was the Senior Vice President and Corporate Controller of the Company. From March 2006 to December 2012, she served as the Company’s Vice President of Accounting and Tax. From May 2004 to March 2006, she served as the Company’s Director of Corporate Accounting. From August 2002 to April 2004, she was the Corporate Accounting Manager at Private Business Inc. Prior to that time, she was an auditor with Ernst &amp; Young LLP and Arthur Andersen. Ms. Hutcheson, who is a certified public accountant, has a B.S. degree in accounting from Tennessee Technological University and an MBA from the Owen Graduate School of Management at Vanderbilt University.</w:t>
      </w:r>
    </w:p>
    <w:p>
      <w:pPr>
        <w:spacing w:after="0" w:line="173" w:lineRule="exact"/>
        <w:rPr>
          <w:sz w:val="20"/>
          <w:szCs w:val="20"/>
          <w:color w:val="auto"/>
        </w:rPr>
      </w:pPr>
    </w:p>
    <w:p>
      <w:pPr>
        <w:ind w:left="6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left="60" w:right="139"/>
        <w:spacing w:after="0" w:line="287" w:lineRule="auto"/>
        <w:rPr>
          <w:sz w:val="20"/>
          <w:szCs w:val="20"/>
          <w:color w:val="auto"/>
        </w:rPr>
      </w:pPr>
      <w:r>
        <w:rPr>
          <w:rFonts w:ascii="Arial" w:cs="Arial" w:eastAsia="Arial" w:hAnsi="Arial"/>
          <w:sz w:val="16"/>
          <w:szCs w:val="16"/>
          <w:color w:val="auto"/>
        </w:rPr>
        <w:t>You should carefully consider the following specific risk factors as well as the other information contained or incorporated by reference in this Annual Report on Form 10-K as these are important factors, among others, that could cause our actual results to differ from our expected or historical results. It is not possible to predict or identify all such factors.</w:t>
      </w:r>
    </w:p>
    <w:p>
      <w:pPr>
        <w:spacing w:after="0" w:line="2"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Consequently, you should not consider any such list to be a complete statement of all our potential risks or uncertainties. Some statements in the “Business” section and elsewhere in this Annual Report on Form 10-K are “forward-looking statements” and are qualified by the cautionary language regarding such statements. See “Forward-Looking Statements” above.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b w:val="1"/>
          <w:bCs w:val="1"/>
          <w:i w:val="1"/>
          <w:iCs w:val="1"/>
          <w:color w:val="auto"/>
        </w:rPr>
        <w:t>The novel coronavirus (COVID-19) pandemic has had and is expected to continue to have a material adverse effect on our financial condition, results of operations, cash flows and our ability to make distributions to our shareholders. Depending on its length and severity, the COVID-19 pandemic may also have an adverse effect on our access to financial markets and our ability to service our indebtedness.</w:t>
      </w:r>
    </w:p>
    <w:p>
      <w:pPr>
        <w:spacing w:after="0" w:line="171" w:lineRule="exact"/>
        <w:rPr>
          <w:sz w:val="20"/>
          <w:szCs w:val="20"/>
          <w:color w:val="auto"/>
        </w:rPr>
      </w:pPr>
    </w:p>
    <w:p>
      <w:pPr>
        <w:ind w:left="60" w:right="179"/>
        <w:spacing w:after="0" w:line="269" w:lineRule="auto"/>
        <w:rPr>
          <w:sz w:val="20"/>
          <w:szCs w:val="20"/>
          <w:color w:val="auto"/>
        </w:rPr>
      </w:pPr>
      <w:r>
        <w:rPr>
          <w:rFonts w:ascii="Arial" w:cs="Arial" w:eastAsia="Arial" w:hAnsi="Arial"/>
          <w:sz w:val="17"/>
          <w:szCs w:val="17"/>
          <w:color w:val="auto"/>
        </w:rPr>
        <w:t>The COVID-19 pandemic has caused unprecedented restrictions on travel, group gatherings and non-essential activities, including orders and guidance issued by U.S. federal, state and local governmental authorities, such as “social distancing” guidance and Safer at Home orders. There have also been significant business closures and a substantial reduction in economic activity in the United States as a result of the COVID-19 pandemic. Despite the phased reopening of the U.S. economy and the growing availability of vaccines, significant uncertainty remains as to the potential future impact of the COVID-19 pandemic on the U.S. economy as a whole, our businesses, and the lodging and entertainment industries. The longer and more severe the pandemic, the greater the material adverse effect on our financial condition, our results of operations, cash flows and our ability to make distributions to our shareholders. Further, depending on its duration and severity, the COVID-19 pandemic may have an adverse effect on our access to financial markets and our ability to service or refinance our indebtedness.</w:t>
      </w:r>
    </w:p>
    <w:p>
      <w:pPr>
        <w:spacing w:after="0" w:line="185"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The COVID-19 pandemic caused significant disruption to our business and we, working with our hotel manager, Marriott, suspended operations at our Gaylord Hotels properties and substantially all of our entertainment assets by late March 2020. We have not yet reopened all of our assets, and most of our assets are operating at limited capacity. We have taken steps to conserve our liquidity and contain costs, including suspending our regular quarterly cash dividend payments to stockholders, deferring most non-essential capital projects, including our previously announced expansion at Gaylord Rockies, and obtaining waivers under and amendments to our Credit Agreement as described below, but we cannot be certain that these efforts will be sufficient to sustain our business through the pandemic.</w:t>
      </w:r>
    </w:p>
    <w:p>
      <w:pPr>
        <w:spacing w:after="0" w:line="177"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While we were successful in amending our Credit Agreement to obtain waivers of the financial covenants and the Gaylord Rockies Loan to obtain certain other favorable modifications, as described under “Management’s Discussion and Analysis of Financial Conditions and Results of Operations – Liquidity and Capital Resources – Principal Debt Agreements,” the Amendments also increased the interest rates under our Revolver and Term Loan A, and imposed additional restrictions on debt, investments, dividends, share repurchases and capital expenditures, and included a minimum liquidity requirement, which will increase our interest costs and impose constraints on the manner in which we do business. The amendment to the Gaylord Rockies Loan also includes restrictions on distributions to the owners of the Gaylord Rockies joint venture and requires a certain level of equity financing for a Gaylord Rockies expansion, which may increase the cost of pursuing the previously announced expansion of Gaylord Rockies. The restrictions in these agreements may prevent us from taking advantage of opportunities available to us. In the future, our access to and cost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of financing will depend on, among other things, global economic conditions, the availability of sufficient amounts of financing, our prospects and our credit ratings. Certain of our credit ratings have been downgraded during 2020, and if our credit ratings were to be further downgraded, or general market conditions were to ascribe higher risk to our rating levels, our industry or us, our access to capital and the cost and terms of any debt financing would be negatively affected.</w:t>
      </w:r>
    </w:p>
    <w:p>
      <w:pPr>
        <w:spacing w:after="0" w:line="157" w:lineRule="exact"/>
        <w:rPr>
          <w:sz w:val="20"/>
          <w:szCs w:val="20"/>
          <w:color w:val="auto"/>
        </w:rPr>
      </w:pPr>
    </w:p>
    <w:p>
      <w:pPr>
        <w:ind w:left="60" w:right="119"/>
        <w:spacing w:after="0" w:line="285" w:lineRule="auto"/>
        <w:rPr>
          <w:sz w:val="20"/>
          <w:szCs w:val="20"/>
          <w:color w:val="auto"/>
        </w:rPr>
      </w:pPr>
      <w:r>
        <w:rPr>
          <w:rFonts w:ascii="Arial" w:cs="Arial" w:eastAsia="Arial" w:hAnsi="Arial"/>
          <w:sz w:val="16"/>
          <w:szCs w:val="16"/>
          <w:color w:val="auto"/>
        </w:rPr>
        <w:t>The material adverse effect of the pandemic on our businesses will continue during such time as any of our assets remain closed (including Gaylord National) and during phased reopenings and may continue after that time. We cannot predict how soon we will be able to fully reopen all of our Gaylord Hotels properties or our entertainment assets and operate at normal capacity when the COVID-19 pandemic subsides, as our ability to reopen and to resume normal operations will depend in part on the actions of a number of governmental authorities over which we have no control. Modified social distancing requirements or recommendations have altered the way we do business during reopening, and changes may persist for an extended period of time. For example, we have implemented additional safety and cleaning protocols, and these and other changes may result in higher costs and lower profit margins at our assets. Changes we make in response to the COVID-19 pandemic may negatively affect our business, our brand reputation and ability to attract and retain employees. Even after the COVID-19 pandemic subsides, we could still experience long-term impacts on our operating costs as a result of steps we may take to counteract future outbreaks of COVID-19 or other viruses through, for example, enhanced health and hygiene requirements or other such measures in one or more properties. Some of our businesses, such as the ticketed performances at the Grand Ole Opry and Ryman Auditorium may be held at limited capacity for an extended period of time during reopening. Of our Gaylord Hotels properties, Gaylord National remains closed. As a result, our revenues and consolidated financial results and results of operations for periods in which our operations are subject to capacity limits and in which Gaylord National remains closed will not be comparable with periods prior to the pandemic. We have experienced a significant decline in occupancy, RevPAR and Total RevPAR and other metrics at our Gaylord Hotels properties that have reopened, and those and other declines associated with the COVID-19 pandemic may continue.</w:t>
      </w:r>
    </w:p>
    <w:p>
      <w:pPr>
        <w:spacing w:after="0" w:line="171"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color w:val="auto"/>
        </w:rPr>
        <w:t>Depending on the severity of the pandemic and our business levels, we cannot assure you that we will not make the decision to temporarily reclose any of our Gaylord Hotels properties or our entertainment assets in response to further outbreaks of COVID-19, including new variants of the virus.</w:t>
      </w:r>
    </w:p>
    <w:p>
      <w:pPr>
        <w:spacing w:after="0" w:line="184"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Further, we cannot predict the full impact that the COVID-19 pandemic will have on third parties with whom we do business, including meeting planners, Marriott, our manager, other third-party service providers, travel agencies, suppliers and other vendors, and the degree to which the impact on third parties will affect our business. To the extent these third parties are severely impacted, it may harm our business or change the way we operate.</w:t>
      </w:r>
    </w:p>
    <w:p>
      <w:pPr>
        <w:spacing w:after="0" w:line="171"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The pace of recovery in demand and business levels following the reopening of our Gaylord Hotels properties may be affected by adverse economic conditions, including job losses, corporate financial performance, group customers’ spending and meeting budget constraints, debt loads, diminished business travel and other factors. For our managed assets, we will rely on Marriott to safely reopen, to operate these assets in a manner consistent with their obligations under their management agreements with us and to increase business levels at our properties, whether by rebooking cancelled stays for future periods or otherwise, and we cannot assure you that Marriott will be successful in doing so. Further, room bookings for future periods may yet be cancelled as a result of the COVID-19 pandemic, and we cannot assure you that Marriott will be successful in rebooking cancellations for future periods or that groups that have already rebooked to future periods will fulfill their stays. Moreover, once restrictions are relaxed or lifted, it is unclear whether consumer demand for convention center resorts, business travel, group meetings, leisure travel and country music entertainment experiences will return, in part, because we cannot predict the levels of consumer confidence in the safety of travel and group gatherings following the COVID-19 pandemic. Although we have implemented new hygiene and cleaning standards, we cannot fully predict their impact on customers’ or meeting planners’ beliefs as to whether it is safe to travel and meet in groups. We cannot predict the pace of recovery of our Gaylord Hotels properties and other assets, or the timing of a return to pre-pandemic demand, occupancy, business mix or pricing.</w:t>
      </w:r>
    </w:p>
    <w:p>
      <w:pPr>
        <w:spacing w:after="0" w:line="182" w:lineRule="exact"/>
        <w:rPr>
          <w:sz w:val="20"/>
          <w:szCs w:val="20"/>
          <w:color w:val="auto"/>
        </w:rPr>
      </w:pPr>
    </w:p>
    <w:p>
      <w:pPr>
        <w:ind w:left="60" w:right="399"/>
        <w:spacing w:after="0" w:line="308" w:lineRule="auto"/>
        <w:rPr>
          <w:sz w:val="20"/>
          <w:szCs w:val="20"/>
          <w:color w:val="auto"/>
        </w:rPr>
      </w:pPr>
      <w:r>
        <w:rPr>
          <w:rFonts w:ascii="Arial" w:cs="Arial" w:eastAsia="Arial" w:hAnsi="Arial"/>
          <w:sz w:val="17"/>
          <w:szCs w:val="17"/>
          <w:color w:val="auto"/>
        </w:rPr>
        <w:t>If we determine the carrying value of our assets are not recoverable through the future cash flows associated with those assets, we could have to recognize significant non-cash impairment charges to our results of operations.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311" w:lineRule="auto"/>
        <w:rPr>
          <w:sz w:val="20"/>
          <w:szCs w:val="20"/>
          <w:color w:val="auto"/>
        </w:rPr>
      </w:pPr>
      <w:r>
        <w:rPr>
          <w:rFonts w:ascii="Arial" w:cs="Arial" w:eastAsia="Arial" w:hAnsi="Arial"/>
          <w:sz w:val="16"/>
          <w:szCs w:val="16"/>
          <w:color w:val="auto"/>
        </w:rPr>
        <w:t>The COVID-19 pandemic has also resulted in significant financial market volatility and uncertainty, including on the market price of our common stock. A continuation or worsening of the levels of market disruption and volatility seen during the pandemic could have a further adverse effect on the market price of our common stock or our debt securities.</w:t>
      </w:r>
    </w:p>
    <w:p>
      <w:pPr>
        <w:spacing w:after="0" w:line="149"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The extent of the effects of the COVID-19 pandemic on our business and the hospitality industry at large remains highly uncertain and will ultimately depend on future developments, including, but not limited to, the duration and severity of the outbreak, the timing and availability of vaccinations and treatments to combat COVID-19, whether or not a recession occurs in the United States or globally, the state of the financial markets and the length of time it takes for demand and pricing to recover and stabilize, particularly in the large group meeting segment of the lodging industry, and normal economic and operating conditions to resume. Given the uncertainty as to the extent and timing of the potential future spread or mitigation of COVID-19 and the impositions or relaxation of protective measures, we are presently unable to estimate the full impact to our future business, results of operations, cash flows, financial condition or ability to make distributions to our stockholders.</w:t>
      </w:r>
    </w:p>
    <w:p>
      <w:pPr>
        <w:spacing w:after="0" w:line="181"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The potential effects of the COVID-19 pandemic also could intensify or otherwise affect many of our other risk factors that are included in “Part I, Item 1A, Risk Factors” of this Annual Report on Form 10-K and our subsequent filings, including, but not limited to, risks inherent in the hospitality industry, macroeconomic factors beyond our control, competition for hotel guests, meeting customers and customers to our entertainment assets, risks related to doing business with third parties, including vendors and suppliers, performance of our information technology systems and risks related to our indebtedness. Because the COVID-19 pandemic is unprecedented and continuously evolving, the other potential impacts to our risk factors contained herein and that are further described in this Annual Report on Form 10-K are uncertain.</w:t>
      </w:r>
    </w:p>
    <w:p>
      <w:pPr>
        <w:spacing w:after="0" w:line="166"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b w:val="1"/>
          <w:bCs w:val="1"/>
          <w:i w:val="1"/>
          <w:iCs w:val="1"/>
          <w:color w:val="auto"/>
        </w:rPr>
        <w:t>If Marriott or any future third-party hotel manager does not manage our hotel properties or other businesses successfully, our financial condition, results of operations and our ability to service debt and make distributions to our stockholders may be negatively impacted.</w:t>
      </w:r>
    </w:p>
    <w:p>
      <w:pPr>
        <w:spacing w:after="0" w:line="184" w:lineRule="exact"/>
        <w:rPr>
          <w:sz w:val="20"/>
          <w:szCs w:val="20"/>
          <w:color w:val="auto"/>
        </w:rPr>
      </w:pPr>
    </w:p>
    <w:p>
      <w:pPr>
        <w:ind w:left="60" w:right="119"/>
        <w:spacing w:after="0" w:line="285" w:lineRule="auto"/>
        <w:rPr>
          <w:sz w:val="20"/>
          <w:szCs w:val="20"/>
          <w:color w:val="auto"/>
        </w:rPr>
      </w:pPr>
      <w:r>
        <w:rPr>
          <w:rFonts w:ascii="Arial" w:cs="Arial" w:eastAsia="Arial" w:hAnsi="Arial"/>
          <w:sz w:val="16"/>
          <w:szCs w:val="16"/>
          <w:color w:val="auto"/>
        </w:rPr>
        <w:t>Due to federal income tax laws that restrict REITs from operating and managing hotels, we do not operate or manage the day-to-day functions of any of our hotel properties as a REIT. We lease or sublease our hotel properties to TRSs, and such TRS lessees have engaged Marriott as a third-party hotel manager pursuant to hotel management agreements. Marriott manages the day-to-day operations of our Gaylord Hotels properties, as well as the Inn at Opryland and the AC Hotel. We will identify third-party hotel managers to operate and manage any hotels that we acquire in the future. Our third-party hotel managers are responsible for the day-to-day management of our hotel properties, including, but not limited to, implementing significant operating decisions, setting rates for rooms and meeting space, controlling revenue and expenditures, collecting accounts receivable, and recruiting, employing and supervising employees at our hotel properties. We do not have the authority to require our third-party hotel managers to operate our hotel properties in a particular manner, although we have consent and approval rights for certain matters under our hotel management agreements with Marriott, subject to the limitations described therein. As a result, our financial condition, results of operations and our ability to service debt and make distributions to our stockholders are largely dependent on the ability of our third-party hotel managers to operate our hotel properties successfully. Any failure by our third-party hotel managers to provide quality services and amenities or to maintain and protect a quality brand name and reputation could have a negative impact on their ability to operate and manage our hotel properties successfully and could negatively impact our financial condition, results of operations and our ability to service debt and make distributions to our stockholders.</w:t>
      </w:r>
    </w:p>
    <w:p>
      <w:pPr>
        <w:spacing w:after="0" w:line="176" w:lineRule="exact"/>
        <w:rPr>
          <w:sz w:val="20"/>
          <w:szCs w:val="20"/>
          <w:color w:val="auto"/>
        </w:rPr>
      </w:pPr>
    </w:p>
    <w:p>
      <w:pPr>
        <w:jc w:val="both"/>
        <w:ind w:left="60" w:right="219"/>
        <w:spacing w:after="0" w:line="259" w:lineRule="auto"/>
        <w:rPr>
          <w:sz w:val="20"/>
          <w:szCs w:val="20"/>
          <w:color w:val="auto"/>
        </w:rPr>
      </w:pPr>
      <w:r>
        <w:rPr>
          <w:rFonts w:ascii="Arial" w:cs="Arial" w:eastAsia="Arial" w:hAnsi="Arial"/>
          <w:sz w:val="18"/>
          <w:szCs w:val="18"/>
          <w:color w:val="auto"/>
        </w:rPr>
        <w:t>We cannot assure you that our third-party hotel managers will operate and manage our hotel properties in a manner that is consistent with their obligations under the hotel management agreements, that our third-party hotel managers will not be negligent in their performance or engage in other criminal or fraudulent activity, or that they will not otherwise default on their management obligations to us.</w:t>
      </w:r>
    </w:p>
    <w:p>
      <w:pPr>
        <w:spacing w:after="0" w:line="187" w:lineRule="exact"/>
        <w:rPr>
          <w:sz w:val="20"/>
          <w:szCs w:val="20"/>
          <w:color w:val="auto"/>
        </w:rPr>
      </w:pPr>
    </w:p>
    <w:p>
      <w:pPr>
        <w:ind w:left="60" w:right="319"/>
        <w:spacing w:after="0" w:line="301" w:lineRule="auto"/>
        <w:rPr>
          <w:sz w:val="20"/>
          <w:szCs w:val="20"/>
          <w:color w:val="auto"/>
        </w:rPr>
      </w:pPr>
      <w:r>
        <w:rPr>
          <w:rFonts w:ascii="Arial" w:cs="Arial" w:eastAsia="Arial" w:hAnsi="Arial"/>
          <w:sz w:val="16"/>
          <w:szCs w:val="16"/>
          <w:color w:val="auto"/>
        </w:rPr>
        <w:t>Even if we believe our hotel properties are being operated inefficiently or in a manner that does not result in satisfactory operational metrics, we will have limited ability to require our third-party hotel managers to change their method of operation of our hotel properties. We generally will attempt to resolve issues with third-party hotel managers through discussions and negotiations. However, if we are unable to reach satisfactory results through discussions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negotiations, we may choose to litigate the dispute or submit the matter to third-party dispute resolution or arbitration. We would be able to seek redress only if a third-party hotel manager violates the terms of the applicable hotel management agreement, and then only to the extent of the remedies provided for under the terms of the hotel management agreement. Additionally, in the event we need to replace any of our third-party hotel managers, we may experience significant business disruptions at the affected hotel properties, and may be liable, under certain circumstances, for significant damages and/or be required to make certain payments to our third-party managers.</w:t>
      </w:r>
    </w:p>
    <w:p>
      <w:pPr>
        <w:spacing w:after="0" w:line="178"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The operation and management of our current hotel properties, the operation of which generates substantially all our Hospitality segment revenue, is concentrated in Marriott.</w:t>
      </w:r>
    </w:p>
    <w:p>
      <w:pPr>
        <w:spacing w:after="0" w:line="170"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Our current hotel properties, the operation of which generates substantially all our Hospitality segment revenue, are operated and managed by Marriott. As a result, our operational risk is concentrated in one third-party hotel manager, which makes us more vulnerable economically to any weakness of Marriott than if we entered into hotel management agreements with several third-party hotel managers. We cannot assure you that Marriott will satisfy its obligations to us or successfully operate and manage our current hotel properties. Any adverse developments in Marriott’s business and affairs, financial strength or ability to operate and manage our current hotel properties successfully could materially reduce our revenues and net income, which could in turn reduce the amount of distributions to our stockholders. Additionally, we rely on the resources of and financial information provided by Marriott to report the financial results of our hotel properties. A failure by Marriott to accurately report the financial results of our hotel properties could materially affect our understanding of the hotel properties’ performance as well as our ability to accurately report on the hotel properties’ performance. Further, Marriott now owns the Gaylord Hotels brand and trademarks, and a failure on their part to maintain quality standards could harm the brand and damage our business.</w:t>
      </w:r>
    </w:p>
    <w:p>
      <w:pPr>
        <w:spacing w:after="0" w:line="17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Revenue growth and cost synergies for our hotel operations are largely dependent on the efforts of Marriott. Prior to the COVID-19 pandemic, Marriott’s efforts to leverage its rewards program, customer channels and brands, as well as its management of demand for rooms, meeting space and banquets, resulted in revenue growth and Marriott’s efforts to reduce hotel-level costs yielded cost savings. There can be no assurance that improvements in revenue or cost savings can be achieved by Marriott during a recovery or after the COVID-19 pandemic ends or that they thereafter can be sustained.</w:t>
      </w:r>
    </w:p>
    <w:p>
      <w:pPr>
        <w:spacing w:after="0" w:line="161"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b w:val="1"/>
          <w:bCs w:val="1"/>
          <w:i w:val="1"/>
          <w:iCs w:val="1"/>
          <w:color w:val="auto"/>
        </w:rPr>
        <w:t>Restrictive covenants and other provisions in our hotel management agreements with third-party hotel managers could limit our ability to sell or lease our hotel properties or refinance our existing debt.</w:t>
      </w:r>
    </w:p>
    <w:p>
      <w:pPr>
        <w:spacing w:after="0" w:line="146"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Our hotel management agreements with Marriott contain, and we anticipate that hotel management agreements with our future third-party hotel managers will contain, restrictive covenants that limit our flexibility to sell or lease our hotel properties. For example, we may not sell or lease our current hotel properties to a competitor of Marriott (as defined in our management agreements with Marriott), and any purchaser or lessee must have, in Marriott’s judgment, sufficient financial resources and liquidity to fulfill our obligations under the hotel management agreements. Such restrictions on our ability to sell or lease our hotel properties could negatively affect the marketability of our hotel properties and restrict our ability to refinance our existing debt secured by our hotel properties.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Marriott and any future third-party hotel manager may own or operate hotels that compete with our hotel properties.</w:t>
      </w:r>
    </w:p>
    <w:p>
      <w:pPr>
        <w:spacing w:after="0" w:line="248"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Our third-party hotel managers may own or operate hotels that compete with our current hotel properties and any hotel properties that we acquire, which may result in a conflict of interest. For example, Marriott and its affiliates own, have invested in, operate, and have provided credit support or operating guarantees to hotels that compete or will compete with our current hotel properties, including the Marriott Orlando World Center, which competes with Gaylord Palms, and the Washington Marriott Marquis, which competes with Gaylord National. As a result, our third-party hotel managers may make decisions regarding competing hotel properties that are not or would not be in our best interest. In addition, such third-party hotel managers’ operation of other hotels may divert attention away from the operation and management of our hotel properties.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b w:val="1"/>
          <w:bCs w:val="1"/>
          <w:i w:val="1"/>
          <w:iCs w:val="1"/>
          <w:color w:val="auto"/>
        </w:rPr>
        <w:t>Our concentration in the hospitality industry, and in particular the group-oriented meetings sector of the hospitality industry, exposes us to certain risks outside of our and Marriott’s control.</w:t>
      </w:r>
    </w:p>
    <w:p>
      <w:pPr>
        <w:spacing w:after="0" w:line="170"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Our primary business is hotel-related, and our current hotel properties, the operation of which generates substantially all our Hospitality segment revenue, are concentrated in the group-oriented meetings sector of the hospitality industry. Therefore, a downturn in the lodging industry, in general, and the group-oriented meetings sector, in particular, would have a material adverse effect on our financial condition, results of operations, the market price of our common stock and our ability to service debt and make distributions to our stockholders.</w:t>
      </w:r>
    </w:p>
    <w:p>
      <w:pPr>
        <w:spacing w:after="0" w:line="188"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The group-oriented meetings sector has suffered during the COVID-19 pandemic, and while we believe meeting planners will continue to rebook large group meetings to periods when a vaccine is widely available, there can be no assurance as to the timing and pace of our recovery.</w:t>
      </w:r>
    </w:p>
    <w:p>
      <w:pPr>
        <w:spacing w:after="0" w:line="184"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The ability of Marriott to successfully operate and manage our current hotel properties and convention business is subject to factors beyond our and their control, which could reduce the revenue and operating income of these properties. These factors include:</w:t>
      </w:r>
    </w:p>
    <w:p>
      <w:pPr>
        <w:spacing w:after="0" w:line="184" w:lineRule="exact"/>
        <w:rPr>
          <w:sz w:val="20"/>
          <w:szCs w:val="20"/>
          <w:color w:val="auto"/>
        </w:rPr>
      </w:pPr>
    </w:p>
    <w:p>
      <w:pPr>
        <w:ind w:left="720" w:right="719" w:hanging="319"/>
        <w:spacing w:after="0" w:line="308"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desirability and perceived attractiveness of the Nashville, Tennessee; Orlando, Florida; Dallas, Texas; Washington D.C. and Denver, Colorado areas as tourist and convention destinations;</w:t>
      </w:r>
    </w:p>
    <w:p>
      <w:pPr>
        <w:spacing w:after="0" w:line="146" w:lineRule="exact"/>
        <w:rPr>
          <w:rFonts w:ascii="Arial" w:cs="Arial" w:eastAsia="Arial" w:hAnsi="Arial"/>
          <w:sz w:val="17"/>
          <w:szCs w:val="17"/>
          <w:color w:val="auto"/>
        </w:rPr>
      </w:pPr>
    </w:p>
    <w:p>
      <w:pPr>
        <w:ind w:left="720" w:right="4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changes in the national economy and in the levels of tourism and convention business that affect our current hotel properties;</w:t>
      </w:r>
    </w:p>
    <w:p>
      <w:pPr>
        <w:spacing w:after="0" w:line="170" w:lineRule="exact"/>
        <w:rPr>
          <w:rFonts w:ascii="Arial" w:cs="Arial" w:eastAsia="Arial" w:hAnsi="Arial"/>
          <w:sz w:val="18"/>
          <w:szCs w:val="18"/>
          <w:color w:val="auto"/>
        </w:rPr>
      </w:pPr>
    </w:p>
    <w:p>
      <w:pPr>
        <w:ind w:left="720" w:right="9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governmental group business, which has decreased at times in the past due to uncertainty surrounding the U.S. government budget;</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Marriott’s ability to attract group convention business;</w:t>
      </w:r>
    </w:p>
    <w:p>
      <w:pPr>
        <w:spacing w:after="0" w:line="225" w:lineRule="exact"/>
        <w:rPr>
          <w:rFonts w:ascii="Arial" w:cs="Arial" w:eastAsia="Arial" w:hAnsi="Arial"/>
          <w:sz w:val="18"/>
          <w:szCs w:val="18"/>
          <w:color w:val="auto"/>
        </w:rPr>
      </w:pPr>
    </w:p>
    <w:p>
      <w:pPr>
        <w:ind w:left="720" w:right="79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Marriott’s ability to contract for and collect attrition and cancellation fees from groups that do not fulfill minimum stay or spending requirements;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opening of other new hotels could impact the group convention business at our current hotel properties;</w:t>
      </w:r>
    </w:p>
    <w:p>
      <w:pPr>
        <w:spacing w:after="0" w:line="236" w:lineRule="exact"/>
        <w:rPr>
          <w:rFonts w:ascii="Arial" w:cs="Arial" w:eastAsia="Arial" w:hAnsi="Arial"/>
          <w:sz w:val="17"/>
          <w:szCs w:val="17"/>
          <w:color w:val="auto"/>
        </w:rPr>
      </w:pPr>
    </w:p>
    <w:p>
      <w:pPr>
        <w:ind w:left="720" w:right="119" w:hanging="319"/>
        <w:spacing w:after="0" w:line="342"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highly competitive nature of the hotel, tourism and convention business in which our hotel properties operate, including the fact that we compete for convention business with publicly-financed civic convention centers;</w:t>
      </w:r>
    </w:p>
    <w:p>
      <w:pPr>
        <w:spacing w:after="0" w:line="123" w:lineRule="exact"/>
        <w:rPr>
          <w:rFonts w:ascii="Arial" w:cs="Arial" w:eastAsia="Arial" w:hAnsi="Arial"/>
          <w:sz w:val="16"/>
          <w:szCs w:val="16"/>
          <w:color w:val="auto"/>
        </w:rPr>
      </w:pPr>
    </w:p>
    <w:p>
      <w:pPr>
        <w:ind w:left="720" w:right="179" w:hanging="319"/>
        <w:spacing w:after="0" w:line="308"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susceptibility of group convention business to reduced levels of demand during the year-end holiday periods, which Marriott may not be able to offset by attracting sufficient general tourism guests;</w:t>
      </w:r>
    </w:p>
    <w:p>
      <w:pPr>
        <w:spacing w:after="0" w:line="146" w:lineRule="exact"/>
        <w:rPr>
          <w:rFonts w:ascii="Arial" w:cs="Arial" w:eastAsia="Arial" w:hAnsi="Arial"/>
          <w:sz w:val="17"/>
          <w:szCs w:val="17"/>
          <w:color w:val="auto"/>
        </w:rPr>
      </w:pPr>
    </w:p>
    <w:p>
      <w:pPr>
        <w:ind w:left="720" w:right="13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condition of the airline and other transportation-related industries and the resulting impact on travel; and</w:t>
      </w:r>
    </w:p>
    <w:p>
      <w:pPr>
        <w:spacing w:after="0" w:line="170" w:lineRule="exact"/>
        <w:rPr>
          <w:rFonts w:ascii="Arial" w:cs="Arial" w:eastAsia="Arial" w:hAnsi="Arial"/>
          <w:sz w:val="18"/>
          <w:szCs w:val="18"/>
          <w:color w:val="auto"/>
        </w:rPr>
      </w:pPr>
    </w:p>
    <w:p>
      <w:pPr>
        <w:ind w:left="720" w:right="139" w:hanging="319"/>
        <w:spacing w:after="0" w:line="301"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increases in our operating costs due to labor costs in connection with any increases in the federal minimum wage rate, workers’ compensation, healthcare-related costs (including those related to the Affordable Care Act or other health care reform efforts), and organized labor activities, the last of which, in addition to increasing labor costs, could cause a diversion of business from our hotels involved in labor negotiations and loss of group business.</w:t>
      </w:r>
    </w:p>
    <w:p>
      <w:pPr>
        <w:spacing w:after="0" w:line="157"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These factors could reduce the revenues and net operating profits of our TRS lessees, which in turn could adversely affect our financial condition, results of operations, the market price of our common stock and our ability to service debt and make distributions to our stockholders.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Due to the geographic concentration of our current hotel properties, we are subject to a greater degree of risk to certain factors.</w:t>
      </w:r>
    </w:p>
    <w:p>
      <w:pPr>
        <w:spacing w:after="0" w:line="170"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Due to the geographic concentration of our current hotel properties, we are subject to a greater degree of risk to factors including:</w:t>
      </w:r>
    </w:p>
    <w:p>
      <w:pPr>
        <w:spacing w:after="0" w:line="170"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air passenger travel due to higher ticket costs or fears concerning air travel;</w:t>
      </w:r>
    </w:p>
    <w:p>
      <w:pPr>
        <w:spacing w:after="0" w:line="225" w:lineRule="exact"/>
        <w:rPr>
          <w:rFonts w:ascii="Arial" w:cs="Arial" w:eastAsia="Arial" w:hAnsi="Arial"/>
          <w:sz w:val="18"/>
          <w:szCs w:val="18"/>
          <w:color w:val="auto"/>
        </w:rPr>
      </w:pPr>
    </w:p>
    <w:p>
      <w:pPr>
        <w:ind w:left="720" w:right="99"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the attractiveness of the areas in which our hotels are located as a convention and tourism destination; and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convention and meeting business at any of our properties.</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Any of these could negatively affect our financial condition, results of operations and our ability to service debt and make distributions to our stockholders.</w:t>
      </w:r>
    </w:p>
    <w:p>
      <w:pPr>
        <w:spacing w:after="0" w:line="170" w:lineRule="exact"/>
        <w:rPr>
          <w:sz w:val="20"/>
          <w:szCs w:val="20"/>
          <w:color w:val="auto"/>
        </w:rPr>
      </w:pPr>
    </w:p>
    <w:p>
      <w:pPr>
        <w:ind w:left="60" w:right="379"/>
        <w:spacing w:after="0" w:line="308" w:lineRule="auto"/>
        <w:rPr>
          <w:sz w:val="20"/>
          <w:szCs w:val="20"/>
          <w:color w:val="auto"/>
        </w:rPr>
      </w:pPr>
      <w:r>
        <w:rPr>
          <w:rFonts w:ascii="Arial" w:cs="Arial" w:eastAsia="Arial" w:hAnsi="Arial"/>
          <w:sz w:val="17"/>
          <w:szCs w:val="17"/>
          <w:b w:val="1"/>
          <w:bCs w:val="1"/>
          <w:i w:val="1"/>
          <w:iCs w:val="1"/>
          <w:color w:val="auto"/>
        </w:rPr>
        <w:t>The hotel business is capital-intensive, and our inability to obtain financing or successfully complete acquisitions or capital improvements, or the disruption associated with them, could limit our growth.</w:t>
      </w:r>
    </w:p>
    <w:p>
      <w:pPr>
        <w:spacing w:after="0" w:line="146"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Acquisitions of hotels will require significant capital expenditures, and hotels that we acquire may need renovations and capital improvements at the time of acquisition. All of our hotel properties will require periodic capital expenditures and renovation to remain competitive. We may also undertake hotel expansions or new features at our existing hotel properties that involve significant capital expenditures, such as our Gaylord Palms expansion. If any hotels that we acquire are subject to franchise agreements, the franchisors of these hotels may also require periodic capital improvements as a condition to our maintaining the franchise licenses. We may not be able to fund capital improvements or acquisitions solely from cash provided from our operating activities because we must distribute at least 90% of our REIT taxable income (determined before the deduction for dividends paid and net of capital gains) each year to maintain our qualification as a REIT for federal income tax purposes. As a result, our ability to fund acquisitions or capital expenditures through any retained earnings or operating cash flow will be limited. Consequently, we will rely upon the availability of debt or equity capital to fund hotel acquisitions and improvements. Our ability to grow through acquisitions will be limited if we cannot obtain satisfactory debt or equity financing, which will depend on market conditions. We cannot assure you that we will be able to obtain additional equity or debt financing or that we will be able to obtain such financing on favorable terms.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addition, capital improvements may give rise to the following risks:</w:t>
      </w:r>
    </w:p>
    <w:p>
      <w:pPr>
        <w:spacing w:after="0" w:line="225"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environmental problems;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construction cost overruns and delays;</w:t>
      </w:r>
    </w:p>
    <w:p>
      <w:pPr>
        <w:spacing w:after="0" w:line="225"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possibility that revenues will be reduced while rooms, restaurants or other facilities are out of service due to capital improvement projects;</w:t>
      </w:r>
    </w:p>
    <w:p>
      <w:pPr>
        <w:spacing w:after="0" w:line="170"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possible shortage of available cash to fund capital improvements and the related possibility that financing for these capital improvements may not be available to us on attractive terms; and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as to market demand or a loss of market demand after capital improvements have begun.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342" w:lineRule="auto"/>
        <w:rPr>
          <w:sz w:val="20"/>
          <w:szCs w:val="20"/>
          <w:color w:val="auto"/>
        </w:rPr>
      </w:pPr>
      <w:r>
        <w:rPr>
          <w:rFonts w:ascii="Arial" w:cs="Arial" w:eastAsia="Arial" w:hAnsi="Arial"/>
          <w:sz w:val="16"/>
          <w:szCs w:val="16"/>
          <w:color w:val="auto"/>
        </w:rPr>
        <w:t>The costs of renovations and capital improvements could adversely affect our financial condition, results of operations, the market price of our common stock and our ability to service debt and make distributions to our stockholders.</w:t>
      </w:r>
    </w:p>
    <w:p>
      <w:pPr>
        <w:spacing w:after="0" w:line="124"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Our TRS lessee structure will subject us to the risk of increased hotel operating expenses and the inability of our TRS lessees to make lease payments to us.</w:t>
      </w:r>
    </w:p>
    <w:p>
      <w:pPr>
        <w:spacing w:after="0" w:line="170"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Our leases with our TRS lessees will require our TRS lessees to make lease payments to us based in part on gross revenues from our hotel properties. Our operating risks will include decreases in revenues at our hotel properties and increases in operating expenses of our hotel properties. Decreases in revenues or increases in operating expenses could adversely affect our TRS lessees’ ability to make lease payments due under the leases, including, but not limited to, increases in wage and benefit costs, repair and maintenance expenses, property taxes, insurance costs, and other operating expenses. Increases in those operating expenses can have a significant adverse impact on our financial condition, results of operations, the market price of our common stock, and our ability to service debt and make distributions to our stockholders.</w:t>
      </w:r>
    </w:p>
    <w:p>
      <w:pPr>
        <w:spacing w:after="0" w:line="166"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In addition, our TRS lessees’ ability to make lease payments will be affected by factors beyond their control, such as changes in general economic conditions, the level of demand for hotels and the related services of our hotel properties, competition in the lodging and hospitality industry, the third-party managers’ ability to maintain and increase gross revenue at our hotel properties and other factors relating to the operations of our hotel properties.</w:t>
      </w:r>
    </w:p>
    <w:p>
      <w:pPr>
        <w:spacing w:after="0" w:line="171"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b w:val="1"/>
          <w:bCs w:val="1"/>
          <w:i w:val="1"/>
          <w:iCs w:val="1"/>
          <w:color w:val="auto"/>
        </w:rPr>
        <w:t>We and our third-party hotel manager rely on information technology in our operations, and any material failure, inadequacy, interruption, or security failure could harm our business.</w:t>
      </w:r>
    </w:p>
    <w:p>
      <w:pPr>
        <w:spacing w:after="0" w:line="170" w:lineRule="exact"/>
        <w:rPr>
          <w:sz w:val="20"/>
          <w:szCs w:val="20"/>
          <w:color w:val="auto"/>
        </w:rPr>
      </w:pPr>
    </w:p>
    <w:p>
      <w:pPr>
        <w:ind w:left="60" w:right="79"/>
        <w:spacing w:after="0" w:line="267" w:lineRule="auto"/>
        <w:rPr>
          <w:sz w:val="20"/>
          <w:szCs w:val="20"/>
          <w:color w:val="auto"/>
        </w:rPr>
      </w:pPr>
      <w:r>
        <w:rPr>
          <w:rFonts w:ascii="Arial" w:cs="Arial" w:eastAsia="Arial" w:hAnsi="Arial"/>
          <w:sz w:val="17"/>
          <w:szCs w:val="17"/>
          <w:color w:val="auto"/>
        </w:rPr>
        <w:t>We and our third-party hotel manager rely on information technology systems, including networks and the Internet, to process, transmit, and store electronic information, and to manage or support a variety of business processes, including financial transactions and records, personal identifying information, reservations, billing and operating data. Our businesses require collection of large volumes of internal and customer data, including credit card numbers and other personally identifiable information of our customers in various information systems and those of our service providers. The integrity and protection of customer, employee, and company data is critical to us. If that data is inaccurate or incomplete, we or the hotel managers could make faulty decisions. Customers and employees also have a high expectation that we and our third-party service providers and processors will adequately protect their personal information. The regulatory environment surrounding information, security and privacy is also increasingly demanding and evolving. For example, in June 2018, the State of California enacted the California Consumer Privacy Act (the “CCPA”), which became effective in January 2020, requiring companies that process information on California residents to, among other things, provide new disclosures and options to consumers about data collection, use and sharing policies. Our existing systems may be unable to satisfy changing regulatory requirements and employee and customer expectations, or may require significant additional investments or time to do so. Despite implementation of various measures designed to protect our information systems and records, including those we maintain with our service providers, we, the hotel managers and/or our third-party service providers may be subject to security breaches, system failures, viruses, operator error, unauthorized or inadvertent releases of data. A significant theft, loss, or fraudulent use of customer, employee, or company data maintained by us or by a service provider or failure to comply with the various U.S. and international laws and regulations applicable to the protection of such data, including the CCPA, or with Payment Card Industry (PCI) data security standards, could divert our attention, adversely impact our reputation, result in remedial and other fines or litigation, cause us to incur substantial liabilities or costs, result in a loss of valuable data, or a loss of consumer confidence. A breach in the security of our information systems or those of our service providers, or the unauthorized use of such data by us or our third-party providers, could lead to an interruption in the operation of our systems, resulting in operational inefficiencies and a loss of profits.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Cyber security incidents could have a disruptive effect on our business.</w:t>
      </w:r>
    </w:p>
    <w:p>
      <w:pPr>
        <w:spacing w:after="0" w:line="225"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While we have implemented security measures to safeguard our systems and data, our measures or the measures of our service providers or hotel manager may not be sufficient to maintain the confidentiality, security, or availability of the data collected, stored, and used to manage our Gaylord Hotels properties. Efforts to hack or circumvent security measures, efforts to gain unauthorized access to data, failure of systems or software to operate as designed or intended,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color w:val="auto"/>
        </w:rPr>
        <w:t>viruses, “ransomware” or other malware, “phishing” or other types of business email compromises, operator error, or inadvertent releases of data may materially impact our information systems and records of those of our owners, licensees, or service providers. Our reliance on computer, Internet-based, and mobile systems and communications, and the frequency and sophistication of efforts by third parties to gain unauthorized access to such systems, have greatly increased in recent years. Like most large multinational corporations, our hotel manager and its service providers have experienced cyber-attacks, and attempts to disrupt access to their systems and data or those of properties our hotel manager manages and the frequency and sophistication of such efforts could continue to increase. Although some of these efforts may not be successful or impactful, a significant theft, loss, loss of access to, or fraudulent use of guest, associate, owner, licensee, or company data could adversely impact our reputation and could result in remedial and other expenses, fines, or litigation. Depending on the nature and scope of the event, compromises in the security of our information systems or those of our owners, licensees, or service providers or other disruptions in data services could lead to an interruption in the operation of our systems or our hotel manager’s systems, resulting in operational inefficiencies and a loss of profits, and negative publicity, resulting in tangible adverse effects on our business, including consumer boycotts, cancellations, lost sales or litigation, all of which could affect our market share, reputation, business, financial condition, or results of operations. In addition, although we or our manager carry cyber/privacy liability insurance that is designed to protect us against certain losses related to cyber risks, that insurance coverage may not be sufficient to cover all losses or all types of claims that may arise in connection with cyber-attacks, security compromises, and other related incidents. Furthermore, in the future such insurance may not be available on commercially reasonable terms, or at all.</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real estate assets are subject to numerous risks.</w:t>
      </w:r>
    </w:p>
    <w:p>
      <w:pPr>
        <w:spacing w:after="0" w:line="225"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Because we own hotels and attractions properties, we are subject to the risks that generally relate to investments in real property. The investment returns available from equity investments in real estate depend in large part on the amount of income earned and capital appreciation generated by the related properties, as well as the expenses incurred. In addition, a variety of other factors affect income from properties and real estate values, including governmental regulations, insurance, zoning, tax and eminent domain laws, interest rate levels and the availability of financing. For example, new or existing real estate zoning or tax laws can make it more expensive and/or time-consuming to develop real property or expand, modify or renovate properties. When interest rates increase, the cost of acquiring, developing, expanding or renovating real property increases, particularly as the cost of borrowing increases, and real property values may decrease as the number of potential buyers decreases. Similarly, as financing becomes less available, it becomes more difficult both to acquire and to sell real property. Finally, governments can, under eminent domain laws, take real property. Sometimes this taking is for less compensation than the owner believes the property is worth. Any of these factors could have a material adverse impact on our results of operations or financial condition. In addition, equity real estate investments, such as the investments we hold and any additional properties that we may acquire, are relatively difficult to sell quickly. If our properties do not generate revenue sufficient to meet operating expenses, including debt service and capital expenditures, our income will be reduced.</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properties are subject to environmental regulations that could impose significant financial liability on us.</w:t>
      </w:r>
    </w:p>
    <w:p>
      <w:pPr>
        <w:spacing w:after="0" w:line="237"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Environmental laws, ordinances and regulations of various federal, state, local and foreign governments regulate certain of our properties and could make us liable for the costs of removing or cleaning up hazardous or toxic substances on, under or in the properties we currently own or operate or those we previously owned or operated. Those laws could impose liability without regard to whether we knew of, or were responsible for, the presence of hazardous or toxic substances. The presence of hazardous or toxic substances, or the failure to properly clean up such substances when present, could jeopardize our ability to develop, use, sell or rent the real property or to borrow using the real property as collateral. If we arrange for the disposal or treatment of hazardous or toxic wastes, we could be liable for the costs of removing or cleaning up wastes at the disposal or treatment facility, even if we never owned or operated that facility. Other laws, ordinances and regulations could require us to manage, abate or remove lead- or asbestos-containing materials. Similarly, the operation and closure of storage tanks are often regulated by federal, state, local and foreign laws. Finally, certain laws, ordinances and regulations, particularly those governing the management or preservation of wetlands, coastal zones and threatened or endangered species, could limit our ability to develop, use, sell or rent our real property. Existing governmental laws and regulations may be revised or new laws and regulations relating to climate change, air quality or other environmental and health concerns may be adopted or become applicable to us, which could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93" w:lineRule="auto"/>
        <w:rPr>
          <w:sz w:val="20"/>
          <w:szCs w:val="20"/>
          <w:color w:val="auto"/>
        </w:rPr>
      </w:pPr>
      <w:r>
        <w:rPr>
          <w:rFonts w:ascii="Arial" w:cs="Arial" w:eastAsia="Arial" w:hAnsi="Arial"/>
          <w:sz w:val="16"/>
          <w:szCs w:val="16"/>
          <w:color w:val="auto"/>
        </w:rPr>
        <w:t>affect the operations of our hotels and/or result in significant additional expense and operating restrictions. The costs to clean up a contaminated property, to defend a claim, or to comply with environmental laws could be material and could adversely affect our financial condition, results of operations, the market price of our common stock and our ability to make distributions to our stockholders. Additionally, because we rely on third-party managers to operate our hotel properties and certain attractions, we have limited control over ensuring compliance at those locations with applicable environmental laws or regulations or approving certain remediation action taken by the manager to resolve such issues.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Compliance with the Americans with Disabilities Act could require us to incur substantial costs.</w:t>
      </w:r>
    </w:p>
    <w:p>
      <w:pPr>
        <w:spacing w:after="0" w:line="225"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Under the Americans with Disabilities Act of 1990, as amended (the “ADA”), all public accommodations must meet various federal requirements related to access and use by disabled persons. Compliance with the ADA’s requirements could require removal of access barriers, and non-compliance could result in the U.S. government imposing fines or in private litigants winning damages. Although we believe that our hotel properties substantially comply with present requirements of the ADA, we may be subject to audits or investigations of all of our hotels to determine our compliance, and one or more hotels may not be fully compliant with the ADA. Noncompliance with the ADA could result in the incurrence of additional costs to attain compliance. The obligation to make readily achievable accommodations is an ongoing one, and we will continue to assess our hotel properties and to make alterations as appropriate in this respect. If we are required to make substantial modifications to our hotel properties, whether to comply with the ADA or other changes in governmental rules and regulations, our financial condition, results of operations, the market price of our common stock and amount of cash available for debt service or distributions to our stockholders could be adversely affected. Additionally, because we rely on third-party managers to operate our hotel properties and certain attractions, we have limited control over ensuring compliance at those locations with applicable ADA requirements or approving certain remediation action taken by the manager to resolve such issues.</w:t>
      </w:r>
    </w:p>
    <w:p>
      <w:pPr>
        <w:spacing w:after="0" w:line="184"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As an owner of hotel properties and operator of leisure businesses, we are subject to risks relating to acts of God, outbreaks of pandemic disease, terrorist activity and war.</w:t>
      </w:r>
    </w:p>
    <w:p>
      <w:pPr>
        <w:spacing w:after="0" w:line="170" w:lineRule="exact"/>
        <w:rPr>
          <w:sz w:val="20"/>
          <w:szCs w:val="20"/>
          <w:color w:val="auto"/>
        </w:rPr>
      </w:pPr>
    </w:p>
    <w:p>
      <w:pPr>
        <w:ind w:left="60" w:right="59"/>
        <w:spacing w:after="0" w:line="268" w:lineRule="auto"/>
        <w:rPr>
          <w:sz w:val="20"/>
          <w:szCs w:val="20"/>
          <w:color w:val="auto"/>
        </w:rPr>
      </w:pPr>
      <w:r>
        <w:rPr>
          <w:rFonts w:ascii="Arial" w:cs="Arial" w:eastAsia="Arial" w:hAnsi="Arial"/>
          <w:sz w:val="17"/>
          <w:szCs w:val="17"/>
          <w:color w:val="auto"/>
        </w:rPr>
        <w:t>Our operating income and ability to make distributions to our stockholders may be reduced by acts of God, outbreaks of pandemic disease, or acts of terrorism in locations where we own and/or operate significant properties and areas of the world from which we draw a large number of customers. Gaylord Opryland, which is located adjacent to the Cumberland River and is protected by levees built to sustain a 100-year flood, suffered flood damage on May 3, 2010 as the river rose to levels that over-topped the levees. The per occurrence flood insurance limit for our Gaylord Opryland hotel is now $350 million. We have also completed enhancements to the levees that protect the hotel to increase the height of the levees. While we believe these steps are reasonable given the likelihood of flood damage at Gaylord Opryland, there can be no assurances that flooding will not occur at Gaylord Opryland in the future. Some types of losses, such as from flood, earthquake, terrorism and environmental hazards, may be either uninsurable, subject to sublimit, or too expensive to justify insuring against. Should an uninsured loss or a loss in excess of insured limits occur, we could lose all or a portion of the capital we have invested in a hotel, as well as the anticipated future revenue from the hotel. In that event, we might nevertheless remain obligated for any mortgage debt or other financial obligations related to the property. Similarly, outbreaks of pandemic disease, wars (including the potential for war), terrorist activity (including threats of terrorist activity), political unrest and other forms of civil strife as well as geopolitical uncertainty, may cause our future results to differ materially from anticipated results.</w:t>
      </w:r>
    </w:p>
    <w:p>
      <w:pPr>
        <w:spacing w:after="0" w:line="182"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We are subject to risks associated with our hotel managers’ employment of hotel personnel, particularly with hotels whose managers employ unionized labor, which could increase our hotels’ operating costs, reduce the flexibility of our third-party hotel managers to adjust the size of the workforce at our hotel properties and impair our ability to make distributions to our stockholders.</w:t>
      </w:r>
    </w:p>
    <w:p>
      <w:pPr>
        <w:spacing w:after="0" w:line="187" w:lineRule="exact"/>
        <w:rPr>
          <w:sz w:val="20"/>
          <w:szCs w:val="20"/>
          <w:color w:val="auto"/>
        </w:rPr>
      </w:pPr>
    </w:p>
    <w:p>
      <w:pPr>
        <w:ind w:left="60" w:right="259"/>
        <w:spacing w:after="0" w:line="293" w:lineRule="auto"/>
        <w:rPr>
          <w:sz w:val="20"/>
          <w:szCs w:val="20"/>
          <w:color w:val="auto"/>
        </w:rPr>
      </w:pPr>
      <w:r>
        <w:rPr>
          <w:rFonts w:ascii="Arial" w:cs="Arial" w:eastAsia="Arial" w:hAnsi="Arial"/>
          <w:sz w:val="16"/>
          <w:szCs w:val="16"/>
          <w:color w:val="auto"/>
        </w:rPr>
        <w:t>Our third-party hotel managers are responsible for hiring and maintaining the labor force at each of our hotel properties. Although we do not employ or manage employees at our hotel properties, we are subject to many of the costs and risks generally associated with the hotel labor force, including at those of our hotels with unionized labor. From time to time, hotel operations may be disrupted as a result of strikes, lockouts, public demonstrations or other negative actions and publicity. We also may incur increased legal costs and indirect labor costs as a result of contract disputes or other events. The resolution of labor disputes or re-negotiated labor contracts could lead to increased labor costs, either by increases in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wages or benefits or by changes in work rules that raise hotel operating costs. Furthermore, labor agreements may limit the ability of our third-party hotel managers to reduce the size of hotel workforces during an economic downturn because collective bargaining agreements are negotiated between the third-party hotel managers and labor unions. We do not have the ability to control the outcome of these negotiations.</w:t>
      </w:r>
    </w:p>
    <w:p>
      <w:pPr>
        <w:spacing w:after="0" w:line="18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Any failure to protect the trademarks and intellectual property used in our business could reduce the value of our brand names and harm our business.</w:t>
      </w:r>
    </w:p>
    <w:p>
      <w:pPr>
        <w:spacing w:after="0" w:line="170" w:lineRule="exact"/>
        <w:rPr>
          <w:sz w:val="20"/>
          <w:szCs w:val="20"/>
          <w:color w:val="auto"/>
        </w:rPr>
      </w:pPr>
    </w:p>
    <w:p>
      <w:pPr>
        <w:ind w:left="60" w:right="699"/>
        <w:spacing w:after="0" w:line="308" w:lineRule="auto"/>
        <w:rPr>
          <w:sz w:val="20"/>
          <w:szCs w:val="20"/>
          <w:color w:val="auto"/>
        </w:rPr>
      </w:pPr>
      <w:r>
        <w:rPr>
          <w:rFonts w:ascii="Arial" w:cs="Arial" w:eastAsia="Arial" w:hAnsi="Arial"/>
          <w:sz w:val="17"/>
          <w:szCs w:val="17"/>
          <w:color w:val="auto"/>
        </w:rPr>
        <w:t>Third-party infringement of the Gaylord Hotels marks now owned by Marriott or the marks we own and use in our entertainment business, or the failure to enforce rights to the marks, could be damaging to our business.</w:t>
      </w:r>
    </w:p>
    <w:p>
      <w:pPr>
        <w:spacing w:after="0" w:line="146"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The reputation and perception of the brands we use is critical to our success. If trademarks or intellectual property are misappropriated or used without authorization, the value of those brands, their reputation, our competitive advantages and our goodwill could be harmed. We regularly apply to register our trademarks in the United States. However, we cannot be certain that those trademark registrations will be granted or that the steps we take to protect our trademarks or intellectual property in the United States will be adequate to prevent others, including third parties or former employees, from copying or using our trademarks or intellectual property without authorization. Our intellectual property is also vulnerable to unauthorized use in some countries outside the United States, where local laws may not adequately protect it. Marriott owns and maintains the marks used in the Gaylord Hotels operations.</w:t>
      </w:r>
    </w:p>
    <w:p>
      <w:pPr>
        <w:spacing w:after="0" w:line="178"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Monitoring the unauthorized use of our intellectual property is difficult. As we have in the past, we may need to resort to litigation to enforce our intellectual property rights. Litigation of this type could be costly, force us to divert our resources, lead to counterclaims or other claims against us, or otherwise harm our business. Any failure to maintain and protect trademarks and other intellectual property used in our business could reduce the value of our brands and harm our business.</w:t>
      </w:r>
    </w:p>
    <w:p>
      <w:pPr>
        <w:spacing w:after="0" w:line="157" w:lineRule="exact"/>
        <w:rPr>
          <w:sz w:val="20"/>
          <w:szCs w:val="20"/>
          <w:color w:val="auto"/>
        </w:rPr>
      </w:pPr>
    </w:p>
    <w:p>
      <w:pPr>
        <w:ind w:left="60" w:right="799"/>
        <w:spacing w:after="0" w:line="277" w:lineRule="auto"/>
        <w:rPr>
          <w:sz w:val="20"/>
          <w:szCs w:val="20"/>
          <w:color w:val="auto"/>
        </w:rPr>
      </w:pPr>
      <w:r>
        <w:rPr>
          <w:rFonts w:ascii="Arial" w:cs="Arial" w:eastAsia="Arial" w:hAnsi="Arial"/>
          <w:sz w:val="18"/>
          <w:szCs w:val="18"/>
          <w:b w:val="1"/>
          <w:bCs w:val="1"/>
          <w:i w:val="1"/>
          <w:iCs w:val="1"/>
          <w:color w:val="auto"/>
        </w:rPr>
        <w:t>Illiquidity of real estate investments could significantly impede our ability to respond to adverse changes in the performance of our hotel properties and harm our financial condition.</w:t>
      </w:r>
    </w:p>
    <w:p>
      <w:pPr>
        <w:spacing w:after="0" w:line="170"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Because real estate investments are relatively illiquid, our ability to promptly sell one or more of our hotel properties in response to changing economic, financial and investment conditions may be limited. The real estate market is affected by many factors that are beyond our control, including:</w:t>
      </w:r>
    </w:p>
    <w:p>
      <w:pPr>
        <w:spacing w:after="0" w:line="184"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changes in international, national, regional and local economic and market conditions;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interest rates and in the availability, cost and terms of debt financing;</w:t>
      </w:r>
    </w:p>
    <w:p>
      <w:pPr>
        <w:spacing w:after="0" w:line="225" w:lineRule="exact"/>
        <w:rPr>
          <w:rFonts w:ascii="Arial" w:cs="Arial" w:eastAsia="Arial" w:hAnsi="Arial"/>
          <w:sz w:val="18"/>
          <w:szCs w:val="18"/>
          <w:color w:val="auto"/>
        </w:rPr>
      </w:pPr>
    </w:p>
    <w:p>
      <w:pPr>
        <w:ind w:left="720" w:right="519" w:hanging="31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governmental laws and regulations, fiscal policies and zoning ordinances and the related costs of compliance with laws and regulations, fiscal policies and ordinances;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ongoing need for capital improvements, particularly in older structures;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operating expenses; and</w:t>
      </w:r>
    </w:p>
    <w:p>
      <w:pPr>
        <w:spacing w:after="0" w:line="225" w:lineRule="exact"/>
        <w:rPr>
          <w:rFonts w:ascii="Arial" w:cs="Arial" w:eastAsia="Arial" w:hAnsi="Arial"/>
          <w:sz w:val="18"/>
          <w:szCs w:val="18"/>
          <w:color w:val="auto"/>
        </w:rPr>
      </w:pPr>
    </w:p>
    <w:p>
      <w:pPr>
        <w:ind w:left="720" w:right="159" w:hanging="31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civil unrest, acts of God, including earthquakes, floods and other natural disasters, which may result in uninsured losses, and acts of war or terrorism, including the consequences of the terrorist acts.</w:t>
      </w:r>
    </w:p>
    <w:p>
      <w:pPr>
        <w:spacing w:after="0" w:line="170" w:lineRule="exact"/>
        <w:rPr>
          <w:sz w:val="20"/>
          <w:szCs w:val="20"/>
          <w:color w:val="auto"/>
        </w:rPr>
      </w:pPr>
    </w:p>
    <w:p>
      <w:pPr>
        <w:ind w:left="60" w:right="259"/>
        <w:spacing w:after="0" w:line="296" w:lineRule="auto"/>
        <w:rPr>
          <w:sz w:val="20"/>
          <w:szCs w:val="20"/>
          <w:color w:val="auto"/>
        </w:rPr>
      </w:pPr>
      <w:r>
        <w:rPr>
          <w:rFonts w:ascii="Arial" w:cs="Arial" w:eastAsia="Arial" w:hAnsi="Arial"/>
          <w:sz w:val="16"/>
          <w:szCs w:val="16"/>
          <w:color w:val="auto"/>
        </w:rPr>
        <w:t>We may decide in the future to sell one or more of our hotel properties. We cannot predict whether we will be able to sell any hotel property for the price or on the terms set by us, or whether any price or other terms offered by a prospective purchaser would be acceptable to us. We also cannot predict the length of time needed to find a willing purchaser and to close the sale of a hotel property. Further, as a REIT, we are subject to a 100% excise tax on net income derived from prohibited transactions, including the sale of property (other than foreclosure property) held primarily for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sale to customers in the ordinary course. There can be no assurances that the IRS will not contend that the sale of a hotel is subject to this 100% excise tax.</w:t>
      </w:r>
    </w:p>
    <w:p>
      <w:pPr>
        <w:spacing w:after="0" w:line="170"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We may be required to expend funds to correct defects or to make improvements before a hotel property can be sold. We cannot assure you that we will have funds available to correct those defects or to make those improvements. In acquiring a hotel, we may agree to lock-out provisions that materially restrict us from selling that hotel for a period of time or impose other restrictions, such as a limitation on the amount of debt that can be placed or repaid on that hotel. These factors and any others that would impede our ability to respond to adverse changes in the performance of our hotel properties could have a material adverse effect on our operating results and financial condition, as well as the amount of cash available for distributions to our stockholders.</w:t>
      </w:r>
    </w:p>
    <w:p>
      <w:pPr>
        <w:spacing w:after="0" w:line="17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Our operating results and ability to service debt and make distributions to our stockholders may be adversely affected by various operating risks common to the lodging industry.</w:t>
      </w:r>
    </w:p>
    <w:p>
      <w:pPr>
        <w:spacing w:after="0" w:line="170"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Our hotel properties have different economic characteristics than many other real estate assets, and a hotel REIT is structured differently than many other types of REITs. A typical office property owner, for example, has long-term leases with third-party tenants, which provide a relatively stable long-term stream of revenue. Our TRS lessees, on the other hand, do not enter into a lease with a third-party hotel manager. Instead, our TRS lessees engage our third-party managers pursuant to hotel management agreements and pay the third-party hotel managers fees for managing our hotel properties. The TRS lessees receive all the operating profit or losses at our hotel properties, net of fees and reimbursements. Moreover, virtually all hotel guests stay at a hotel for only a few nights at a time, so the rate and occupancy at each of our hotel properties may change every day. As a result, we may have highly volatile earnings.</w:t>
      </w:r>
    </w:p>
    <w:p>
      <w:pPr>
        <w:spacing w:after="0" w:line="178"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In addition, our hotel properties are subject to various operating risks common to the lodging industry, many of which are beyond our or a manager’s control, including the following:</w:t>
      </w:r>
    </w:p>
    <w:p>
      <w:pPr>
        <w:spacing w:after="0" w:line="170" w:lineRule="exact"/>
        <w:rPr>
          <w:sz w:val="20"/>
          <w:szCs w:val="20"/>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from other hotel properties and publicly-financed civic convention centers in our markets;</w:t>
      </w:r>
    </w:p>
    <w:p>
      <w:pPr>
        <w:spacing w:after="0" w:line="225" w:lineRule="exact"/>
        <w:rPr>
          <w:rFonts w:ascii="Arial" w:cs="Arial" w:eastAsia="Arial" w:hAnsi="Arial"/>
          <w:sz w:val="18"/>
          <w:szCs w:val="18"/>
          <w:color w:val="auto"/>
        </w:rPr>
      </w:pPr>
    </w:p>
    <w:p>
      <w:pPr>
        <w:ind w:left="720" w:right="73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over-building of hotels in our markets, which could adversely affect occupancy and revenues at our hotel properties;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dependence on business and commercial travelers and tourism;</w:t>
      </w:r>
    </w:p>
    <w:p>
      <w:pPr>
        <w:spacing w:after="0" w:line="225" w:lineRule="exact"/>
        <w:rPr>
          <w:rFonts w:ascii="Arial" w:cs="Arial" w:eastAsia="Arial" w:hAnsi="Arial"/>
          <w:sz w:val="18"/>
          <w:szCs w:val="18"/>
          <w:color w:val="auto"/>
        </w:rPr>
      </w:pPr>
    </w:p>
    <w:p>
      <w:pPr>
        <w:ind w:left="720" w:right="45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energy costs and other expenses affecting travel, which may affect travel patterns and reduce the number of business and commercial travelers and tourists;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increases in operating costs due to inflation and other factors that may not be offset by increased room rates;</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interest rates and in the availability, cost and terms of debt financing;</w:t>
      </w:r>
    </w:p>
    <w:p>
      <w:pPr>
        <w:spacing w:after="0" w:line="225" w:lineRule="exact"/>
        <w:rPr>
          <w:rFonts w:ascii="Arial" w:cs="Arial" w:eastAsia="Arial" w:hAnsi="Arial"/>
          <w:sz w:val="18"/>
          <w:szCs w:val="18"/>
          <w:color w:val="auto"/>
        </w:rPr>
      </w:pPr>
    </w:p>
    <w:p>
      <w:pPr>
        <w:ind w:left="720" w:right="51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governmental laws and regulations, fiscal policies and zoning ordinances and the related costs of compliance with laws and regulations, fiscal policies and ordinances;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effects of international, national, regional and local economic and market conditions;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the use of Internet travel intermediaries by consumers;</w:t>
      </w:r>
    </w:p>
    <w:p>
      <w:pPr>
        <w:spacing w:after="0" w:line="225" w:lineRule="exact"/>
        <w:rPr>
          <w:rFonts w:ascii="Arial" w:cs="Arial" w:eastAsia="Arial" w:hAnsi="Arial"/>
          <w:sz w:val="18"/>
          <w:szCs w:val="18"/>
          <w:color w:val="auto"/>
        </w:rPr>
      </w:pPr>
    </w:p>
    <w:p>
      <w:pPr>
        <w:ind w:left="720" w:right="99" w:hanging="319"/>
        <w:spacing w:after="0" w:line="279"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unforeseen events beyond our control, such as terrorist attacks, travel-related health concerns including pandemics and epidemics (including a widespread outbreak of coronavirus in the United States), political instability, regional hostilities, imposition of taxes or surcharges by regulatory authorities, travel-related accidents and unusual weather patterns, including natural disasters, such as hurricanes and earthquakes;</w:t>
      </w:r>
    </w:p>
    <w:p>
      <w:pPr>
        <w:spacing w:after="0" w:line="171" w:lineRule="exact"/>
        <w:rPr>
          <w:rFonts w:ascii="Arial" w:cs="Arial" w:eastAsia="Arial" w:hAnsi="Arial"/>
          <w:sz w:val="17"/>
          <w:szCs w:val="17"/>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effects of a downturn in the lodging industry;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generally associated with the ownership of hotels and real estate.</w:t>
      </w:r>
    </w:p>
    <w:p>
      <w:pPr>
        <w:spacing w:after="0" w:line="225"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These factors could reduce the net operating profits of our TRS lessees, which in turn could adversely affect the amount and frequency of distributions we make to our stockholders and our ability to service our debt.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Status as a REIT</w:t>
      </w:r>
    </w:p>
    <w:p>
      <w:pPr>
        <w:spacing w:after="0" w:line="229"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If we fail to remain qualified as a REIT, we would be subject to tax at corporate income tax rates and would not be able to deduct distributions to stockholders when computing our taxable income.</w:t>
      </w:r>
    </w:p>
    <w:p>
      <w:pPr>
        <w:spacing w:after="0" w:line="170"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If, in any taxable year, we fail to qualify for taxation as a REIT, and are not entitled to relief under the Internal Revenue Code of 1986, as amended (the “Code”):</w:t>
      </w:r>
    </w:p>
    <w:p>
      <w:pPr>
        <w:spacing w:after="0" w:line="170" w:lineRule="exact"/>
        <w:rPr>
          <w:sz w:val="20"/>
          <w:szCs w:val="20"/>
          <w:color w:val="auto"/>
        </w:rPr>
      </w:pPr>
    </w:p>
    <w:p>
      <w:pPr>
        <w:ind w:left="720" w:hanging="319"/>
        <w:spacing w:after="0"/>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would not be allowed a deduction for distributions to stockholders in computing our taxable income; and</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would be subject to federal and state income tax on our taxable income at regular corporate rates.</w:t>
      </w:r>
    </w:p>
    <w:p>
      <w:pPr>
        <w:spacing w:after="0" w:line="22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Any such corporate tax liability could be substantial and would reduce the amount of cash available for other purposes. This adverse impact could last for five or more years. Unless we are entitled to relief under certain statutory provisions, we would be taxable as a C corporation beginning in the year in which the failure occurs, and we would not be allowed to re-elect to be taxed as a REIT for the following four years.</w:t>
      </w:r>
    </w:p>
    <w:p>
      <w:pPr>
        <w:spacing w:after="0" w:line="187"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If we fail to qualify for taxation as a REIT, we may need to borrow additional funds or liquidate certain assets to pay any additional tax liability. Accordingly, funds available for investment or distribution to stockholders would be reduced.</w:t>
      </w:r>
    </w:p>
    <w:p>
      <w:pPr>
        <w:spacing w:after="0" w:line="124"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REIT qualification involves the application of highly technical and complex provisions of the Code to our operations, as well as various factual determinations concerning matters and circumstances not entirely within our control. There are limited judicial or administrative interpretations of these provisions. Although we plan to operate in a manner consistent with the REIT qualification rules, we cannot assure you that we will so qualify or remain so qualified.</w:t>
      </w:r>
    </w:p>
    <w:p>
      <w:pPr>
        <w:spacing w:after="0" w:line="157"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As a REIT, failure to make required distributions to our stockholders would subject us to federal and state corporate income tax.</w:t>
      </w:r>
    </w:p>
    <w:p>
      <w:pPr>
        <w:spacing w:after="0" w:line="170"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Prior to 2012, we had not paid a cash distribution on our common stock since 1999. Beginning in 2013 we declared, and we intend to continue to declare when appropriate, regular quarterly distributions, the amount of which will be determined, and will be subject to adjustment, by our board of directors. Our board of directors formerly maintained a dividend policy pursuant to which we paid a quarterly cash dividend in an amount equal to an annualized payment of at least 50% of adjusted funds from operations (as defined by us) less maintenance capital expenditures or 100% of REIT taxable income on an annual basis, whichever is greater. Our dividend policy may be altered at any time by our board of directors, and certain provisions of our debt agreements may prohibit us from paying dividends in accordance with the policy. In 2020, we suspended our regular quarterly dividend, but our dividends paid will satisfy the distribution requirement. To qualify as a REIT, we are generally required to distribute at least 90% of our REIT taxable income (determined without regard to the dividends paid deduction and excluding net capital gain) each year to our stockholders. If our cash available for distribution falls short of our estimates, we may be unable to maintain the proposed quarterly distributions that approximate our taxable income and may fail to qualify for taxation as a REIT. In addition, our cash flows from operations may be insufficient to fund required distributions as a result of differences in timing between the actual receipt of income and the recognition of income for federal and state income tax purposes, or the effect of nondeductible expenditures.</w:t>
      </w:r>
    </w:p>
    <w:p>
      <w:pPr>
        <w:spacing w:after="0" w:line="171"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To the extent that we satisfy the 90% distribution requirement, but distribute less than 100% of our REIT taxable income, we will be subject to federal and state corporate income tax on our undistributed taxable income. In addition, we will be subject to a 4% nondeductible excise tax if the actual amount that we pay out to our stockholders for a calendar year is less than a minimum amount specified under the Code.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b w:val="1"/>
          <w:bCs w:val="1"/>
          <w:i w:val="1"/>
          <w:iCs w:val="1"/>
          <w:color w:val="auto"/>
        </w:rPr>
        <w:t>Even though we are conducting our business as a REIT, certain of our business activities will be subject to corporate level income tax, which will continue to reduce our cash flows, and we will have potential deferred and contingent tax liabilities.</w:t>
      </w:r>
    </w:p>
    <w:p>
      <w:pPr>
        <w:spacing w:after="0" w:line="184"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Even though we are conducting our business as a REIT, we may be subject to certain federal, state, and local taxes on our income and assets, taxes on any undistributed income, and state or local income, franchise, property and transfer taxes. In addition, we could in certain circumstances be required to pay an excise or penalty tax, which could be significant in amount, to utilize one or more relief provisions under the Code to maintain qualification for taxation as a REIT.</w:t>
      </w:r>
    </w:p>
    <w:p>
      <w:pPr>
        <w:spacing w:after="0" w:line="157"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Our business related to the non-real estate assets of our Hospitality segment and the assets of our Entertainment segment is conducted through wholly-owned TRSs because these activities could generate non-qualifying REIT income as historically structured and operated. Those TRS assets and operations continue to be subject, as applicable, to federal and state corporate income taxes in the jurisdictions in which those assets and operations are located. Any of these taxes would decrease our earnings and our available cash. In addition, net operating losses in any of our TRSs generally will not provide any tax benefit, except for use against current or future taxable income in the TRSs.</w:t>
      </w:r>
    </w:p>
    <w:p>
      <w:pPr>
        <w:spacing w:after="0" w:line="164"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increase the costs of our hedging, and may cause us to incur tax liabilities.</w:t>
      </w:r>
    </w:p>
    <w:p>
      <w:pPr>
        <w:spacing w:after="0" w:line="170"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The REIT provisions of the Code limit our ability to hedge liabilities. Generally, income from hedging transactions that we enter into to manage risk of interest rate changes with respect to borrowings made or to be made to acquire or carry real estate assets and income from certain currency hedging transactions related to any non-U.S. operations do not constitute “gross income” for purposes of the REIT gross income tests. To the extent that we enter into other types of hedging transactions, the income from those transactions is likely to be treated as non-qualifying income for purposes of the REIT gross income tests. As a result of these rules, we may need to limit our use of advantageous hedging techniques or implement those hedges through a TRS. This could increase the cost of our hedging activities because our TRSs would be subject to tax on income or gains resulting from hedges entered into by them or expose us to greater risks associated with changes in interest rates than we would otherwise want to bear.</w:t>
      </w:r>
    </w:p>
    <w:p>
      <w:pPr>
        <w:spacing w:after="0" w:line="181" w:lineRule="exact"/>
        <w:rPr>
          <w:sz w:val="20"/>
          <w:szCs w:val="20"/>
          <w:color w:val="auto"/>
        </w:rPr>
      </w:pPr>
    </w:p>
    <w:p>
      <w:pPr>
        <w:ind w:left="60" w:right="139"/>
        <w:spacing w:after="0" w:line="308" w:lineRule="auto"/>
        <w:rPr>
          <w:sz w:val="20"/>
          <w:szCs w:val="20"/>
          <w:color w:val="auto"/>
        </w:rPr>
      </w:pPr>
      <w:r>
        <w:rPr>
          <w:rFonts w:ascii="Arial" w:cs="Arial" w:eastAsia="Arial" w:hAnsi="Arial"/>
          <w:sz w:val="17"/>
          <w:szCs w:val="17"/>
          <w:b w:val="1"/>
          <w:bCs w:val="1"/>
          <w:i w:val="1"/>
          <w:iCs w:val="1"/>
          <w:color w:val="auto"/>
        </w:rPr>
        <w:t>U.S. federal tax reform legislation could affect REITs generally, the geographic markets in which we operate, our stock and our results of operations, both positively and negatively in ways that are difficult to anticipate.</w:t>
      </w:r>
    </w:p>
    <w:p>
      <w:pPr>
        <w:spacing w:after="0" w:line="146"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In 2017, the U.S. Congress passed tax reform legislation that made significant changes to corporate and individual tax rates and the calculations of taxes, as well as international tax rules for U.S. domestic corporations. In addition, it is uncertain if and to what extent various states will conform to this legislation. As a REIT, we are generally not required to pay federal taxes otherwise applicable to regular corporations (except for income related to our TRSs) if we comply with the various tax regulations governing REITs. Stockholders, however, are generally required to pay taxes on REIT dividends. Tax reform legislation will continue to affect the way in which dividends paid on shares of our common stock are taxed and could impact our stock price or how stockholders and potential investors view an investment in REITs generally.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Legislative or other actions affecting REITs could have a negative effect on us or our stockholders.</w:t>
      </w:r>
    </w:p>
    <w:p>
      <w:pPr>
        <w:spacing w:after="0" w:line="225"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At any time, the federal income tax laws governing REITs or the administrative interpretations of those laws may be amended. Federal and state tax laws are constantly under review by persons involved in the legislative process, the IRS, the United States Department of the Treasury and state taxing authorities. Changes to the tax laws, regulations and administrative interpretations, which may have retroactive application, could adversely affect us. We cannot predict with certainty whether, when, in what forms, or with what effective dates, the tax laws, regulations and administrative interpretations applicable to us may be changed. Accordingly, we cannot assure you that any such change will not significantly affect our ability to qualify for taxation as a REIT or the federal income tax consequences to us of such qualification.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342" w:lineRule="auto"/>
        <w:rPr>
          <w:sz w:val="20"/>
          <w:szCs w:val="20"/>
          <w:color w:val="auto"/>
        </w:rPr>
      </w:pPr>
      <w:r>
        <w:rPr>
          <w:rFonts w:ascii="Arial" w:cs="Arial" w:eastAsia="Arial" w:hAnsi="Arial"/>
          <w:sz w:val="16"/>
          <w:szCs w:val="16"/>
          <w:b w:val="1"/>
          <w:bCs w:val="1"/>
          <w:i w:val="1"/>
          <w:iCs w:val="1"/>
          <w:color w:val="auto"/>
        </w:rPr>
        <w:t>Even as a REIT, changes in federal, state, or local tax law, interpretations of existing tax law or agreements with tax authorities could affect our profitability and financial condition by increasing our tax costs.</w:t>
      </w:r>
    </w:p>
    <w:p>
      <w:pPr>
        <w:spacing w:after="0" w:line="124"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We are subject to taxation at the federal, state and local levels in the United States. Our future tax rates could be affected by changes in the composition of earnings in jurisdictions with differing tax rates, changes in the valuation of our deferred tax assets and liabilities, or changes in determinations regarding the jurisdictions in which we are subject to tax. From time to time, the U.S. federal, state and local governments make substantive changes to tax rules and the application thereof, which could result in materially higher corporate taxes than would be incurred under existing tax law or interpretations and could adversely impact profitability. State and local tax authorities have increased their efforts to increase revenues through changes in tax law and audits. Such changes and proposals, if enacted, could increase our future effective income tax rates, as well as other taxes, including property taxes.</w:t>
      </w:r>
    </w:p>
    <w:p>
      <w:pPr>
        <w:spacing w:after="0" w:line="178"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The ability of our board of directors to revoke our REIT qualification, without stockholder approval, may cause adverse consequences to our stockholders.</w:t>
      </w:r>
    </w:p>
    <w:p>
      <w:pPr>
        <w:spacing w:after="0" w:line="170"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Our Amended and Restated Articles of Incorporation (“Charter”) provides that the board of directors may revoke or otherwise terminate the REIT election, without the approval of our stockholders, if it determines that it is no longer in our best interest to continue to qualify as a REIT. If we cease to be a REIT, we will not be allowed a tax deduction with respect to distributions to our stockholders in computing our taxable income, and we will be subject to federal and state income tax at regular corporate rates and state and local taxes, which may have adverse consequences on our stock price, distributions, and total return to our stockholders.</w:t>
      </w:r>
    </w:p>
    <w:p>
      <w:pPr>
        <w:spacing w:after="0" w:line="192" w:lineRule="exact"/>
        <w:rPr>
          <w:sz w:val="20"/>
          <w:szCs w:val="20"/>
          <w:color w:val="auto"/>
        </w:rPr>
      </w:pPr>
    </w:p>
    <w:p>
      <w:pPr>
        <w:ind w:left="60" w:right="699"/>
        <w:spacing w:after="0" w:line="277" w:lineRule="auto"/>
        <w:rPr>
          <w:sz w:val="20"/>
          <w:szCs w:val="20"/>
          <w:color w:val="auto"/>
        </w:rPr>
      </w:pPr>
      <w:r>
        <w:rPr>
          <w:rFonts w:ascii="Arial" w:cs="Arial" w:eastAsia="Arial" w:hAnsi="Arial"/>
          <w:sz w:val="18"/>
          <w:szCs w:val="18"/>
          <w:b w:val="1"/>
          <w:bCs w:val="1"/>
          <w:i w:val="1"/>
          <w:iCs w:val="1"/>
          <w:color w:val="auto"/>
        </w:rPr>
        <w:t>We may be required to borrow funds, sell assets, or issue equity to satisfy our REIT distribution requirements or maintain the asset ownership tests.</w:t>
      </w:r>
    </w:p>
    <w:p>
      <w:pPr>
        <w:spacing w:after="0" w:line="170"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To meet the REIT distribution requirements and maintain our qualification and taxation as a REIT, we may need to borrow funds, sell assets or issue equity, even if the then-prevailing market conditions are not favorable for these borrowings, sales or offerings. Any insufficiency of our cash flows to cover our REIT distribution requirements could adversely impact our ability to raise short- and long-term debt, to sell assets, or to offer equity securities to fund distributions required to maintain our qualification and taxation as a REIT. Furthermore, the REIT distribution requirements may increase the financing we need to fund capital expenditures, future growth and expansion initiatives. This would increase our total leverage.</w:t>
      </w:r>
    </w:p>
    <w:p>
      <w:pPr>
        <w:spacing w:after="0" w:line="195"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In addition, if we fail to comply with certain REIT asset ownership tests at the end of any calendar quarter, we must correct the failure within 30 days after the end of the calendar quarter or qualify for certain statutory relief provisions to avoid losing our REIT qualification. As a result, we may be required to liquidate otherwise attractive assets. These actions may reduce our income and amounts available for distribution to our stockholders.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Complying with REIT requirements may limit our flexibility or cause us to forego otherwise attractive opportunities.</w:t>
      </w:r>
    </w:p>
    <w:p>
      <w:pPr>
        <w:spacing w:after="0" w:line="248"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To qualify as a REIT for federal income tax purposes, we must continually satisfy tests concerning, among other things, the sources of our income, the nature and diversification of our assets, the amounts we distribute to our stockholders and the ownership of our common stock. Thus, compliance with these tests will require us to refrain from certain activities and may hinder our ability to make certain attractive investments, including the purchase of non-qualifying assets, the expansion of non-real estate activities, and investments in the businesses to be conducted by our TRSs, and to that extent limit our opportunities and our flexibility to change our business strategy. Furthermore, acquisition opportunities may be adversely affected if we need or require the target company to comply with some REIT requirements prior to closing. In addition, as a REIT, we may face investor pressures to forego growth opportunities that are not immediately accretive.</w:t>
      </w:r>
    </w:p>
    <w:p>
      <w:pPr>
        <w:spacing w:after="0" w:line="165"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We hold our non-qualifying REIT assets in one or more TRSs. These non-qualifying REIT assets consist primarily of non-real estate assets related to our Hospitality segment and the assets related to our Entertainment segment as historically structured and operated. We conduct a significant portion of our business activities through these TRSs. Under the Code, no more than 25% of the value of the assets of a REIT may be represented by securities of one or more TRSs and other non-qualifying assets and no more than 20% of the value of the assets of a REIT may be represented by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93" w:lineRule="auto"/>
        <w:rPr>
          <w:sz w:val="20"/>
          <w:szCs w:val="20"/>
          <w:color w:val="auto"/>
        </w:rPr>
      </w:pPr>
      <w:r>
        <w:rPr>
          <w:rFonts w:ascii="Arial" w:cs="Arial" w:eastAsia="Arial" w:hAnsi="Arial"/>
          <w:sz w:val="16"/>
          <w:szCs w:val="16"/>
          <w:color w:val="auto"/>
        </w:rPr>
        <w:t>securities of one or more TRSs. These limitations may affect our ability to make additional investments in our Entertainment segment as historically structured and operated or in other non-REIT qualifying operations or assets. To meet our annual distribution requirements, we may be required to distribute amounts that may otherwise be used for our operations, including amounts that may otherwise be invested in future acquisitions, capital expenditures or repayment of debt, and it is possible that we might be required to borrow funds, sell assets or issue equity to fund these distributions, even if the then-prevailing market conditions are not favorable for these borrowings, sales or offerings.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planned use of TRSs may cause us to fail to qualify as a REIT.</w:t>
      </w:r>
    </w:p>
    <w:p>
      <w:pPr>
        <w:spacing w:after="0" w:line="225"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The net income of our TRSs is not required to be distributed to us, and income that is not distributed to us generally will not be subject to the REIT income distribution requirement. However, there may be limitations on our ability to accumulate earnings in our TRSs and the accumulation or reinvestment of significant earnings in our TRSs could result in adverse tax treatment. In particular, if the accumulation of cash in our TRSs causes the fair market value of our securities in our TRSs and certain other non-qualifying assets to exceed 25% of the fair market value of our assets, we would fail to qualify as a REIT.</w:t>
      </w:r>
    </w:p>
    <w:p>
      <w:pPr>
        <w:spacing w:after="0" w:line="19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If our leases of our hotel properties to TRS lessees are not true leases for federal income tax purposes, we may fail to qualify as a REIT.</w:t>
      </w:r>
    </w:p>
    <w:p>
      <w:pPr>
        <w:spacing w:after="0" w:line="170"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In order for the lease payments by our TRS lessees to our property-owning subsidiaries to qualify for purposes of the gross income tests, the lease or sublease must be considered a true lease for federal income tax purposes and must not be treated as a service contract, joint venture, or some other type of arrangement. We believe we have structured our leases and subleases of our hotel properties to our TRS lessees so that the leases will be considered true leases for federal income tax purposes, but there can be no assurance that the IRS will agree with this characterization.</w:t>
      </w:r>
    </w:p>
    <w:p>
      <w:pPr>
        <w:spacing w:after="0" w:line="17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If Marriott or any future third-party hotel manager fails to qualify as an “eligible independent contractor,” or if our hotels are not “qualified lodging facilities,” we may fail to qualify as a REIT.</w:t>
      </w:r>
    </w:p>
    <w:p>
      <w:pPr>
        <w:spacing w:after="0" w:line="170"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Rent paid by a lessee or sublessee that is a “related party tenant” of ours will not be qualifying income for purposes of the two gross income tests applicable to REITs. An exception is provided, however, for leases of “qualified lodging facilities” to a TRS so long as the hotels are managed by an “eligible independent contractor” and certain other requirements are satisfied. We lease or sublease our hotel properties to TRS lessees, and such TRS lessees have engaged Marriott as a third-party hotel manager. We believe Marriott and any other third-party hotel manager that our TRS lessees may engage in the future will qualify as “eligible independent contractors” for federal income tax purposes. Among other requirements, to qualify as an “eligible independent contractor,” the third-party hotel manager must not own, directly or through its stockholders, more than 35% of our outstanding shares, and no person or group of persons can own more than 35% of our outstanding shares and the shares (or ownership interest) of the third-party hotel manager, taking into account certain ownership attribution rules. The ownership attribution rules that apply for purposes of these 35% thresholds are complex, and monitoring actual and constructive ownership of our shares by the third-party hotel manager and their owners may not be practical. Accordingly, there can be no assurance that these ownership limits will not be exceeded.</w:t>
      </w:r>
    </w:p>
    <w:p>
      <w:pPr>
        <w:spacing w:after="0" w:line="168" w:lineRule="exact"/>
        <w:rPr>
          <w:sz w:val="20"/>
          <w:szCs w:val="20"/>
          <w:color w:val="auto"/>
        </w:rPr>
      </w:pPr>
    </w:p>
    <w:p>
      <w:pPr>
        <w:ind w:left="60" w:right="179"/>
        <w:spacing w:after="0" w:line="289" w:lineRule="auto"/>
        <w:rPr>
          <w:sz w:val="20"/>
          <w:szCs w:val="20"/>
          <w:color w:val="auto"/>
        </w:rPr>
      </w:pPr>
      <w:r>
        <w:rPr>
          <w:rFonts w:ascii="Arial" w:cs="Arial" w:eastAsia="Arial" w:hAnsi="Arial"/>
          <w:sz w:val="16"/>
          <w:szCs w:val="16"/>
          <w:color w:val="auto"/>
        </w:rPr>
        <w:t>In addition, for a third-party hotel manager to qualify as an “eligible independent contractor,” such company or a related person must be actively engaged in the trade or business of operating “qualified lodging facilities” (as defined below) for one or more persons not related to the REIT or its TRSs at each time that such company enters into a hotel management contract with a TRS lessee. We believe that Marriott operates “qualified lodging facilities” for certain persons who are not related to us or our TRSs, and Marriott has agreed in the hotel management agreements that it, or its affiliates, are eligible independent contractors and will maintain such status. However, no assurances can be provided that Marriott or any other hotel managers that we may engage in the future will in fact comply with this requirement. Failure to comply with this requirement would require us to find other third-party hotel managers for future contracts, and, if we hired a third-party hotel manager without knowledge of the failure, it could jeopardize our status as a REIT.</w:t>
      </w:r>
    </w:p>
    <w:p>
      <w:pPr>
        <w:spacing w:after="0" w:line="166"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Finally, each property with respect to which our TRS lessees pay rent must be a “qualified lodging facility.” A “qualified lodging facility” is a hotel, motel or other establishment more than one-half of the dwelling units in which are used on 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transient basis, including customary amenities and facilities, provided that no wagering activities are conducted at or in connection with such facility by any person who is engaged in the business of accepting wagers and who is legally authorized to engage in such business at or in connection with such facility. We believe that our current hotel properties are “qualified lodging facilities.” Although we intend to monitor future acquisitions and improvements of properties, REIT provisions of the Code provide only limited guidance for making determinations under the requirements for “qualified lodging facilities,” and there can be no assurance that these requirements will be satisfied.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Capital Structure</w:t>
      </w:r>
    </w:p>
    <w:p>
      <w:pPr>
        <w:spacing w:after="0" w:line="229" w:lineRule="exact"/>
        <w:rPr>
          <w:sz w:val="20"/>
          <w:szCs w:val="20"/>
          <w:color w:val="auto"/>
        </w:rPr>
      </w:pPr>
    </w:p>
    <w:p>
      <w:pPr>
        <w:ind w:left="60" w:right="199"/>
        <w:spacing w:after="0" w:line="381" w:lineRule="auto"/>
        <w:rPr>
          <w:sz w:val="20"/>
          <w:szCs w:val="20"/>
          <w:color w:val="auto"/>
        </w:rPr>
      </w:pPr>
      <w:r>
        <w:rPr>
          <w:rFonts w:ascii="Arial" w:cs="Arial" w:eastAsia="Arial" w:hAnsi="Arial"/>
          <w:sz w:val="15"/>
          <w:szCs w:val="15"/>
          <w:b w:val="1"/>
          <w:bCs w:val="1"/>
          <w:i w:val="1"/>
          <w:iCs w:val="1"/>
          <w:color w:val="auto"/>
        </w:rPr>
        <w:t>Our dividend is currently suspended, and covenants in our current and future debt instruments may limit our ability to make required distributions to our stockholders in accordance with our announced intended dividend policy.</w:t>
      </w:r>
    </w:p>
    <w:p>
      <w:pPr>
        <w:spacing w:after="0" w:line="100" w:lineRule="exact"/>
        <w:rPr>
          <w:sz w:val="20"/>
          <w:szCs w:val="20"/>
          <w:color w:val="auto"/>
        </w:rPr>
      </w:pPr>
    </w:p>
    <w:p>
      <w:pPr>
        <w:ind w:left="60" w:right="199"/>
        <w:spacing w:after="0" w:line="296" w:lineRule="auto"/>
        <w:rPr>
          <w:sz w:val="20"/>
          <w:szCs w:val="20"/>
          <w:color w:val="auto"/>
        </w:rPr>
      </w:pPr>
      <w:r>
        <w:rPr>
          <w:rFonts w:ascii="Arial" w:cs="Arial" w:eastAsia="Arial" w:hAnsi="Arial"/>
          <w:sz w:val="16"/>
          <w:szCs w:val="16"/>
          <w:color w:val="auto"/>
        </w:rPr>
        <w:t>Our credit facility imposes, and future financing agreements are likely to impose, operating and financial restrictions on our activities, including restrictions on the payment of dividends. These restrictions are currently in place, and these restrictions currently permit only the payment of dividends as necessary to maintain our REIT status and payment of a dividend of $0.01 per share each quarter, and may prevent us from making distributions to our stockholders in accordance with any announced intended dividend policy. Our dividend was suspended in March 2020.</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cash distributions are not guaranteed and may fluctuate.</w:t>
      </w:r>
    </w:p>
    <w:p>
      <w:pPr>
        <w:spacing w:after="0" w:line="225"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A REIT generally is required to distribute at least 90% of its REIT taxable income to its stockholders. Generally, our board of directors, in its sole discretion, will determine on a quarterly basis the amount of cash to be distributed to our stockholders based on a number of factors including, but not limited to, our results of operations, cash flow and capital requirements, economic conditions, tax considerations, borrowing capacity and other factors, including debt covenant restrictions that may impose limitations on cash payments and plans for future acquisitions and divestitures. Our board of directors formerly maintained a dividend policy pursuant to which we paid a quarterly cash dividend based on an annualized amount of at least 50% of adjusted funds from operations (as defined by us) less maintenance capital expenditures or 100% of REIT taxable income on an annual basis, whichever is greater. As part of the actions taken to preserve liquidity in light of the COVID-19 pandemic, in March 2020, our board of directors suspended our regular quarterly dividend payments, and our board of directors will consider a future dividend as permitted by our credit agreement, which currently permits payment of dividends as necessary to maintain our REIT status and permits us to pay a dividend of $0.01 per share each quarter. The dividend policy may be altered at any time by our board of directors (as otherwise permitted by our credit agreement) and certain provisions of our agreements governing our other indebtedness may prohibit us from paying dividends in accordance with the prior policy. Consequently, our distribution levels may be minimal and may fluctuate.</w:t>
      </w:r>
    </w:p>
    <w:p>
      <w:pPr>
        <w:spacing w:after="0" w:line="182" w:lineRule="exact"/>
        <w:rPr>
          <w:sz w:val="20"/>
          <w:szCs w:val="20"/>
          <w:color w:val="auto"/>
        </w:rPr>
      </w:pPr>
    </w:p>
    <w:p>
      <w:pPr>
        <w:ind w:left="60" w:right="379"/>
        <w:spacing w:after="0" w:line="279" w:lineRule="auto"/>
        <w:rPr>
          <w:sz w:val="20"/>
          <w:szCs w:val="20"/>
          <w:color w:val="auto"/>
        </w:rPr>
      </w:pPr>
      <w:r>
        <w:rPr>
          <w:rFonts w:ascii="Arial" w:cs="Arial" w:eastAsia="Arial" w:hAnsi="Arial"/>
          <w:sz w:val="17"/>
          <w:szCs w:val="17"/>
          <w:b w:val="1"/>
          <w:bCs w:val="1"/>
          <w:i w:val="1"/>
          <w:iCs w:val="1"/>
          <w:color w:val="auto"/>
        </w:rPr>
        <w:t>We have invested in, and in the future may invest in, mortgage loans, mezzanine debt, joint ventures, such as our Gaylord Rockies and Circle investments, or certain minority equity interests over which we may not have significant control, to or for which we may owe significant funding or obligations and for which there is no readily available market, and these investments may not be profitable.</w:t>
      </w:r>
    </w:p>
    <w:p>
      <w:pPr>
        <w:spacing w:after="0" w:line="171"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We may invest with third parties through partnerships, joint ventures or other entities, by acquiring non-controlling interests in or sharing responsibility for managing the affairs of a property, partnership, joint venture or other entity. Further, we may invest in mortgage loans or mezzanine financing for a property. These types of investments may not be liquid and we may have little or no rights, or ability, to exercise the direction or control of the respective enterprises. In connection with these investments, we may have obligations under certain guarantees related to such investments. The ultimate value of any debt investments, joint ventures or minority investments will be dependent upon the efforts of others over an extended period of time. The nature of our interests and the absence of a readily available market for those interests restrict our ability to dispose of them. Our lack of control over the management of any business in which we are a creditor, joint owner or minority investor and the lack of a readily available market to sell our interest in these businesses may cause us to recognize a loss on our investment in these businesses or to incur costs or liabilities that we do not control, but for which we may be required to contribute capital or satisfy financial commitments. These arrangements are subject to uncertainties and risks, including those related to credit risk, conflicting joint venture partner</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interests, including with respect to competition in other markets, and to our joint venture partners failing to meet their financial or other obligations.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substantial debt could reduce our cash flow and limit our business activities.</w:t>
      </w:r>
    </w:p>
    <w:p>
      <w:pPr>
        <w:spacing w:after="0" w:line="225"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We currently have a significant amount of debt. At December 31, 2020, we had approximately $2.7 billion of total debt (which includes approximately $0.8 billion of debt related to our Gaylord Rockies joint venture, in which we own a 65% interest). We may incur additional debt in connection with any additional hotel acquisitions, development, investment in new projects, renovations, or capital improvement.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substantial amount of debt could have important consequences. For example, it could:</w:t>
      </w:r>
    </w:p>
    <w:p>
      <w:pPr>
        <w:spacing w:after="0" w:line="225" w:lineRule="exact"/>
        <w:rPr>
          <w:sz w:val="20"/>
          <w:szCs w:val="20"/>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225" w:lineRule="exact"/>
        <w:rPr>
          <w:rFonts w:ascii="Arial" w:cs="Arial" w:eastAsia="Arial" w:hAnsi="Arial"/>
          <w:sz w:val="18"/>
          <w:szCs w:val="18"/>
          <w:color w:val="auto"/>
        </w:rPr>
      </w:pPr>
    </w:p>
    <w:p>
      <w:pPr>
        <w:ind w:left="720" w:right="159" w:hanging="319"/>
        <w:spacing w:after="0" w:line="311"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make interest and principal payments on our debt, thereby limiting the availability of our cash flow to make distributions to our stockholders and to fund future capital expenditures, working capital and other general corporate requirements;</w:t>
      </w:r>
    </w:p>
    <w:p>
      <w:pPr>
        <w:spacing w:after="0" w:line="148"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hospitality industry, which may place us at a competitive disadvantage compared with competitors that are less leveraged;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ability to borrow additional funds, even when necessary to maintain adequate liquidity; and</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various projects, including possible expansions of our existing properties and acquisitions of additional properties.</w:t>
      </w:r>
    </w:p>
    <w:p>
      <w:pPr>
        <w:spacing w:after="0" w:line="170" w:lineRule="exact"/>
        <w:rPr>
          <w:sz w:val="20"/>
          <w:szCs w:val="20"/>
          <w:color w:val="auto"/>
        </w:rPr>
      </w:pPr>
    </w:p>
    <w:p>
      <w:pPr>
        <w:ind w:left="60" w:right="399"/>
        <w:spacing w:after="0" w:line="301" w:lineRule="auto"/>
        <w:rPr>
          <w:sz w:val="20"/>
          <w:szCs w:val="20"/>
          <w:color w:val="auto"/>
        </w:rPr>
      </w:pPr>
      <w:r>
        <w:rPr>
          <w:rFonts w:ascii="Arial" w:cs="Arial" w:eastAsia="Arial" w:hAnsi="Arial"/>
          <w:sz w:val="16"/>
          <w:szCs w:val="16"/>
          <w:color w:val="auto"/>
        </w:rPr>
        <w:t>In addition, the terms of our credit facility allow, and instruments governing any new debt may allow, us to incur substantial amounts of additional debt subject to certain limitations. Any such additional debt could increase the risks associated with our substantial leverage. At the time any principal amount of our indebtedness is due, we may not have cash available to pay this amount, and we may not be able to refinance our indebtedness on favorable terms, or at all.</w:t>
      </w:r>
    </w:p>
    <w:p>
      <w:pPr>
        <w:spacing w:after="0" w:line="157"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We could be required to refinance our debt before it matures and there is no assurance that we will be able to refinance our debt on acceptable terms.</w:t>
      </w:r>
    </w:p>
    <w:p>
      <w:pPr>
        <w:spacing w:after="0" w:line="170" w:lineRule="exact"/>
        <w:rPr>
          <w:sz w:val="20"/>
          <w:szCs w:val="20"/>
          <w:color w:val="auto"/>
        </w:rPr>
      </w:pPr>
    </w:p>
    <w:p>
      <w:pPr>
        <w:ind w:left="60" w:right="59"/>
        <w:spacing w:after="0" w:line="268" w:lineRule="auto"/>
        <w:rPr>
          <w:sz w:val="20"/>
          <w:szCs w:val="20"/>
          <w:color w:val="auto"/>
        </w:rPr>
      </w:pPr>
      <w:r>
        <w:rPr>
          <w:rFonts w:ascii="Arial" w:cs="Arial" w:eastAsia="Arial" w:hAnsi="Arial"/>
          <w:sz w:val="17"/>
          <w:szCs w:val="17"/>
          <w:color w:val="auto"/>
        </w:rPr>
        <w:t>Our ability to refinance each of our agreements governing our indebtedness on acceptable terms will be dependent upon a number of factors, including our degree of leverage, the value of our assets, borrowing restrictions which may be imposed by lenders and conditions in the credit markets at the time we refinance. In addition, although we have been successful in negotiating amendments to our credit agreement, which waive the financial covenants imposed by the credit agreement through March 31, 2022, and in negotiating an amendment to the Gaylord Rockies Loan, which provides for other favorable modifications, we may be unsuccessful in negotiating any further amendments or modifications to the agreements governing our indebtedness as we may deem necessary in response to the COVID-19 pandemic. To the extent the COVID-19 pandemic continues or our business levels do not recover to pre-pandemic levels or we are otherwise unable to refinance our debt on acceptable terms, we may be forced to choose from a number of unfavorable options, including agreeing to otherwise unfavorable financing terms, selling one or more hotel properties at unattractive prices or on disadvantageous terms, or defaulting on mortgages and allowing our lenders to foreclose. Any one of these options could have a material adverse effect on our business, financial condition, results of operations and our ability to make distributions to our stockholders.</w:t>
      </w:r>
    </w:p>
    <w:p>
      <w:pPr>
        <w:spacing w:after="0" w:line="18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To service our debt and pay other obligations, we will require a significant amount of cash, which may not be available to us.</w:t>
      </w:r>
    </w:p>
    <w:p>
      <w:pPr>
        <w:spacing w:after="0" w:line="170"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Our ability to make payments on, or repay or refinance, our debt, including our obligations under our senior notes and any future debt we may incur, and to fund planned capital expenditures will depend largely upon our future operating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performance and our ability to generate cash from operations. Our future performance, to a certain extent, is subject to general economic, financial, competitive, legislative, regulatory and other factors that are beyond our control, including pace of economic recovery from the COVID-19 pandemic. In addition, our ability to borrow funds in the future to make payments on our debt and other obligations will depend on the satisfaction of the covenants and financial ratios in our senior credit facility and our other debt agreements, including other agreements we may enter into in the future. Our business may not generate sufficient cash flow from operations or we may not have future borrowings available to us under our credit facility or from other sources in an amount sufficient to enable us to pay our debt or to fund our other liquidity needs.</w:t>
      </w:r>
    </w:p>
    <w:p>
      <w:pPr>
        <w:spacing w:after="0" w:line="192"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The agreements governing our debt contain various covenants that may limit our ability to operate our business and impair our ability to make distributions to our stockholders.</w:t>
      </w:r>
    </w:p>
    <w:p>
      <w:pPr>
        <w:spacing w:after="0" w:line="170"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Our existing financial agreements, including our credit facility and term loan B impose, and future financing agreements are likely to impose, operating and financial restrictions on our activities, including our ability to make distributions to any stockholder. Our credit facility has required and in the future will require us to comply with or maintain certain financial tests and ratios, including minimum fixed charge coverage ratio, minimum implied debt service coverage ratio and maximum funded debt to asset value ratio, and we expect will require us to comply with these tests in the future (subject to the covenant waiver described in Part II, Item 7, “Management’s Discussion and Analysis of Financial Condition and Results of Operations” for this Annual Report on Form 10-K). Our financial agreements prohibit or limit our ability to, among other things:</w:t>
      </w:r>
    </w:p>
    <w:p>
      <w:pPr>
        <w:spacing w:after="0" w:line="192" w:lineRule="exact"/>
        <w:rPr>
          <w:sz w:val="20"/>
          <w:szCs w:val="20"/>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debt, issue guarantees of debt and issue preferred stock;</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equity interests in our restricted subsidiaries;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redeem and/or prepay certain debt;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on our stock to our stockholders or repurchase our stock or other equity interests;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new lines of business;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consolidations, mergers and acquisitions;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transactions with affiliates; or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agree to restrictions on our subsidiaries’ ability to pay dividends and make other distributions to us.</w:t>
      </w:r>
    </w:p>
    <w:p>
      <w:pPr>
        <w:spacing w:after="0" w:line="225"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If we fail to comply with these covenants, we would be in default under our credit facility and the indentures governing our senior unsecured notes, and the outstanding principal and accrued interest on such debt would become due and payable.</w:t>
      </w:r>
    </w:p>
    <w:p>
      <w:pPr>
        <w:spacing w:after="0" w:line="124"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Various risks, uncertainties and events beyond our control, including those related to the COVID-19 pandemic, could affect our ability to comply with these covenants and maintain applicable financial tests and ratios. Failure to comply with any of the covenants in our existing or future financing agreements could result in a default under those agreements and under other agreements containing cross-default provisions. A default would permit lenders to accelerate the maturity for the debt under these agreements and to foreclose upon any collateral securing the debt, including, in the case of our existing credit facility, our four wholly-owned Gaylord Hotels properties. Under these circumstances, we might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not have sufficient funds or other resources to satisfy all of our obligations. In addition, the limitations imposed by financing agreements on our ability to pay dividends, incur additional debt and to take other actions might significantly impair our ability to obtain other financing and to make distributions to our stockholders in accordance with any dividend policy.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225"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Subject to applicable laws and certain agreed-upon exceptions, our $700 million revolving credit facility, $300 million term loan A, and $500 million term loan B are secured by liens on the substantial majority of our assets, including mortgages on each of our four wholly-owned Gaylord Hotels properties. In addition, the Gaylord Rockies joint venture’s $800 million term loan is secured by liens on the substantial majority of Gaylord Rockies assets. In the event of a default under our credit facility,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are a holding company and depend upon our subsidiaries’ cash flow to meet our debt service obligations.</w:t>
      </w:r>
    </w:p>
    <w:p>
      <w:pPr>
        <w:spacing w:after="0" w:line="237"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We are a holding company and we conduct our operations through our subsidiaries, including our TRSs. As a result, our ability to meet our debt service obligations substantially depends upon our subsidiaries’ cash flows and payments of funds to us by our subsidiaries as dividends, loans, advances, leases or other payments. The payment of dividends and/or making of loans, advances, leases or other payments by our subsidiaries will be subject to the approval of those subsidiaries’ boards. Our subsidiaries’ ability to pay such dividends and/or make such loans, advances, leases or other payments may also be restricted by, among other things, applicable laws and regulations, current and future debt agreements and management agreements into which our subsidiaries may enter.</w:t>
      </w:r>
    </w:p>
    <w:p>
      <w:pPr>
        <w:spacing w:after="0" w:line="177"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b w:val="1"/>
          <w:bCs w:val="1"/>
          <w:i w:val="1"/>
          <w:iCs w:val="1"/>
          <w:color w:val="auto"/>
        </w:rPr>
        <w:t>Any replacement of LIBOR as the basis on which interest on our variable-rate debt is calculated may harm our financial results, profitability and cash flows.</w:t>
      </w:r>
    </w:p>
    <w:p>
      <w:pPr>
        <w:spacing w:after="0" w:line="170" w:lineRule="exact"/>
        <w:rPr>
          <w:sz w:val="20"/>
          <w:szCs w:val="20"/>
          <w:color w:val="auto"/>
        </w:rPr>
      </w:pPr>
    </w:p>
    <w:p>
      <w:pPr>
        <w:ind w:left="60" w:right="139"/>
        <w:spacing w:after="0" w:line="268" w:lineRule="auto"/>
        <w:rPr>
          <w:sz w:val="20"/>
          <w:szCs w:val="20"/>
          <w:color w:val="auto"/>
        </w:rPr>
      </w:pPr>
      <w:r>
        <w:rPr>
          <w:rFonts w:ascii="Arial" w:cs="Arial" w:eastAsia="Arial" w:hAnsi="Arial"/>
          <w:sz w:val="17"/>
          <w:szCs w:val="17"/>
          <w:color w:val="auto"/>
        </w:rPr>
        <w:t>At December 31, 2020, we had $1.6 billion of variable interest rate debt that was indexed to the London Inter-Bank Offered Rate (“LIBOR”). The United Kingdom’s Financial Conduct Authority (“FCA”), which regulates LIBOR, announced on July 27, 2017 that it intends to stop persuading or compelling banks to submit LIBOR quotations after 2021 (the “FCA Announcement”). The FCA Announcement indicates that the continuation of LIBOR on the current basis cannot and will not be assured after 2021, and LIBOR may cease to exist or otherwise be unsuitable for use as a benchmark. Recent proposals for LIBOR reforms may result in the establishment of new methods for calculating LIBOR or the establishment of one or more alternative benchmark rates. Although the agreements governing our indebtedness provide for successor base rates, as applicable, the successor base rates may be related to LIBOR, and the consequences of any potential cessation, modification or other reform of LIBOR cannot be predicted at this time. If LIBOR ceases to exist, we may need to amend the agreements governing our indebtedness, and we cannot predict what alternative interest rate(s) will be negotiated with our counterparties. As a result, our interest expense may increase, our ability to refinance some or all of our existing indebtedness and/or interest rate swaps may be impacted and our available cash flow may be adversely affected.</w:t>
      </w:r>
    </w:p>
    <w:p>
      <w:pPr>
        <w:spacing w:after="0" w:line="186"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b w:val="1"/>
          <w:bCs w:val="1"/>
          <w:i w:val="1"/>
          <w:iCs w:val="1"/>
          <w:color w:val="auto"/>
        </w:rPr>
        <w:t>We may not have sufficient funds to make cash distributions to stockholders at intended payment levels, and we may be unable to generate sufficient cash flows from our operations to make distributions to our stockholders at any time in the future.</w:t>
      </w:r>
    </w:p>
    <w:p>
      <w:pPr>
        <w:spacing w:after="0" w:line="184"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As a REIT, we will generally be required to distribute to our stockholders at least 90% of our REIT taxable income (subject to certain adjustments and excluding any net capital gains) each year for us to maintain our qualification as a REIT under the Code, which requirement we currently intend to satisfy, and we must distribute 100% of our REIT taxable income, including capital gains, to eliminate federal corporate income tax liability. To the extent we satisfy the 90% distribution requirement but distribute less than 100% of our REIT taxable income, we will be subject to federal corporate income tax on our undistributed taxable income.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Subject to maintaining our REIT qualification, we intend to make regular quarterly distributions to our stockholders, but no assurances can be made as to the amount of distributions in the future. We have also announced our intention to make distributions at specified minimum levels. Our board of directors may alter our dividend policy at any time and will have the sole discretion to determine the timing, form and amount of any distributions to our stockholders. Among the factors that could impair our ability to make distributions to our stockholders are:</w:t>
      </w:r>
    </w:p>
    <w:p>
      <w:pPr>
        <w:spacing w:after="0" w:line="176"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invest our available cash;</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realize attractive risk-adjusted returns on our investments;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expenses that reduce our cash flow or non-cash earnings;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defaults in our investment portfolio or decreases in the value of the underlying assets; and</w:t>
      </w:r>
    </w:p>
    <w:p>
      <w:pPr>
        <w:spacing w:after="0" w:line="225" w:lineRule="exact"/>
        <w:rPr>
          <w:rFonts w:ascii="Arial" w:cs="Arial" w:eastAsia="Arial" w:hAnsi="Arial"/>
          <w:sz w:val="18"/>
          <w:szCs w:val="18"/>
          <w:color w:val="auto"/>
        </w:rPr>
      </w:pPr>
    </w:p>
    <w:p>
      <w:pPr>
        <w:ind w:left="720" w:right="71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fact that anticipated operating expense levels may not prove accurate, as actual results may vary from estimates.</w:t>
      </w:r>
    </w:p>
    <w:p>
      <w:pPr>
        <w:spacing w:after="0" w:line="170"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As a result, no assurance can be given that the level of any distributions we make to our stockholders in the future will achieve a market yield or increase or even be maintained over time, any of which could materially and adversely affect the market price of our common stock.</w:t>
      </w:r>
    </w:p>
    <w:p>
      <w:pPr>
        <w:spacing w:after="0" w:line="184"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In addition, distributions that we make to our stockholders will generally be taxable to our stockholders as ordinary income and will generally not be eligible for reduced rates applicable to “qualified” dividend income. However, a portion of our distributions may be designated by us as long-term capital gains to the extent that they are attributable to capital gains income recognized by us or may constitute a return of capital to the extent that they exceed our earnings and profits as determined for tax purposes. A return of capital is not taxable, but has the effect of reducing the basis of a stockholder’s investment in our common stock.</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organizational documents and Delaware law could make it difficult for a third party to acquire control of us.</w:t>
      </w:r>
    </w:p>
    <w:p>
      <w:pPr>
        <w:spacing w:after="0" w:line="248" w:lineRule="exact"/>
        <w:rPr>
          <w:sz w:val="20"/>
          <w:szCs w:val="20"/>
          <w:color w:val="auto"/>
        </w:rPr>
      </w:pPr>
    </w:p>
    <w:p>
      <w:pPr>
        <w:jc w:val="both"/>
        <w:ind w:left="60" w:right="519"/>
        <w:spacing w:after="0" w:line="286" w:lineRule="auto"/>
        <w:rPr>
          <w:sz w:val="20"/>
          <w:szCs w:val="20"/>
          <w:color w:val="auto"/>
        </w:rPr>
      </w:pPr>
      <w:r>
        <w:rPr>
          <w:rFonts w:ascii="Arial" w:cs="Arial" w:eastAsia="Arial" w:hAnsi="Arial"/>
          <w:sz w:val="17"/>
          <w:szCs w:val="17"/>
          <w:color w:val="auto"/>
        </w:rPr>
        <w:t>Our Charter and our Amended and Restated Bylaws contain provisions that could delay, deter or prevent a change in control of our company or our management. These provisions could also discourage proxy contests and make it more difficult for stockholders to elect directors and take other corporate actions. These provisions:</w:t>
      </w:r>
    </w:p>
    <w:p>
      <w:pPr>
        <w:spacing w:after="0" w:line="165" w:lineRule="exact"/>
        <w:rPr>
          <w:sz w:val="20"/>
          <w:szCs w:val="20"/>
          <w:color w:val="auto"/>
        </w:rPr>
      </w:pPr>
    </w:p>
    <w:p>
      <w:pPr>
        <w:ind w:left="720" w:right="25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restrictions on transfer and ownership of our common stock that are designed to assist us in maintaining our status as a REIT;</w:t>
      </w:r>
    </w:p>
    <w:p>
      <w:pPr>
        <w:spacing w:after="0" w:line="170" w:lineRule="exact"/>
        <w:rPr>
          <w:rFonts w:ascii="Arial" w:cs="Arial" w:eastAsia="Arial" w:hAnsi="Arial"/>
          <w:sz w:val="18"/>
          <w:szCs w:val="18"/>
          <w:color w:val="auto"/>
        </w:rPr>
      </w:pPr>
    </w:p>
    <w:p>
      <w:pPr>
        <w:ind w:left="720" w:right="119" w:hanging="319"/>
        <w:spacing w:after="0" w:line="308"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authorize us to issue “blank check” preferred stock, which is preferred stock that can be created and issued by our board of directors, without stockholder approval, with rights senior to those of common stock;</w:t>
      </w:r>
    </w:p>
    <w:p>
      <w:pPr>
        <w:spacing w:after="0" w:line="146" w:lineRule="exact"/>
        <w:rPr>
          <w:rFonts w:ascii="Arial" w:cs="Arial" w:eastAsia="Arial" w:hAnsi="Arial"/>
          <w:sz w:val="17"/>
          <w:szCs w:val="17"/>
          <w:color w:val="auto"/>
        </w:rPr>
      </w:pPr>
    </w:p>
    <w:p>
      <w:pPr>
        <w:ind w:left="720" w:right="33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advance notice requirements for submitting nominations for election to our board of directors and for proposing matters that can be acted upon by stockholders at meetings;</w:t>
      </w:r>
    </w:p>
    <w:p>
      <w:pPr>
        <w:spacing w:after="0" w:line="170" w:lineRule="exact"/>
        <w:rPr>
          <w:rFonts w:ascii="Arial" w:cs="Arial" w:eastAsia="Arial" w:hAnsi="Arial"/>
          <w:sz w:val="18"/>
          <w:szCs w:val="18"/>
          <w:color w:val="auto"/>
        </w:rPr>
      </w:pPr>
    </w:p>
    <w:p>
      <w:pPr>
        <w:ind w:left="720" w:right="73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special meetings of stockholders may be called only by our chairman or by a majority of the members of our board of directors;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 actions taken on written consent; and</w:t>
      </w:r>
    </w:p>
    <w:p>
      <w:pPr>
        <w:spacing w:after="0" w:line="225"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restrictions on ownership of common stock by certain persons (including non-United States persons) due to our ownership of a radio station.</w:t>
      </w:r>
    </w:p>
    <w:p>
      <w:pPr>
        <w:spacing w:after="0" w:line="170" w:lineRule="exact"/>
        <w:rPr>
          <w:sz w:val="20"/>
          <w:szCs w:val="20"/>
          <w:color w:val="auto"/>
        </w:rPr>
      </w:pPr>
    </w:p>
    <w:p>
      <w:pPr>
        <w:ind w:left="60" w:right="459"/>
        <w:spacing w:after="0" w:line="342" w:lineRule="auto"/>
        <w:rPr>
          <w:sz w:val="20"/>
          <w:szCs w:val="20"/>
          <w:color w:val="auto"/>
        </w:rPr>
      </w:pPr>
      <w:r>
        <w:rPr>
          <w:rFonts w:ascii="Arial" w:cs="Arial" w:eastAsia="Arial" w:hAnsi="Arial"/>
          <w:sz w:val="16"/>
          <w:szCs w:val="16"/>
          <w:color w:val="auto"/>
        </w:rPr>
        <w:t>We are subject to anti-takeover provisions under Delaware law, which could also delay or prevent a change of control. Together, our Charter, Amended and Restated Bylaws, and Delaware law may discourage transactions that otherwise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could provide for the payment of a premium over prevailing market prices for our common stock, and also could limit the price that investors are willing to pay in the future for shares of our common stock.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issuance of preferred stock could adversely affect holders of our common stock and discourage a takeover.</w:t>
      </w:r>
    </w:p>
    <w:p>
      <w:pPr>
        <w:spacing w:after="0" w:line="248"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Our Charter permits our board of directors to issue up to 100 million shares of preferred stock without any action on the part of our stockholders. As of the date hereof, we have no shares of preferred stock outstanding. Our board of directors also has the power, without stockholder approval, to set the terms of any new series of preferred stock that may be issued, including voting rights, dividend rights, preferences over our common stock with respect to dividends or in the event of a dissolution, liquidation or winding up and other terms. In the event that we issue shares of preferred stock in the future that have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 In addition, the ability of our board of directors to issue shares of preferred stock without any action on the part of our stockholders may impede a takeover of us and prevent a transaction favorable to our stockholders.</w:t>
      </w:r>
    </w:p>
    <w:p>
      <w:pPr>
        <w:spacing w:after="0" w:line="168"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The ownership limitations in our Charter may restrict or prevent stockholders from engaging in certain transfers of our common stock.</w:t>
      </w:r>
    </w:p>
    <w:p>
      <w:pPr>
        <w:spacing w:after="0" w:line="170"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color w:val="auto"/>
        </w:rPr>
        <w:t>To qualify and remain qualified as a REIT, no more than 50% in value of our outstanding shares may be owned, directly or indirectly, by five or fewer individuals (as defined in the Code to include various kinds of entities) during the last half of any taxable year. To assist us in qualifying as a REIT, our Charter contains a share ownership limit. Generally, any of our shares owned by affiliated owners will be added together for purposes of the share ownership limit. This share ownership limit provides that (subject to certain exceptions) no person may beneficially own, or be deemed to own by virtue of the attribution provisions of the Code, more than 9.8%, in value or in number of shares, whichever is more restrictive, of the outstanding shares of our capital stock, or any class or series of our capital stock. If anyone transfers shares in a manner that would violate the share ownership limit or prevent us from qualifying as a REIT, those shares instead will be transferred to a trust for the benefit of a charitable beneficiary and will be either redeemed by us or sold to a person whose ownership of the shares will not violate the share ownership limit or we will consider the transfer to be null and void from the outset, and the intended transferee of those shares will be deemed never to have owned the shares.</w:t>
      </w:r>
    </w:p>
    <w:p>
      <w:pPr>
        <w:spacing w:after="0" w:line="172"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Our Charter also prohibits the ownership of shares by any person or entity if such ownership would violate or otherwise be inconsistent with federal communications laws or regulations pertaining to the ownership of television or radio stations, cable television or other radio authorizations by (i) foreign persons or entities, (ii) persons or entities having interests in television or radio broadcast stations, newspapers or cable television systems, and (iii) entities seeking direct or indirect control of us without prior federal regulatory approval. In the event of a transfer that would result in a violation or inconsistency with federal communications laws or regulations we may refuse to permit the transfer, suspend the rights of share ownership as necessary to prohibit the violation or inconsistency, or redeem the shares. Anyone who acquires shares in violation of the share ownership limit or the other restrictions on transfer in our Charter bears the risk of suffering a financial loss when the shares are redeemed or sold if the market price of our shares falls between the date of purchase and the date of redemption or sale. In addition, these ownership limitations may prevent an acquisition of control of us by a third party without the approval of our board of directors, even if our stockholders believe the change of control is in their interest.</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subject to risks related to our environmental, social and governance practices.</w:t>
      </w:r>
    </w:p>
    <w:p>
      <w:pPr>
        <w:spacing w:after="0" w:line="225"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Many factors influence our reputation including the perception held by our customers and other key stakeholders and the communities in which we do business, and the perception held by customers of Marriott or any future third-party hotel manager. The lodging and entertainment industries in which we operate face increasing scrutiny related to environmental, social and governance activities and risk of damage to our reputation if we fail to act responsibly or comply with regulatory requirements in a number of areas, such as safety and security, environmental stewardship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sustainability, climate change, diversity, human rights, philanthropy and support for local communities. The continuing evolution of social media presents new challenges and requires us to keep pace with new developments and trends. Negative posts or comments about us, the properties we own and Marriott or any future third-party hotel manager on any social networking or user-generated review website, including travel and vacation property websites, could affect consumer opinions of us, and we cannot guarantee that we will timely or adequately redress such instances.</w:t>
      </w:r>
    </w:p>
    <w:p>
      <w:pPr>
        <w:spacing w:after="0" w:line="1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Hospitality companies have been the target of class actions and other lawsuits alleging violations of federal and state law and other claims, and we may be subject to legal claims.</w:t>
      </w:r>
    </w:p>
    <w:p>
      <w:pPr>
        <w:spacing w:after="0" w:line="170"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Our operating income and profits may be reduced by legal or governmental proceedings brought by or on behalf of our employees, customers or other third parties. In recent years, a number of hospitality companies have been subject to lawsuits, including class action lawsuits, alleging violations of federal and state law regarding workplace and employment matters, discrimination, customer privacy breaches and other alleged violations of law. A number of these lawsuits have resulted in the payment of substantial damages by the defendants. Similar lawsuits have been instituted against us from time to time and were resolved in an immaterial manner, but we cannot assure you that we will not incur substantial damages and expenses resulting from future lawsuits of this type or other claims, which could have a material adverse effect on our business, financial condition and results of operations. Additionally, because we rely on third-party managers to operate our hotel properties and certain attractions, we have limited control over defending lawsuits of this type or other claims.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 care reform efforts could adversely affect our results of operations.</w:t>
      </w:r>
    </w:p>
    <w:p>
      <w:pPr>
        <w:spacing w:after="0" w:line="225"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In recent years, the U.S. Congress and certain state governments have considered and enacted legislation and regulations intended to effect major change within the U.S. healthcare system, including changes intended to increase access to health insurance. The Patient Protection and Affordable Care Act, as amended by the Health Care and Education Reconciliation Act of 2010 (collectively, the “Affordable Care Act”), is the most prominent of these reform efforts. The Affordable Care Act affects how health care services are covered, delivered, and reimbursed through a combination of public program expansion and private sector health insurance reforms. It includes a requirement, known as the “employer mandate,” that large employers make health insurance coverage available to employees or pay a penalty. However, the Affordable Care Act has been subject to legislative and regulatory changes and court challenges and may be subject to additional efforts to repeal or make additional significant changes to the law, its implementation and/or its interpretation. For example, effective in January 2019, the penalty associated with the individual mandate to maintain health insurance was repealed. As a result of this change, a federal judge in Texas ruled in December 2018 that the entire Affordable Care Act was unconstitutional. This decision was appealed, and in November 2020, the Supreme Court heard oral arguments regarding the case. The law remains in effect pending the appeals process. We anticipate that Congress and state governments will continue to review and assess alternative health care delivery and payment systems and may in the future propose or adopt legislation, regulations and policies resulting in additional fundamental changes in the health care system. For example, some members of Congress have suggested expanding the coverage of government-funded insurance programs, including single-payor models (such reforms are often referred to as “Medicare for All”).</w:t>
      </w:r>
    </w:p>
    <w:p>
      <w:pPr>
        <w:spacing w:after="0" w:line="174"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At this time, pursuant to our management agreements, our third-party managers may pass certain health care costs for employees working at our properties through to us. As such, the provisions of the Affordable Care Act as currently in effect, as modified, or subsequent reform efforts, may significantly raise our and our third-party managers’ employee health benefits costs and/or alter the benefits we or our third-party managers are required to provide to our respective employees. If we or our third-party hotel managers are not able to limit or offset future cost increases, those costs could have an adverse effect on our results of operations. As a result, government efforts to repeal or change the Affordable Care Act or implement other reform initiatives may have an adverse effect on our business, results of operations, cash flow, capital resources and liquidity.</w:t>
      </w:r>
    </w:p>
    <w:p>
      <w:pPr>
        <w:spacing w:after="0" w:line="192"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The ability of our board of directors to change our major policies without the consent of stockholders may not be in our stockholders’ interest.</w:t>
      </w:r>
    </w:p>
    <w:p>
      <w:pPr>
        <w:spacing w:after="0" w:line="170"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color w:val="auto"/>
        </w:rPr>
        <w:t>Our board of directors determines our major policies, including any policies and guidelines we may maintain from time to time relating to our acquisitions, leverage, financing, growth, qualification as a REIT and distributions to our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stockholders. Our board of directors may amend or revise these and other policies and guidelines from time to time without the vote or consent of our stockholders. Accordingly, our stockholders will have limited control over changes in our policies and those changes could adversely affect our financial condition, results of operations, the market price of our common stock and our ability to make distributions to our stockholders.</w:t>
      </w:r>
    </w:p>
    <w:p>
      <w:pPr>
        <w:spacing w:after="0" w:line="187"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vary substantially based on changes in market interest rates and other factors.</w:t>
      </w:r>
    </w:p>
    <w:p>
      <w:pPr>
        <w:spacing w:after="0" w:line="170"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The trading prices of equity securities issued by REITs have historically been affected by changes in market interest rates and other factors. One of the factors that may influence the market price of our common stock is the annual yield from distributions on our common stock as compared to yields on other financial instruments. An increase in market interest rates, or a decrease in our distributions to stockholders, may lead prospective purchasers of our shares to demand a higher annual yield and choose other investments, which could reduce the market price of our common stock.</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factors that could affect the market price of our common stock include the following:</w:t>
      </w:r>
    </w:p>
    <w:p>
      <w:pPr>
        <w:spacing w:after="0" w:line="225" w:lineRule="exact"/>
        <w:rPr>
          <w:sz w:val="20"/>
          <w:szCs w:val="20"/>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results of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market valuations of companies in the hotel or real estate industries;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expectations of future financial performance or changes in estimates of securities analysts;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stock market prices and volumes;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issuances of common stock or other securities in the future;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disputes with our hotel managers;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addition or departure of key personnel;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investments or strategic alliances; and</w:t>
      </w:r>
    </w:p>
    <w:p>
      <w:pPr>
        <w:spacing w:after="0" w:line="225" w:lineRule="exact"/>
        <w:rPr>
          <w:rFonts w:ascii="Arial" w:cs="Arial" w:eastAsia="Arial" w:hAnsi="Arial"/>
          <w:sz w:val="18"/>
          <w:szCs w:val="18"/>
          <w:color w:val="auto"/>
        </w:rPr>
      </w:pPr>
    </w:p>
    <w:p>
      <w:pPr>
        <w:ind w:left="720" w:right="99" w:hanging="319"/>
        <w:spacing w:after="0" w:line="25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events beyond our control, such as terrorist attacks, travel related health concerns including pandemics and epidemics (including a widespread outbreak of coronavirus in the United States), political instability, regional hostilities, increases in fuel prices, imposition of taxes or surcharges by regulatory authorities, travel related accidents and unusual weather patterns, including natural disasters, such as hurricanes, tsunamis or earthquakes.</w:t>
      </w:r>
    </w:p>
    <w:p>
      <w:pPr>
        <w:spacing w:after="0" w:line="184"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2.</w:t>
            </w: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Properties</w:t>
            </w:r>
          </w:p>
        </w:tc>
        <w:tc>
          <w:tcPr>
            <w:tcW w:w="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00" w:type="dxa"/>
            <w:vAlign w:val="bottom"/>
            <w:gridSpan w:val="4"/>
          </w:tcPr>
          <w:p>
            <w:pPr>
              <w:ind w:left="20"/>
              <w:spacing w:after="0"/>
              <w:rPr>
                <w:sz w:val="20"/>
                <w:szCs w:val="20"/>
                <w:color w:val="auto"/>
              </w:rPr>
            </w:pPr>
            <w:r>
              <w:rPr>
                <w:rFonts w:ascii="Arial" w:cs="Arial" w:eastAsia="Arial" w:hAnsi="Arial"/>
                <w:sz w:val="18"/>
                <w:szCs w:val="18"/>
                <w:b w:val="1"/>
                <w:bCs w:val="1"/>
                <w:color w:val="auto"/>
              </w:rPr>
              <w:t>Hospitality Segment</w:t>
            </w: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Hotel</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Location</w:t>
            </w: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Rooms</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5"/>
              </w:rPr>
              <w:t>Meeting, Exhibit and</w:t>
            </w:r>
          </w:p>
        </w:tc>
        <w:tc>
          <w:tcPr>
            <w:tcW w:w="0" w:type="dxa"/>
            <w:vAlign w:val="bottom"/>
          </w:tcPr>
          <w:p>
            <w:pPr>
              <w:spacing w:after="0"/>
              <w:rPr>
                <w:sz w:val="1"/>
                <w:szCs w:val="1"/>
                <w:color w:val="auto"/>
              </w:rPr>
            </w:pPr>
          </w:p>
        </w:tc>
      </w:tr>
      <w:tr>
        <w:trPr>
          <w:trHeight w:val="171"/>
        </w:trPr>
        <w:tc>
          <w:tcPr>
            <w:tcW w:w="116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4"/>
              </w:rPr>
              <w:t>Pre-Function Space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3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Nashville, TN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2,888</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0" w:type="dxa"/>
            <w:vAlign w:val="bottom"/>
          </w:tcPr>
          <w:p>
            <w:pPr>
              <w:spacing w:after="0"/>
              <w:rPr>
                <w:sz w:val="1"/>
                <w:szCs w:val="1"/>
                <w:color w:val="auto"/>
              </w:rPr>
            </w:pPr>
          </w:p>
        </w:tc>
      </w:tr>
      <w:tr>
        <w:trPr>
          <w:trHeight w:val="432"/>
        </w:trPr>
        <w:tc>
          <w:tcPr>
            <w:tcW w:w="3300" w:type="dxa"/>
            <w:vAlign w:val="bottom"/>
            <w:gridSpan w:val="4"/>
          </w:tcPr>
          <w:p>
            <w:pPr>
              <w:ind w:left="20"/>
              <w:spacing w:after="0"/>
              <w:rPr>
                <w:sz w:val="20"/>
                <w:szCs w:val="20"/>
                <w:color w:val="auto"/>
              </w:rPr>
            </w:pPr>
            <w:r>
              <w:rPr>
                <w:rFonts w:ascii="Arial" w:cs="Arial" w:eastAsia="Arial" w:hAnsi="Arial"/>
                <w:sz w:val="18"/>
                <w:szCs w:val="18"/>
                <w:color w:val="auto"/>
              </w:rPr>
              <w:t>Gaylord National</w:t>
            </w:r>
          </w:p>
        </w:tc>
        <w:tc>
          <w:tcPr>
            <w:tcW w:w="3640" w:type="dxa"/>
            <w:vAlign w:val="bottom"/>
            <w:gridSpan w:val="3"/>
          </w:tcPr>
          <w:p>
            <w:pPr>
              <w:ind w:left="140"/>
              <w:spacing w:after="0"/>
              <w:rPr>
                <w:sz w:val="20"/>
                <w:szCs w:val="20"/>
                <w:color w:val="auto"/>
              </w:rPr>
            </w:pPr>
            <w:r>
              <w:rPr>
                <w:rFonts w:ascii="Arial" w:cs="Arial" w:eastAsia="Arial" w:hAnsi="Arial"/>
                <w:sz w:val="18"/>
                <w:szCs w:val="18"/>
                <w:color w:val="auto"/>
                <w:w w:val="98"/>
              </w:rPr>
              <w:t>National Harbor, MD (Washington, DC area)</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1,996</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4"/>
              </w:rPr>
              <w:t>Gaylord Texan</w:t>
            </w:r>
          </w:p>
        </w:tc>
        <w:tc>
          <w:tcPr>
            <w:tcW w:w="10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Grapevine, TX (Dallas area)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1,814</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488,000</w:t>
            </w:r>
          </w:p>
        </w:tc>
        <w:tc>
          <w:tcPr>
            <w:tcW w:w="0" w:type="dxa"/>
            <w:vAlign w:val="bottom"/>
          </w:tcPr>
          <w:p>
            <w:pPr>
              <w:spacing w:after="0"/>
              <w:rPr>
                <w:sz w:val="1"/>
                <w:szCs w:val="1"/>
                <w:color w:val="auto"/>
              </w:rPr>
            </w:pPr>
          </w:p>
        </w:tc>
      </w:tr>
      <w:tr>
        <w:trPr>
          <w:trHeight w:val="432"/>
        </w:trPr>
        <w:tc>
          <w:tcPr>
            <w:tcW w:w="3300" w:type="dxa"/>
            <w:vAlign w:val="bottom"/>
            <w:gridSpan w:val="4"/>
          </w:tcPr>
          <w:p>
            <w:pPr>
              <w:ind w:left="20"/>
              <w:spacing w:after="0"/>
              <w:rPr>
                <w:sz w:val="20"/>
                <w:szCs w:val="20"/>
                <w:color w:val="auto"/>
              </w:rPr>
            </w:pPr>
            <w:r>
              <w:rPr>
                <w:rFonts w:ascii="Arial" w:cs="Arial" w:eastAsia="Arial" w:hAnsi="Arial"/>
                <w:sz w:val="18"/>
                <w:szCs w:val="18"/>
                <w:color w:val="auto"/>
              </w:rPr>
              <w:t>Gaylord Rockies (1)</w:t>
            </w:r>
          </w:p>
        </w:tc>
        <w:tc>
          <w:tcPr>
            <w:tcW w:w="3640" w:type="dxa"/>
            <w:vAlign w:val="bottom"/>
            <w:gridSpan w:val="3"/>
          </w:tcPr>
          <w:p>
            <w:pPr>
              <w:ind w:left="140"/>
              <w:spacing w:after="0"/>
              <w:rPr>
                <w:sz w:val="20"/>
                <w:szCs w:val="20"/>
                <w:color w:val="auto"/>
              </w:rPr>
            </w:pPr>
            <w:r>
              <w:rPr>
                <w:rFonts w:ascii="Arial" w:cs="Arial" w:eastAsia="Arial" w:hAnsi="Arial"/>
                <w:sz w:val="18"/>
                <w:szCs w:val="18"/>
                <w:color w:val="auto"/>
              </w:rPr>
              <w:t>Aurora, CO (Denver area)</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1,501</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409,000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4"/>
              </w:rPr>
              <w:t>Gaylord Palms</w:t>
            </w:r>
          </w:p>
        </w:tc>
        <w:tc>
          <w:tcPr>
            <w:tcW w:w="10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Kissimmee, FL (Orlando area)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1,416</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0"/>
              </w:rPr>
              <w:t>Inn at Opryland</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40" w:type="dxa"/>
            <w:vAlign w:val="bottom"/>
            <w:gridSpan w:val="3"/>
          </w:tcPr>
          <w:p>
            <w:pPr>
              <w:ind w:left="140"/>
              <w:spacing w:after="0"/>
              <w:rPr>
                <w:sz w:val="20"/>
                <w:szCs w:val="20"/>
                <w:color w:val="auto"/>
              </w:rPr>
            </w:pPr>
            <w:r>
              <w:rPr>
                <w:rFonts w:ascii="Arial" w:cs="Arial" w:eastAsia="Arial" w:hAnsi="Arial"/>
                <w:sz w:val="18"/>
                <w:szCs w:val="18"/>
                <w:color w:val="auto"/>
              </w:rPr>
              <w:t>Nashville, TN</w:t>
            </w:r>
          </w:p>
        </w:tc>
        <w:tc>
          <w:tcPr>
            <w:tcW w:w="50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AC Hotel</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8"/>
              </w:rPr>
              <w:t>National Harbor, MD (Washington, DC area)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 The Company owns a 65.0 percent interest in a joint venture that owns this property.</w:t>
      </w:r>
    </w:p>
    <w:p>
      <w:pPr>
        <w:spacing w:after="0" w:line="225" w:lineRule="exact"/>
        <w:rPr>
          <w:sz w:val="20"/>
          <w:szCs w:val="20"/>
          <w:color w:val="auto"/>
        </w:rPr>
      </w:pPr>
    </w:p>
    <w:p>
      <w:pPr>
        <w:ind w:left="60" w:right="99"/>
        <w:spacing w:after="0" w:line="267" w:lineRule="auto"/>
        <w:rPr>
          <w:sz w:val="20"/>
          <w:szCs w:val="20"/>
          <w:color w:val="auto"/>
        </w:rPr>
      </w:pPr>
      <w:r>
        <w:rPr>
          <w:rFonts w:ascii="Arial" w:cs="Arial" w:eastAsia="Arial" w:hAnsi="Arial"/>
          <w:sz w:val="17"/>
          <w:szCs w:val="17"/>
          <w:color w:val="auto"/>
        </w:rPr>
        <w:t>We own our Opryland complex in Nashville, Tennessee, which includes the site of Gaylord Opryland (approximately 172 acres). We also own the approximately 6-acre site of the Inn at Opryland, which is located near the Opryland complex. We have leased a 65-acre tract in Osceola County, Florida, on which the Gaylord Palms is located, pursuant to a 75-year ground lease with a 24-year renewal option. We acquired approximately 85 acres in Grapevine, Texas, through ownership (approximately 75 acres) and ground lease (approximately 10 acres), on which the Gaylord Texan is located. We also own an additional approximately 40 acres of property near the Gaylord Texan. We own approximately 42 acres on the Potomac River in Prince George’s County, Maryland, on which the Gaylord National is located and we own fee title to the condominium unit in the eight-story building in which the AC Hotel is located. All of our four wholly-owned Gaylord Hotels properties secure our credit facility, and Gaylord Rockies assets secure the debt of the Gaylord Rockies joint venture, as described in the Liquidity and Capital Resources section of Item 7, “Management’s Discussion and Analysis of Financial Condition and Results of Operations.” The Gaylord Rockies joint venture owns approximately 85 acres, on which Gaylord Rockies is located, which is leased to a TRS owned by the Gaylord Rockies joint venture. Each of our hotel properties is leased or subleased to one of our TRSs, and such TRS has engaged Marriott to manage the day-to-day operations of the hotel. For a description of the management agreements with Marriott, see “Management Agreements” in Item 1, “Business.” For the operating results of our hotels on a property basis, see “Operating Results – Detailed Segment Financial Information” in Item 7, “Management’s Discussion and Analysis of Financial Condition and 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Entertainment Segment</w:t>
      </w:r>
    </w:p>
    <w:p>
      <w:pPr>
        <w:spacing w:after="0" w:line="229"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We own the General Jackson’s docking facility, the Grand Ole Opry House and WSM Radio’s offices and studios, each of which are located within the Opryland complex. We also own Gaylord Springs, an 18-hole golf course situated on over 200 acres, which is located near the Opryland complex. In downtown Nashville, we own the Ryman Auditorium, Ole Red Nashville, and the Wildhorse Saloon dance hall and production facility. We also own an approximate 17,000 square foot building in downtown Nashville that we are currently transforming into additional connecting event space for the Wildhorse Saloon. Our TRSs have engaged Marriott to manage the day-to-day operations of the General Jackson Showboat, Gaylord Springs and the Wildhorse Saloon. For a description of the management agreements with Marriott, see “Management Agreements” in Item 1, “Business.”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color w:val="auto"/>
        </w:rPr>
        <w:t>We own our executive offices and headquarters located at One Gaylord Drive, Nashville, Tennessee, which consists of a five-story office building comprising approximately 80,000 square feet. We believe that these facilities and the facilities related to each of our business segments are generally well maintained.</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left="60" w:right="199"/>
        <w:spacing w:after="0" w:line="293" w:lineRule="auto"/>
        <w:rPr>
          <w:sz w:val="20"/>
          <w:szCs w:val="20"/>
          <w:color w:val="auto"/>
        </w:rPr>
      </w:pPr>
      <w:r>
        <w:rPr>
          <w:rFonts w:ascii="Arial" w:cs="Arial" w:eastAsia="Arial" w:hAnsi="Arial"/>
          <w:sz w:val="16"/>
          <w:szCs w:val="16"/>
          <w:color w:val="auto"/>
        </w:rPr>
        <w:t>We and various of our subsidiaries are involved in claims and lawsuits incidental to the ordinary course of our businesses, such as personal injury actions by guests and employees and complaints alleging employee discrimination. We maintain various insurance policies, including general liability and property damage insurance, as well as workers’ compensation, business interruption, and other policies, which we believe provide adequate coverage for the risks associated with our range of operations. We believe that we are adequately insured against these claims by our existing insurance policies and that the outcome of any pending claims or proceedings will not have a material effect on our financial statements.</w:t>
      </w:r>
    </w:p>
    <w:p>
      <w:pPr>
        <w:spacing w:after="0" w:line="164"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For further discussion of legal proceedings, see “Note 13 – Commitments and Contingencies” to our consolidated financial statements included herein.</w:t>
      </w:r>
    </w:p>
    <w:p>
      <w:pPr>
        <w:spacing w:after="0" w:line="166"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319"/>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is listed on the New York Stock Exchange under the symbol “RHP”.</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approximately 780 record holders of our common stock at January 31, 2021.</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 shares of the Company’s common stock were repurchased during the three months ended December 31, 2020.</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To maintain our qualification as a REIT for federal income tax purposes, we must distribute at least 90% of our REIT taxable income each year. Prior to the suspension of dividends as a result of the COVID-19 pandemic, we had planned to continue to pay a quarterly cash dividend to shareholders in an amount equal to an annualized payment of at least 50% of adjusted funds from operations (as defined by us) less maintenance capital expenditures or 100% of REIT taxable income, whichever is greater. Any future dividend is subject to our board of directors’ determinations as to the amount of distributions and the timing thereof.</w:t>
      </w:r>
    </w:p>
    <w:p>
      <w:pPr>
        <w:spacing w:after="0" w:line="192"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Even after the Temporary Waiver Period (as defined in “Liquidity and Capital Resources – Principal Debt Agreements” in Item 7, “Management’s Discussion and Analysis of Financial Condition and Results of Operations,”) the terms of our credit facility restrict our ability to pay dividends. We are not permitted to pay a dividend to our stockholders if the aggregate amount of all distributions to our stockholders in a given year exceeds 95% of our funds from operations (as defined in the credit facility) for that fiscal year. Notwithstanding this restriction, we are permitted to pay dividends to stockholders to the extent necessary to maintain our status as a REIT.</w:t>
      </w:r>
    </w:p>
    <w:p>
      <w:pPr>
        <w:spacing w:after="0" w:line="178"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Information relating to compensation plans under which our common stock is authorized for issuance is set forth in Part III, Item 12 of this Annual Report on Form 10-K.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This section of this Annual Report on Form 10-K generally discusses 2020 and 2019 items and year-to-year comparisons between 2020 and 2019. Discussions of 2018 items and year-to-year comparisons between 2019 and 2018 that are not included in this Form 10-K can be found in “Management’s Discussion and Analysis of Financial Condition and Results of Operations” in Part II, Item 7 of the Company’s Annual Report on Form 10-K for the fiscal year ended December 31, 2019.</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We are a Delaware corporation, originally incorporated in 1956, that, following our REIT conversion in 2012, began operating as a self-advised and self-administered REIT for federal income tax purposes on January 1, 2013, specializing in group-oriented, destination hotel assets in urban and resort markets. Our core holdings include a network of five upscale, meetings-focused resorts totaling 9,615 rooms that are managed by Marriott International, Inc.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which is owned by the Gaylord Rockies joint venture, in which we own a 65% interest. Our other owned hotel assets managed by Marriott include the Inn at Opryland, an overflow hotel adjacent to Gaylord Opryland, and the AC Hotel at National Harbor, Washington D.C. (“AC Hotel”), an overflow hotel adjacent to Gaylord National.</w:t>
      </w:r>
    </w:p>
    <w:p>
      <w:pPr>
        <w:spacing w:after="0" w:line="168"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We also own and operate media and entertainment assets including the Grand Ole Opry, the legendary weekly showcase of country music’s finest performers for 95 years; the Ryman Auditorium, the storied live music venue and former home of the Grand Ole Opry located in downtown Nashville; WSM-AM, the Opry’s radio home; Ole Red, a brand of Blake Shelton-themed bar, music venue and event spaces; and three Nashville-based assets managed by Marriott – Gaylord Springs Golf Links (“Gaylord Springs”), the Wildhorse Saloon, and the General Jackson Showboat (“General Jackson”). We also own a 50% interest in a joint venture intended to create and distribute a linear multicast and over-the-top channel dedicated to the country music lifestyle (“Circle”).</w:t>
      </w:r>
    </w:p>
    <w:p>
      <w:pPr>
        <w:spacing w:after="0" w:line="177"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88"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Our goal is to be the nation’s premier hospitality REIT for group-oriented, destination hotel assets in urban and resort markets.</w:t>
      </w:r>
    </w:p>
    <w:p>
      <w:pPr>
        <w:spacing w:after="0" w:line="170" w:lineRule="exact"/>
        <w:rPr>
          <w:sz w:val="20"/>
          <w:szCs w:val="20"/>
          <w:color w:val="auto"/>
        </w:rPr>
      </w:pPr>
    </w:p>
    <w:p>
      <w:pPr>
        <w:ind w:left="60" w:right="399"/>
        <w:spacing w:after="0" w:line="342" w:lineRule="auto"/>
        <w:rPr>
          <w:sz w:val="20"/>
          <w:szCs w:val="20"/>
          <w:color w:val="auto"/>
        </w:rPr>
      </w:pPr>
      <w:r>
        <w:rPr>
          <w:rFonts w:ascii="Arial" w:cs="Arial" w:eastAsia="Arial" w:hAnsi="Arial"/>
          <w:sz w:val="16"/>
          <w:szCs w:val="16"/>
          <w:color w:val="auto"/>
        </w:rPr>
        <w:t>See “Forward-Looking Statements” and “Risk Factors” under Part I of this Annual Report on Form 10-K for important information regarding forward-looking statements made in this report and risks and uncertainties we face.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25"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The novel coronavirus disease (COVID-19) pandemic continues to spread throughout the United States and is having an unprecedented impact on the U.S. economy. Due to the COVID-19 pandemic, we have experienced disruption of our business and in March 2020 temporarily suspended operations of most of our assets, as further described below. While most of our assets are operating at some capacity, there is significant uncertainty surrounding the full extent of the impact of the COVID-19 pandemic on our future results of operations and financial position.</w:t>
      </w:r>
    </w:p>
    <w:p>
      <w:pPr>
        <w:spacing w:after="0" w:line="134" w:lineRule="exact"/>
        <w:rPr>
          <w:sz w:val="20"/>
          <w:szCs w:val="20"/>
          <w:color w:val="auto"/>
        </w:rPr>
      </w:pPr>
    </w:p>
    <w:p>
      <w:pPr>
        <w:ind w:left="60" w:right="339"/>
        <w:spacing w:after="0" w:line="342" w:lineRule="auto"/>
        <w:rPr>
          <w:sz w:val="20"/>
          <w:szCs w:val="20"/>
          <w:color w:val="auto"/>
        </w:rPr>
      </w:pPr>
      <w:r>
        <w:rPr>
          <w:rFonts w:ascii="Arial" w:cs="Arial" w:eastAsia="Arial" w:hAnsi="Arial"/>
          <w:sz w:val="16"/>
          <w:szCs w:val="16"/>
          <w:color w:val="auto"/>
        </w:rPr>
        <w:t>In late February 2020, when the gravity of the COVID-19 pandemic became apparent, we formed an internal task force, which included members of management and our board of directors, to formulate and implement responses to COVID-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hanging="10"/>
        <w:spacing w:after="0" w:line="277" w:lineRule="auto"/>
        <w:tabs>
          <w:tab w:leader="none" w:pos="3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task force, in consultation with local governmental authorities, first determined to close our Nashville-based entertainment venues in mid-March 2020.</w:t>
      </w:r>
    </w:p>
    <w:p>
      <w:pPr>
        <w:spacing w:after="0" w:line="143"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As cancellations at our Gaylord Hotels properties began to increase, we, with our hotel manager, Marriott, implemented a series of operational changes, culminating with the suspension of operations at our Gaylord Hotels properties in late-March 2020. Gaylord Texan reopened June 8, 2020, and Gaylord Opryland, Gaylord Palms and Gaylord Rockies reopened June 25, 2020. Gaylord National remains closed.</w:t>
      </w:r>
    </w:p>
    <w:p>
      <w:pPr>
        <w:spacing w:after="0" w:line="146"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color w:val="auto"/>
        </w:rPr>
        <w:t>In our Entertainment segment, in addition to the temporary closure of our entertainment assets in spring 2020, we have taken steps to reduce operating costs in all areas. Many of our Tennessee-based attractions reopened at reduced capacities in May and June 2020. The Grand Ole Opry and Ryman Auditorium began offering limited-capacity tours in June 2020, and in September 2020, they reopened for limited-capacity publicly attended performances. Our decision to offer publicly attended performances with additional capacity will be based on a number of factors and made in consultation with local health authorities.</w:t>
      </w:r>
    </w:p>
    <w:p>
      <w:pPr>
        <w:spacing w:after="0" w:line="152"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i w:val="1"/>
          <w:iCs w:val="1"/>
          <w:color w:val="auto"/>
        </w:rPr>
        <w:t>Actions to Preserve Liquidity</w:t>
      </w:r>
      <w:r>
        <w:rPr>
          <w:rFonts w:ascii="Arial" w:cs="Arial" w:eastAsia="Arial" w:hAnsi="Arial"/>
          <w:sz w:val="17"/>
          <w:szCs w:val="17"/>
          <w:color w:val="auto"/>
        </w:rPr>
        <w:t>. We are also taking actions to preserve liquidity in order to weather the COVID-19 pandemic.</w:t>
      </w:r>
      <w:r>
        <w:rPr>
          <w:rFonts w:ascii="Arial" w:cs="Arial" w:eastAsia="Arial" w:hAnsi="Arial"/>
          <w:sz w:val="17"/>
          <w:szCs w:val="17"/>
          <w:i w:val="1"/>
          <w:iCs w:val="1"/>
          <w:color w:val="auto"/>
        </w:rPr>
        <w:t xml:space="preserve"> </w:t>
      </w:r>
      <w:r>
        <w:rPr>
          <w:rFonts w:ascii="Arial" w:cs="Arial" w:eastAsia="Arial" w:hAnsi="Arial"/>
          <w:sz w:val="17"/>
          <w:szCs w:val="17"/>
          <w:color w:val="auto"/>
        </w:rPr>
        <w:t>We continue to pay all required debt service payments on our indebtedness, lease payments, taxes and other payables. At December 31, 2020, we had $593.2 million available for borrowing under our revolving credit facility and $56.7 million in unrestricted cash on hand. In 2020, we took steps to preserve our liquidity as follows:</w:t>
      </w:r>
    </w:p>
    <w:p>
      <w:pPr>
        <w:spacing w:after="0" w:line="144" w:lineRule="exact"/>
        <w:rPr>
          <w:sz w:val="20"/>
          <w:szCs w:val="20"/>
          <w:color w:val="auto"/>
        </w:rPr>
      </w:pPr>
    </w:p>
    <w:p>
      <w:pPr>
        <w:ind w:left="720" w:right="379" w:hanging="319"/>
        <w:spacing w:after="0" w:line="293"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Suspension of Dividend</w:t>
      </w:r>
      <w:r>
        <w:rPr>
          <w:rFonts w:ascii="Arial" w:cs="Arial" w:eastAsia="Arial" w:hAnsi="Arial"/>
          <w:sz w:val="16"/>
          <w:szCs w:val="16"/>
          <w:color w:val="auto"/>
        </w:rPr>
        <w:t>. Following the payment of our first quarter 2020 dividend on April 15, 2020 to</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record on March 31, 2020, we suspended our regular quarterly cash dividend payments to stockholders. Our board of directors will consider a future dividend as permitted by our credit agreement. Our credit facility amendments described below permits payment of dividends as necessary to maintain our REIT status and permits us to pay a dividend of $0.01 per share each quarter. Any future dividend is subject to our board of director’s determinations as to the amount of distributions and the timing thereof.</w:t>
      </w:r>
    </w:p>
    <w:p>
      <w:pPr>
        <w:spacing w:after="0" w:line="123" w:lineRule="exact"/>
        <w:rPr>
          <w:rFonts w:ascii="Arial" w:cs="Arial" w:eastAsia="Arial" w:hAnsi="Arial"/>
          <w:sz w:val="16"/>
          <w:szCs w:val="16"/>
          <w:color w:val="auto"/>
        </w:rPr>
      </w:pPr>
    </w:p>
    <w:p>
      <w:pPr>
        <w:ind w:left="720" w:right="219" w:hanging="319"/>
        <w:spacing w:after="0" w:line="259"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Deferral of Capital Expenditures</w:t>
      </w:r>
      <w:r>
        <w:rPr>
          <w:rFonts w:ascii="Arial" w:cs="Arial" w:eastAsia="Arial" w:hAnsi="Arial"/>
          <w:sz w:val="18"/>
          <w:szCs w:val="18"/>
          <w:color w:val="auto"/>
        </w:rPr>
        <w:t>. We have deferred approximately $82 million of non-essential capital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delaying the Gaylord Rockies expansion project, which was scheduled to begin construction in second quarter 2020. The Gaylord Palms expansion project is continuing, and we believe the expansion will allow us to serve groups that moved meetings to 2021 and beyond.</w:t>
      </w:r>
    </w:p>
    <w:p>
      <w:pPr>
        <w:spacing w:after="0" w:line="146" w:lineRule="exact"/>
        <w:rPr>
          <w:rFonts w:ascii="Arial" w:cs="Arial" w:eastAsia="Arial" w:hAnsi="Arial"/>
          <w:sz w:val="18"/>
          <w:szCs w:val="18"/>
          <w:color w:val="auto"/>
        </w:rPr>
      </w:pPr>
    </w:p>
    <w:p>
      <w:pPr>
        <w:ind w:left="720" w:right="99" w:hanging="319"/>
        <w:spacing w:after="0" w:line="285"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Amendments to Principal Debt Agreements</w:t>
      </w:r>
      <w:r>
        <w:rPr>
          <w:rFonts w:ascii="Arial" w:cs="Arial" w:eastAsia="Arial" w:hAnsi="Arial"/>
          <w:sz w:val="16"/>
          <w:szCs w:val="16"/>
          <w:color w:val="auto"/>
        </w:rPr>
        <w:t>. On April 23, 2020, we entered into Amendment No. 1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and on December 22, 2020, we entered into Amendment No. 2 (the “Second Amendment” and collectively with the First Amendment, the “Amendments”), to the credit agreement governing our $700 million revolving credit facility (of which $106.0 million was outstanding at December 31, 2020), $300 million term loan A facility and the original $500 million term loan B facility (of which $381.3 million was outstanding at December 31, 2020), which was obtained from a consortium of banks led by Wells Fargo Bank, National Association, as administrative agent. The First Amendment provided for a temporary waiver of financial covenants in the credit facility through March 31, 2021 and the Second Amendment extended that waiver through March 31, 2022 (unless terminated early by us at our option). The Amendments confirm the Company’s continued ability to borrow the remaining amounts available under the revolving credit facility (subject to a minimum liquidity covenant). During the waiver period and thereafter until demonstration of financial covenant compliance, the Amendments provide for increased interest and fees, additional restrictions on debt, investments, dividends, share repurchases and capital expenditures, and a minimum liquidity requirement. In addition, all borrowings under the revolving credit facility made during the waiver period may only be used for payment of operating expenses, debt service and certain other specified uses. For additional discussion of the amendments to our credit agreement, see “Principal Debt Agreements” below.</w:t>
      </w:r>
    </w:p>
    <w:p>
      <w:pPr>
        <w:spacing w:after="0" w:line="176" w:lineRule="exact"/>
        <w:rPr>
          <w:rFonts w:ascii="Arial" w:cs="Arial" w:eastAsia="Arial" w:hAnsi="Arial"/>
          <w:sz w:val="16"/>
          <w:szCs w:val="16"/>
          <w:color w:val="auto"/>
        </w:rPr>
      </w:pPr>
    </w:p>
    <w:p>
      <w:pPr>
        <w:ind w:left="720" w:right="99"/>
        <w:spacing w:after="0" w:line="273" w:lineRule="auto"/>
        <w:rPr>
          <w:rFonts w:ascii="Arial" w:cs="Arial" w:eastAsia="Arial" w:hAnsi="Arial"/>
          <w:sz w:val="16"/>
          <w:szCs w:val="16"/>
          <w:color w:val="auto"/>
        </w:rPr>
      </w:pPr>
      <w:r>
        <w:rPr>
          <w:rFonts w:ascii="Arial" w:cs="Arial" w:eastAsia="Arial" w:hAnsi="Arial"/>
          <w:sz w:val="17"/>
          <w:szCs w:val="17"/>
          <w:color w:val="auto"/>
        </w:rPr>
        <w:t>On June 30, 2020, the Gaylord Rockies joint venture completed an amendment to its $800 million term loan to (i) provide for the ability to use cash for certain purposes, even during a Cash Sweep Period (as defined in the Loan Agreement), (ii) extend the deadline to commence construction of an expansion to Gaylord Rockies, and (iii) provide favorable changes to the debt service coverage ratio provisions. For additional discussion of this amendment, see “Principal Debt Agreements” below. Beginning in July 2020, the Gaylord Rockies joint venture was in a Cash Sweep Period pursuant to the Loan Agreement.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hanging="319"/>
        <w:spacing w:after="0" w:line="296"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Suspension of FF&amp;E Reserve Requirement</w:t>
      </w:r>
      <w:r>
        <w:rPr>
          <w:rFonts w:ascii="Arial" w:cs="Arial" w:eastAsia="Arial" w:hAnsi="Arial"/>
          <w:sz w:val="16"/>
          <w:szCs w:val="16"/>
          <w:color w:val="auto"/>
        </w:rPr>
        <w:t>. With respect to our properties that are operated under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Marriott, we are obligated to maintain an FF&amp;E reserve account for future planned and emergency-related capital expenditures at these properties. The amount funded into each of these reserve accounts is determined pursuant to the management agreements and is generally 5.0% of the respective property’s total annual revenue; however, Marriott has suspended this obligation from March 2020 through December 2021.</w:t>
      </w:r>
    </w:p>
    <w:p>
      <w:pPr>
        <w:spacing w:after="0" w:line="120" w:lineRule="exact"/>
        <w:rPr>
          <w:rFonts w:ascii="Arial" w:cs="Arial" w:eastAsia="Arial" w:hAnsi="Arial"/>
          <w:sz w:val="16"/>
          <w:szCs w:val="16"/>
          <w:color w:val="auto"/>
        </w:rPr>
      </w:pPr>
    </w:p>
    <w:p>
      <w:pPr>
        <w:ind w:left="720" w:right="139" w:hanging="319"/>
        <w:spacing w:after="0" w:line="25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Cost Containment Initiatives</w:t>
      </w:r>
      <w:r>
        <w:rPr>
          <w:rFonts w:ascii="Arial" w:cs="Arial" w:eastAsia="Arial" w:hAnsi="Arial"/>
          <w:sz w:val="18"/>
          <w:szCs w:val="18"/>
          <w:color w:val="auto"/>
        </w:rPr>
        <w:t>. Within our Hospitality segment, we, along with Marriott, implemented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in order to contain costs in all areas. We implemented similar cost containment initiatives in our Entertainment and Corporate segments, including voluntary temporary compensation decreases for each of our executive officers and our director and higher positions of management, including 50% of the salary for our chief executive officer, through December 2020.</w:t>
      </w:r>
    </w:p>
    <w:p>
      <w:pPr>
        <w:spacing w:after="0" w:line="161"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i w:val="1"/>
          <w:iCs w:val="1"/>
          <w:color w:val="auto"/>
        </w:rPr>
        <w:t>Impact on Operations</w:t>
      </w:r>
      <w:r>
        <w:rPr>
          <w:rFonts w:ascii="Arial" w:cs="Arial" w:eastAsia="Arial" w:hAnsi="Arial"/>
          <w:sz w:val="17"/>
          <w:szCs w:val="17"/>
          <w:color w:val="auto"/>
        </w:rPr>
        <w:t>. Except for Gaylord National and the General Jackson that remain closed and the Wildhorse Saloon</w:t>
      </w:r>
      <w:r>
        <w:rPr>
          <w:rFonts w:ascii="Arial" w:cs="Arial" w:eastAsia="Arial" w:hAnsi="Arial"/>
          <w:sz w:val="17"/>
          <w:szCs w:val="17"/>
          <w:i w:val="1"/>
          <w:iCs w:val="1"/>
          <w:color w:val="auto"/>
        </w:rPr>
        <w:t xml:space="preserve"> </w:t>
      </w:r>
      <w:r>
        <w:rPr>
          <w:rFonts w:ascii="Arial" w:cs="Arial" w:eastAsia="Arial" w:hAnsi="Arial"/>
          <w:sz w:val="17"/>
          <w:szCs w:val="17"/>
          <w:color w:val="auto"/>
        </w:rPr>
        <w:t>that closed subsequent to the December 2020 downtown Nashville bombing, our hotels and entertainment venues have reopened and are operating under reduced capacities. We, with our manager, Marriott, are implementing certain measures designed to prioritize the health and safety of our guests and to help mitigate the spread of COVID-19, including enhanced cleaning standards, mask protection, limitations on restaurant capacity, entertainment events and conventions, as well as other protocols to enforce social distancing.</w:t>
      </w:r>
    </w:p>
    <w:p>
      <w:pPr>
        <w:spacing w:after="0" w:line="137" w:lineRule="exact"/>
        <w:rPr>
          <w:sz w:val="20"/>
          <w:szCs w:val="20"/>
          <w:color w:val="auto"/>
        </w:rPr>
      </w:pPr>
    </w:p>
    <w:p>
      <w:pPr>
        <w:ind w:left="60" w:right="159"/>
        <w:spacing w:after="0" w:line="308" w:lineRule="auto"/>
        <w:rPr>
          <w:sz w:val="20"/>
          <w:szCs w:val="20"/>
          <w:color w:val="auto"/>
        </w:rPr>
      </w:pPr>
      <w:r>
        <w:rPr>
          <w:rFonts w:ascii="Arial" w:cs="Arial" w:eastAsia="Arial" w:hAnsi="Arial"/>
          <w:sz w:val="17"/>
          <w:szCs w:val="17"/>
          <w:color w:val="auto"/>
        </w:rPr>
        <w:t>During 2020, our Hospitality segment experienced total cancellations of approximately 2.4 million net room nights, which we believe are attributable to COVID-19, representing approximately $488 million in rooms revenue.</w:t>
      </w:r>
    </w:p>
    <w:p>
      <w:pPr>
        <w:spacing w:after="0" w:line="106"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We and Marriott’s sales teams have been working closely with our customers to rebook previously cancelled business and, through December 31, 2020, we have rebooked approximately 1.4 million room nights, or approximately 58% of total room nights cancelled as a result of the COVID-19 pandemic. We have focused on offering flexibility rather than demanding attrition and cancellation payments in an effort to strengthen our relationships with our customers and meeting planners, although collections of attrition and cancellation fees increased in the fourth quarter of 2020. Our establishments are undergoing a phased reopening, and the customer mix at our Gaylord Hotels properties has been and may continue to be more heavily transient during this phased reopening than our historical trends. Our operating results are described below.</w:t>
      </w:r>
    </w:p>
    <w:p>
      <w:pPr>
        <w:spacing w:after="0" w:line="165" w:lineRule="exact"/>
        <w:rPr>
          <w:sz w:val="20"/>
          <w:szCs w:val="20"/>
          <w:color w:val="auto"/>
        </w:rPr>
      </w:pPr>
    </w:p>
    <w:p>
      <w:pPr>
        <w:ind w:left="60" w:right="239"/>
        <w:spacing w:after="0" w:line="272" w:lineRule="auto"/>
        <w:rPr>
          <w:sz w:val="20"/>
          <w:szCs w:val="20"/>
          <w:color w:val="auto"/>
        </w:rPr>
      </w:pPr>
      <w:r>
        <w:rPr>
          <w:rFonts w:ascii="Arial" w:cs="Arial" w:eastAsia="Arial" w:hAnsi="Arial"/>
          <w:sz w:val="17"/>
          <w:szCs w:val="17"/>
          <w:color w:val="auto"/>
        </w:rPr>
        <w:t>On March 27, 2020, the U.S. government enacted the Coronavirus Aid, Relief, and Economic Security Act (the “CARES Act”), which among other things, provides employer payroll tax credits for wages paid to employees who are unable to work during the COVID-19 pandemic and options to defer payroll tax payments. Based on our evaluation of the CARES Act, we qualify for certain employer payroll tax credits, which we have accounted for as government subsidies to offset related operating expenses, as well as the deferral of payroll and other tax payments in the future. During 2020, qualified payroll tax credits reduced our operating expenses by $10.2 million. We are deferring qualified payroll and other tax payments as permitted by the CARES Act.</w:t>
      </w:r>
    </w:p>
    <w:p>
      <w:pPr>
        <w:spacing w:after="0" w:line="137"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Marriott’s hotel employees that were laid off or furloughed were generally paid the equivalent of one week of compensation, and certain benefits for non-union hotel employees have been maintained throughout the individual properties’ closures. We paid all full-time and part-time employees for temporarily closed properties in our Entertainment segment through June 27, 2020. Our results for 2020 include approximately $39.7 million of operating costs specifically related to the COVID-19 pandemic, which is primarily comprised of employment costs, and is net of $10.2 million in payroll tax credits provided by the CARES Act. The payroll credits provided by the CARES Act are included in other hotel expenses, entertainment expenses and corporate expenses, as applicable, in the accompanying consolidated statement of operations for 2020 included herein.</w:t>
      </w:r>
    </w:p>
    <w:p>
      <w:pPr>
        <w:spacing w:after="0" w:line="151"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For additional discussion of the impact of the COVID-19 pandemic on our business and associated risk, see “Risk Factors” under Part I, Item 1A of this Annual Report on Form 10-K.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Rockies Joint Venture</w:t>
      </w:r>
    </w:p>
    <w:p>
      <w:pPr>
        <w:spacing w:after="0" w:line="225"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We own a 65% interest in the Gaylord Rockies joint venture. Our management has concluded that the Company is the primary beneficiary of this variable interest entity (“VIE”) and the financial position and results of operations of the VIE have been consolidated in the accompanying consolidated financial statements included herein, beginning on December 31, 2018 with respect to the balance sheet and January 1, 2019 with respect to statements of operations and comprehensive income (loss) and statements of cash flows. Gaylord Rockies opened on a limited basis in December 2018 and on a fully operational basis in first quarter 2019 and is managed by Marriott.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Palms Expansion</w:t>
      </w:r>
    </w:p>
    <w:p>
      <w:pPr>
        <w:spacing w:after="0" w:line="22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In 2018, we began construction of a $158 million expansion of Gaylord Palms, which will include an additional 302 guest rooms and 96,000 square feet of meeting space, an expanded resort pool and events lawn, and a new multi-level parking structure. The expansion is expected to be completed in April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Rockies Expansion</w:t>
      </w:r>
    </w:p>
    <w:p>
      <w:pPr>
        <w:spacing w:after="0" w:line="225"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In February 2020, we and our joint venture partner in the Gaylord Rockies joint venture announced an $80 million expansion of Gaylord Rockies, which was intended to include an additional 317 guest rooms. The expansion was expected to begin in the second quarter of 2020, but, as discussed under “Impact of COVID-19 pandemic” above, the expansion was deferred in response to the COVID-19 pandemic.</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SoundWaves at Gaylord Opryland</w:t>
      </w:r>
    </w:p>
    <w:p>
      <w:pPr>
        <w:spacing w:after="0" w:line="225"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In December 2018, we opened the indoor portion of a $90 million investment to create a luxury indoor/outdoor waterpark adjacent to Gaylord Opryland, SoundWaves. The project includes approximately 111,000 square feet of indoor water attractions and activities over three levels and approximately 106,000 square feet of outdoor water amenities. The project includes areas for adults, children and families, as well as dining options and bars. The outdoor portion of the project opened in second quarter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Circle</w:t>
      </w:r>
    </w:p>
    <w:p>
      <w:pPr>
        <w:spacing w:after="0" w:line="225"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In 2019, we acquired a 50% equity interest in Circle and we have made $12.5 million in capital contributions through December 31, 2020. The joint venture agreement requires us to contribute up to an additional $2.5 million through December 31, 2021, and we made such contribution in January 2021. Circle launched its broadcast network on January 1, 2020, with sixteen original shows and two major distribution partnerships. As of February 2021, Circle is available to more than 60% of U.S. television households via over-the-air and cable television and is available through multiple online streaming services covering over 100 million monthly average users.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Termination of Block 21 Acquisition</w:t>
      </w:r>
    </w:p>
    <w:p>
      <w:pPr>
        <w:spacing w:after="0" w:line="225"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In December 2019, we entered into an agreement (the “Block 21 Agreement”) to purchase Block 21, a mixed-use entertainment, lodging, office and retail complex located in Austin, Texas, for $275 million, which included the assumption of approximately $141 million of existing mortgage debt. In May 2020, in response to the then-existing capital markets and economic environment caused by the COVID-19 pandemic, we determined it was not in the best interest of our shareholders to focus resources and capital on the project and terminated the related purchase agreement. We forfeited a nonrefundable deposit of $15.0 million, which is included in other gains and (losses), net in the accompanying consolidated statement of operations for 2020.</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 Policy; Suspension of Dividend</w:t>
      </w:r>
    </w:p>
    <w:p>
      <w:pPr>
        <w:spacing w:after="0" w:line="225" w:lineRule="exact"/>
        <w:rPr>
          <w:sz w:val="20"/>
          <w:szCs w:val="20"/>
          <w:color w:val="auto"/>
        </w:rPr>
      </w:pPr>
    </w:p>
    <w:p>
      <w:pPr>
        <w:ind w:left="60" w:right="79"/>
        <w:spacing w:after="0" w:line="311" w:lineRule="auto"/>
        <w:rPr>
          <w:sz w:val="20"/>
          <w:szCs w:val="20"/>
          <w:color w:val="auto"/>
        </w:rPr>
      </w:pPr>
      <w:r>
        <w:rPr>
          <w:rFonts w:ascii="Arial" w:cs="Arial" w:eastAsia="Arial" w:hAnsi="Arial"/>
          <w:sz w:val="16"/>
          <w:szCs w:val="16"/>
          <w:color w:val="auto"/>
        </w:rPr>
        <w:t>On February 25, 2020, our board of directors declared our first quarter 2020 cash dividend in the amount of $0.95 per share of common stock, or an aggregate of approximately $52.2 million in cash, which was paid on April 15, 2020 to stockholders of record as of the close of business on March 31, 2020. Following payment of our first quarter 2020 cash</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dividend, we suspended our regular quarterly dividend payments, and our board of directors will consider a future dividend as permitted by our credit agreement. Our credit facility amendment described below under “Principal Debt Agreements” permits payment of dividends as necessary to maintain our REIT status and permits us to pay a dividend of $0.01 per share each quarter. Prior to the suspension of dividends as a result of the COVID-19 pandemic, we had planned to continue to pay a quarterly cash dividend to shareholders in an amount equal to an annualized payment of at least 50% of adjusted funds from operations (as defined by us) less maintenance capital expenditures or 100% of REIT taxable income, whichever is greater. Any future dividend is subject to our board of directors’ determinations as to the amount of distributions and the timing thereof.</w:t>
      </w:r>
    </w:p>
    <w:p>
      <w:pPr>
        <w:spacing w:after="0" w:line="178"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color w:val="auto"/>
        </w:rPr>
        <w:t>During 2019, the Company’s board of directors declared quarterly dividends totaling $3.60 per share of common stock, or an aggregate of $188.3 million in cash. During 2018, the Company’s board of directors declared quarterly dividends totaling $3.40 per share of common stock, or an aggregate of $174.5 million in cash.</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Note Refinancing</w:t>
      </w:r>
    </w:p>
    <w:p>
      <w:pPr>
        <w:spacing w:after="0" w:line="225"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On February 9, 2021, we commenced a cash tender offer for any and all outstanding $400 million 5% senior notes due 2023 (the “$400 Million 5% Senior Notes”) at a redemption price of $1,005.00 per $1,000 principal amount of $400 Million 5% Senior Notes accepted for purchase in the tender offer. In accordance with the indenture governing the $400 Million 5% Senior Notes, subsequent to expiration of the tender offer, on February 17, 2021, we gave irrevocable notice of the redemption of all remaining $400 Million 5% Senior Notes not tendered in the tender offer and irrevocably deposited with the trustee for the $400 Million 5% Senior Notes an amount sufficient to pay the redemption price of the $400 Million 5% Senior Notes called for redemption at that date, including interest. We used a significant portion of the proceeds from the issuance of the $600 Million 4.50% Senior Notes described below to tender and redeem the $400 Million 5% Senior Notes.</w:t>
      </w:r>
    </w:p>
    <w:p>
      <w:pPr>
        <w:spacing w:after="0" w:line="196"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On February 17, 2021, the Operating Partnership and Finco (collectively, the “Issuers”) closed on a private placement of $600 million aggregate principal amount of 4.50% senior notes due 2029 (the “$600 Million 4.50% Senior Notes”). The $600 Million 4.50% Senior Notes will be senior unsecured obligations of the Issuers and guaranteed by the Company and its subsidiaries that guarantee the Credit Facility, the $400 Million 5% Senior Notes and $700 million 4.75% senior notes due 2027 (the “$700 Million 4.75% Senior Notes”). The aggregate net proceeds from the sale of the $600 Million 4.5% Senior Notes were approximately $591 million, after deducting the initial purchasers’ discounts and commissions and estimated offering expenses. After using a significant portion of these net proceeds to tender and redeem the $400 Million 5% Senior Notes, we used the net proceeds to repay all of the amounts outstanding under our $700 million revolving credit facility. We may use any remaining proceeds for general corporate purposes.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Current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225" w:lineRule="exact"/>
        <w:rPr>
          <w:sz w:val="20"/>
          <w:szCs w:val="20"/>
          <w:color w:val="auto"/>
        </w:rPr>
      </w:pPr>
    </w:p>
    <w:p>
      <w:pPr>
        <w:ind w:left="720" w:right="1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the Inn at Opryland, and the AC Hotel, each of which is managed by Marriott.</w:t>
      </w:r>
    </w:p>
    <w:p>
      <w:pPr>
        <w:spacing w:after="0" w:line="170" w:lineRule="exact"/>
        <w:rPr>
          <w:rFonts w:ascii="Arial" w:cs="Arial" w:eastAsia="Arial" w:hAnsi="Arial"/>
          <w:sz w:val="18"/>
          <w:szCs w:val="18"/>
          <w:color w:val="auto"/>
        </w:rPr>
      </w:pPr>
    </w:p>
    <w:p>
      <w:pPr>
        <w:ind w:left="720" w:right="439" w:hanging="319"/>
        <w:spacing w:after="0" w:line="311"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Entertainment, consisting of the Grand Ole Opry, the Ryman Auditorium, WSM-AM, Ole Red, and our other Nashville-based attractions, as well as our investment in the Circle joint venture. We own our Entertainment businesses in TRSs, and Marriott manages the General Jackson, Wildhorse Saloon and Gaylord Springs.</w:t>
      </w:r>
    </w:p>
    <w:p>
      <w:pPr>
        <w:spacing w:after="0" w:line="148" w:lineRule="exact"/>
        <w:rPr>
          <w:rFonts w:ascii="Arial" w:cs="Arial" w:eastAsia="Arial" w:hAnsi="Arial"/>
          <w:sz w:val="16"/>
          <w:szCs w:val="16"/>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22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For the years ended December 31, 2020, 2019 and 2018, our total revenues were divided among these business segments as follows: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Segment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12 %</w:t>
            </w: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r>
    </w:tbl>
    <w:p>
      <w:pPr>
        <w:spacing w:after="0" w:line="202"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As described above, our hotels and entertainment assets were closed for a period of time and Gaylord National and certain other assets remain closed or at reduced capacities pending our decision to safely reopen facilities as discussed above. While facilities were closed or remain closed, we recorded or expect to record, as applicable, negligible revenue, and we incurred expenses as described above under “Impact of COVID-19 Pandemic.” Our facilities that have reopened are operating at reduced capacities. Our short-term strategy is to safely reopen our assets, work with Marriott to rebook business in our hotels, pursue cost containment strategies and conserve liquidity.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225"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potentially allocate capital expenditures:</w:t>
      </w:r>
    </w:p>
    <w:p>
      <w:pPr>
        <w:spacing w:after="0" w:line="188"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hotel occupancy (a volume indicator);</w:t>
      </w:r>
    </w:p>
    <w:p>
      <w:pPr>
        <w:spacing w:after="0" w:line="225" w:lineRule="exact"/>
        <w:rPr>
          <w:rFonts w:ascii="Arial" w:cs="Arial" w:eastAsia="Arial" w:hAnsi="Arial"/>
          <w:sz w:val="18"/>
          <w:szCs w:val="18"/>
          <w:color w:val="auto"/>
        </w:rPr>
      </w:pPr>
    </w:p>
    <w:p>
      <w:pPr>
        <w:ind w:left="720" w:right="43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average daily rate (“ADR”) – a price indicator calculated by dividing rooms revenue by the number of rooms sold;</w:t>
      </w:r>
    </w:p>
    <w:p>
      <w:pPr>
        <w:spacing w:after="0" w:line="170" w:lineRule="exact"/>
        <w:rPr>
          <w:rFonts w:ascii="Arial" w:cs="Arial" w:eastAsia="Arial" w:hAnsi="Arial"/>
          <w:sz w:val="18"/>
          <w:szCs w:val="18"/>
          <w:color w:val="auto"/>
        </w:rPr>
      </w:pPr>
    </w:p>
    <w:p>
      <w:pPr>
        <w:ind w:left="720" w:right="35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per Available Room (“RevPAR”) – a summary measure of hotel results calculated by dividing rooms revenue by room nights available to guests for the period;</w:t>
      </w:r>
    </w:p>
    <w:p>
      <w:pPr>
        <w:spacing w:after="0" w:line="170" w:lineRule="exact"/>
        <w:rPr>
          <w:rFonts w:ascii="Arial" w:cs="Arial" w:eastAsia="Arial" w:hAnsi="Arial"/>
          <w:sz w:val="18"/>
          <w:szCs w:val="18"/>
          <w:color w:val="auto"/>
        </w:rPr>
      </w:pPr>
    </w:p>
    <w:p>
      <w:pPr>
        <w:ind w:left="720" w:right="459" w:hanging="319"/>
        <w:spacing w:after="0" w:line="263"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83" w:lineRule="exact"/>
        <w:rPr>
          <w:rFonts w:ascii="Arial" w:cs="Arial" w:eastAsia="Arial" w:hAnsi="Arial"/>
          <w:sz w:val="18"/>
          <w:szCs w:val="18"/>
          <w:color w:val="auto"/>
        </w:rPr>
      </w:pPr>
    </w:p>
    <w:p>
      <w:pPr>
        <w:ind w:left="720" w:right="279" w:hanging="319"/>
        <w:spacing w:after="0" w:line="308" w:lineRule="auto"/>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Net Definite Room Nights Booked – a volume indicator which represents the total number of definite bookings for future room nights at our hotels confirmed during the applicable period, net of cancellations.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color w:val="auto"/>
        </w:rPr>
        <w:t>For 2020, the method of calculation of these indicators has not been changed as a result of the COVID-19 pandemic and the resulting hotel closures and is consistent with prior periods. As such, performance metrics include closed hotel room nights available.</w:t>
      </w:r>
    </w:p>
    <w:p>
      <w:pPr>
        <w:spacing w:after="0" w:line="157"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We also use certain “non-GAAP financial measures,” which are measures of our historical performance that are not calculated and presented in accordance with GAAP, within the meaning of applicable SEC rules. These measures include:</w:t>
      </w:r>
    </w:p>
    <w:p>
      <w:pPr>
        <w:spacing w:after="0" w:line="124" w:lineRule="exact"/>
        <w:rPr>
          <w:sz w:val="20"/>
          <w:szCs w:val="20"/>
          <w:color w:val="auto"/>
        </w:rPr>
      </w:pPr>
    </w:p>
    <w:p>
      <w:pPr>
        <w:ind w:left="720" w:right="17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Earnings Before Interest Expense, Income Taxes, Depreciation and Amortization for Real Estate (“EBITDA</w:t>
      </w:r>
      <w:r>
        <w:rPr>
          <w:rFonts w:ascii="Arial" w:cs="Arial" w:eastAsia="Arial" w:hAnsi="Arial"/>
          <w:sz w:val="18"/>
          <w:szCs w:val="18"/>
          <w:i w:val="1"/>
          <w:iCs w:val="1"/>
          <w:color w:val="auto"/>
        </w:rPr>
        <w:t>re</w:t>
      </w:r>
      <w:r>
        <w:rPr>
          <w:rFonts w:ascii="Arial" w:cs="Arial" w:eastAsia="Arial" w:hAnsi="Arial"/>
          <w:sz w:val="18"/>
          <w:szCs w:val="18"/>
          <w:color w:val="auto"/>
        </w:rPr>
        <w:t>”),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and</w:t>
      </w:r>
    </w:p>
    <w:p>
      <w:pPr>
        <w:spacing w:after="0" w:line="170"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Funds from Operations (“FFO”) available to common shareholders and unit holders and Adjusted FFO available to common shareholders and unitholders.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“Non-GAAP Financial Measures” below for further discussion.</w:t>
      </w:r>
    </w:p>
    <w:p>
      <w:pPr>
        <w:spacing w:after="0" w:line="18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The closure, limited reopening and pandemic-constrained business levels of our Gaylord Hotels properties have resulted in the significant decrease in performance reflected in these key performance indicators and non-GAAP financial measures for 2020, as compared to 2019.</w:t>
      </w:r>
    </w:p>
    <w:p>
      <w:pPr>
        <w:spacing w:after="0" w:line="143" w:lineRule="exact"/>
        <w:rPr>
          <w:sz w:val="20"/>
          <w:szCs w:val="20"/>
          <w:color w:val="auto"/>
        </w:rPr>
      </w:pPr>
    </w:p>
    <w:p>
      <w:pPr>
        <w:ind w:left="60" w:right="219"/>
        <w:spacing w:after="0" w:line="290" w:lineRule="auto"/>
        <w:rPr>
          <w:sz w:val="20"/>
          <w:szCs w:val="20"/>
          <w:color w:val="auto"/>
        </w:rPr>
      </w:pPr>
      <w:r>
        <w:rPr>
          <w:rFonts w:ascii="Arial" w:cs="Arial" w:eastAsia="Arial" w:hAnsi="Arial"/>
          <w:sz w:val="16"/>
          <w:szCs w:val="16"/>
          <w:color w:val="auto"/>
        </w:rPr>
        <w:t>Hospitality segment revenue from our occupied hotel rooms is recognized over time as the daily hotel stay is provided to hotel groups and guests. Revenues from concessions, food and beverage sales, and group meeting services are recognized over the period or at the point in time those goods or services are delivered to the group or hotel guest. Revenues from ancillary services at our hotels, such as spa, parking, and transportation services, are generally recognized at the time the goods or services are provided. Cancellation fees, as well as attrition fees that are charged to groups when they do not fulfill the minimum number of room nights or minimum food and beverage spending requirements originally contracted for, are generally recognized as revenue in the period we determine it is probable that a significant reversal in the amount of revenue recognized will not occur, which is typically the period these fees are collected.</w:t>
      </w:r>
    </w:p>
    <w:p>
      <w:pPr>
        <w:spacing w:after="0" w:line="165"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Almost all of our Hospitality segment revenues are either cash-based or, for meeting and convention groups that meet our credit criteria, billed and collected on a short-term receivables basis. The hospitality industry is capital intensive, and we rely on the ability of our hotels to generate operating cash flow to repay debt financing and fund maintenance capital expenditures.</w:t>
      </w:r>
    </w:p>
    <w:p>
      <w:pPr>
        <w:spacing w:after="0" w:line="187"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We rely on Marriott, as the manager of our hotels, to manage these factors and to offset any identified shortfalls in occupancy.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following table summarizes our financial results for the years ended December 31, 2020, 2019 and 2018 (in thousands, except percentages and per share data):</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10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9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4"/>
                <w:szCs w:val="14"/>
                <w:color w:val="auto"/>
              </w:rPr>
            </w:pPr>
          </w:p>
        </w:tc>
        <w:tc>
          <w:tcPr>
            <w:tcW w:w="960" w:type="dxa"/>
            <w:vAlign w:val="bottom"/>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$ 524,475</w:t>
            </w:r>
          </w:p>
        </w:tc>
        <w:tc>
          <w:tcPr>
            <w:tcW w:w="160" w:type="dxa"/>
            <w:vAlign w:val="bottom"/>
            <w:vMerge w:val="continue"/>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$ 1,604,566</w:t>
            </w:r>
          </w:p>
        </w:tc>
        <w:tc>
          <w:tcPr>
            <w:tcW w:w="160" w:type="dxa"/>
            <w:vAlign w:val="bottom"/>
            <w:vMerge w:val="continue"/>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4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$ 1,275,118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828,306</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(38.0)%</w:t>
            </w:r>
          </w:p>
        </w:tc>
        <w:tc>
          <w:tcPr>
            <w:tcW w:w="920" w:type="dxa"/>
            <w:vAlign w:val="bottom"/>
          </w:tcPr>
          <w:p>
            <w:pPr>
              <w:jc w:val="right"/>
              <w:spacing w:after="0"/>
              <w:rPr>
                <w:sz w:val="20"/>
                <w:szCs w:val="20"/>
                <w:color w:val="auto"/>
              </w:rPr>
            </w:pPr>
            <w:r>
              <w:rPr>
                <w:rFonts w:ascii="Arial" w:cs="Arial" w:eastAsia="Arial" w:hAnsi="Arial"/>
                <w:sz w:val="18"/>
                <w:szCs w:val="18"/>
                <w:color w:val="auto"/>
              </w:rPr>
              <w:t>1,337,035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1,060,849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(303,831)</w:t>
            </w:r>
          </w:p>
        </w:tc>
        <w:tc>
          <w:tcPr>
            <w:tcW w:w="10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267,531</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214,269</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(460,821)</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(459.2)%</w:t>
            </w:r>
          </w:p>
        </w:tc>
        <w:tc>
          <w:tcPr>
            <w:tcW w:w="920" w:type="dxa"/>
            <w:vAlign w:val="bottom"/>
          </w:tcPr>
          <w:p>
            <w:pPr>
              <w:jc w:val="right"/>
              <w:spacing w:after="0"/>
              <w:rPr>
                <w:sz w:val="20"/>
                <w:szCs w:val="20"/>
                <w:color w:val="auto"/>
              </w:rPr>
            </w:pPr>
            <w:r>
              <w:rPr>
                <w:rFonts w:ascii="Arial" w:cs="Arial" w:eastAsia="Arial" w:hAnsi="Arial"/>
                <w:sz w:val="18"/>
                <w:szCs w:val="18"/>
                <w:color w:val="auto"/>
              </w:rPr>
              <w:t>128,294</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(51.5)%</w:t>
            </w:r>
          </w:p>
        </w:tc>
        <w:tc>
          <w:tcPr>
            <w:tcW w:w="960" w:type="dxa"/>
            <w:vAlign w:val="bottom"/>
          </w:tcPr>
          <w:p>
            <w:pPr>
              <w:jc w:val="right"/>
              <w:spacing w:after="0"/>
              <w:rPr>
                <w:sz w:val="20"/>
                <w:szCs w:val="20"/>
                <w:color w:val="auto"/>
              </w:rPr>
            </w:pPr>
            <w:r>
              <w:rPr>
                <w:rFonts w:ascii="Arial" w:cs="Arial" w:eastAsia="Arial" w:hAnsi="Arial"/>
                <w:sz w:val="18"/>
                <w:szCs w:val="18"/>
                <w:color w:val="auto"/>
              </w:rPr>
              <w:t>264,670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income (loss) available to common stockholders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(417,391)</w:t>
            </w:r>
          </w:p>
        </w:tc>
        <w:tc>
          <w:tcPr>
            <w:tcW w:w="10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(386.3)%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145,794</w:t>
            </w: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264,670</w:t>
            </w: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w w:val="93"/>
              </w:rPr>
              <w:t>Net income (loss) available to common stockholders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per share - diluted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(7.59)</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(370.1)%</w:t>
            </w:r>
          </w:p>
        </w:tc>
        <w:tc>
          <w:tcPr>
            <w:tcW w:w="920" w:type="dxa"/>
            <w:vAlign w:val="bottom"/>
          </w:tcPr>
          <w:p>
            <w:pPr>
              <w:jc w:val="right"/>
              <w:spacing w:after="0"/>
              <w:rPr>
                <w:sz w:val="20"/>
                <w:szCs w:val="20"/>
                <w:color w:val="auto"/>
              </w:rPr>
            </w:pPr>
            <w:r>
              <w:rPr>
                <w:rFonts w:ascii="Arial" w:cs="Arial" w:eastAsia="Arial" w:hAnsi="Arial"/>
                <w:sz w:val="18"/>
                <w:szCs w:val="18"/>
                <w:color w:val="auto"/>
              </w:rPr>
              <w:t>2.81</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(45.3)%</w:t>
            </w:r>
          </w:p>
        </w:tc>
        <w:tc>
          <w:tcPr>
            <w:tcW w:w="96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Results as Compared to 2019 Results</w:t>
      </w:r>
    </w:p>
    <w:p>
      <w:pPr>
        <w:spacing w:after="0" w:line="225"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The decrease in our total revenues during 2020, as compared to 2019, is attributable to decreases in our Hospitality segment and Entertainment segment revenues of $955.4 million and $124.7 million, respectively, as discussed more fully below.</w:t>
      </w:r>
    </w:p>
    <w:p>
      <w:pPr>
        <w:spacing w:after="0" w:line="184"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The decrease in total operating expenses during 2020, as compared to 2019, is primarily the result of decreases in Hospitality segment, Entertainment segment and Corporate segment expenses of $484.3 million, $48.3 million and $7.5 million respectively, partially offset by a credit loss on held-to-maturity investments that did not occur in the prior year of $32.8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above factors resulted in a $571.4 million decrease in operating income for 2020, as compared to 2019.</w:t>
      </w:r>
    </w:p>
    <w:p>
      <w:pPr>
        <w:spacing w:after="0" w:line="225" w:lineRule="exact"/>
        <w:rPr>
          <w:sz w:val="20"/>
          <w:szCs w:val="20"/>
          <w:color w:val="auto"/>
        </w:rPr>
      </w:pPr>
    </w:p>
    <w:p>
      <w:pPr>
        <w:ind w:left="60" w:right="159"/>
        <w:spacing w:after="0" w:line="308" w:lineRule="auto"/>
        <w:rPr>
          <w:sz w:val="20"/>
          <w:szCs w:val="20"/>
          <w:color w:val="auto"/>
        </w:rPr>
      </w:pPr>
      <w:r>
        <w:rPr>
          <w:rFonts w:ascii="Arial" w:cs="Arial" w:eastAsia="Arial" w:hAnsi="Arial"/>
          <w:sz w:val="17"/>
          <w:szCs w:val="17"/>
          <w:color w:val="auto"/>
        </w:rPr>
        <w:t>Our net loss of $460.8 million in 2020, as compared to net income of $128.3 million in 2019, was due to the change in our operating income described above, and the following factors, each as described more fully below:</w:t>
      </w:r>
    </w:p>
    <w:p>
      <w:pPr>
        <w:spacing w:after="0" w:line="146" w:lineRule="exact"/>
        <w:rPr>
          <w:sz w:val="20"/>
          <w:szCs w:val="20"/>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$15.8 million decrease in interest expense in 2020.</w:t>
      </w:r>
    </w:p>
    <w:p>
      <w:pPr>
        <w:spacing w:after="0" w:line="225"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$15.7 million increase in other losses, net in 2020, primarily due to the forfeiture of the $15.0 million deposit on the proposed Block 21 acquisition.</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$8.6 million increase in the provision for income taxes in 2020.</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$5.3 million increase in loss from unconsolidated joint ventures in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Detailed Segment Financial Information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Hospitality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 xml:space="preserve">Total Segment Results. </w:t>
      </w:r>
      <w:r>
        <w:rPr>
          <w:rFonts w:ascii="Arial" w:cs="Arial" w:eastAsia="Arial" w:hAnsi="Arial"/>
          <w:sz w:val="17"/>
          <w:szCs w:val="17"/>
          <w:color w:val="auto"/>
        </w:rPr>
        <w:t>The following presents the financial results of our Hospitality segment for the years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2019 and 2018 (in thousands, except percentages and performance metrics):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 Change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8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Rooms</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171,718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(69.2)%</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557,562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22.7</w:t>
            </w:r>
          </w:p>
        </w:tc>
        <w:tc>
          <w:tcPr>
            <w:tcW w:w="2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454,370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Food and beverage</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187,538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660,770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27.1</w:t>
            </w:r>
          </w:p>
        </w:tc>
        <w:tc>
          <w:tcPr>
            <w:tcW w:w="2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519,843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Borders>
              <w:bottom w:val="single" w:sz="8" w:color="CCEEFF"/>
            </w:tcBorders>
            <w:gridSpan w:val="2"/>
          </w:tcPr>
          <w:p>
            <w:pPr>
              <w:ind w:left="100"/>
              <w:spacing w:after="0" w:line="149" w:lineRule="exact"/>
              <w:rPr>
                <w:sz w:val="20"/>
                <w:szCs w:val="20"/>
                <w:color w:val="auto"/>
              </w:rPr>
            </w:pPr>
            <w:r>
              <w:rPr>
                <w:rFonts w:ascii="Arial" w:cs="Arial" w:eastAsia="Arial" w:hAnsi="Arial"/>
                <w:sz w:val="14"/>
                <w:szCs w:val="14"/>
                <w:color w:val="auto"/>
              </w:rPr>
              <w:t>Other hotel revenue</w:t>
            </w:r>
          </w:p>
        </w:tc>
        <w:tc>
          <w:tcPr>
            <w:tcW w:w="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106,789</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gridSpan w:val="3"/>
          </w:tcPr>
          <w:p>
            <w:pPr>
              <w:jc w:val="right"/>
              <w:ind w:right="80"/>
              <w:spacing w:after="0" w:line="149" w:lineRule="exact"/>
              <w:rPr>
                <w:sz w:val="20"/>
                <w:szCs w:val="20"/>
                <w:color w:val="auto"/>
              </w:rPr>
            </w:pPr>
            <w:r>
              <w:rPr>
                <w:rFonts w:ascii="Arial" w:cs="Arial" w:eastAsia="Arial" w:hAnsi="Arial"/>
                <w:sz w:val="14"/>
                <w:szCs w:val="14"/>
                <w:color w:val="auto"/>
              </w:rPr>
              <w:t>(47.4)%</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203,114</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gridSpan w:val="2"/>
          </w:tcPr>
          <w:p>
            <w:pPr>
              <w:jc w:val="right"/>
              <w:ind w:right="40"/>
              <w:spacing w:after="0" w:line="149" w:lineRule="exact"/>
              <w:rPr>
                <w:sz w:val="20"/>
                <w:szCs w:val="20"/>
                <w:color w:val="auto"/>
              </w:rPr>
            </w:pPr>
            <w:r>
              <w:rPr>
                <w:rFonts w:ascii="Arial" w:cs="Arial" w:eastAsia="Arial" w:hAnsi="Arial"/>
                <w:sz w:val="14"/>
                <w:szCs w:val="14"/>
                <w:color w:val="auto"/>
              </w:rPr>
              <w:t>32.2</w:t>
            </w:r>
          </w:p>
        </w:tc>
        <w:tc>
          <w:tcPr>
            <w:tcW w:w="20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153,690</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hospitality revenue</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466,045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(67.2)%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1,421,446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26.0</w:t>
            </w:r>
          </w:p>
        </w:tc>
        <w:tc>
          <w:tcPr>
            <w:tcW w:w="2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1,127,903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Hospitality operating expenses: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Rooms</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58,943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144,834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22.7</w:t>
            </w:r>
          </w:p>
        </w:tc>
        <w:tc>
          <w:tcPr>
            <w:tcW w:w="2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118,060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Food and beverage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146,141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(59.7)%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362,850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28.3</w:t>
            </w:r>
          </w:p>
        </w:tc>
        <w:tc>
          <w:tcPr>
            <w:tcW w:w="2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282,906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hotel expenses</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260,690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409,883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20.7</w:t>
            </w:r>
          </w:p>
        </w:tc>
        <w:tc>
          <w:tcPr>
            <w:tcW w:w="2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339,529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Management fees, net</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7,066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39,608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28.8</w:t>
            </w:r>
          </w:p>
        </w:tc>
        <w:tc>
          <w:tcPr>
            <w:tcW w:w="2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30,744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8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198,073</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201,068</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84.8</w:t>
            </w:r>
          </w:p>
        </w:tc>
        <w:tc>
          <w:tcPr>
            <w:tcW w:w="2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108,779</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Borders>
              <w:bottom w:val="single" w:sz="8" w:color="CCEEFF"/>
            </w:tcBorders>
            <w:gridSpan w:val="2"/>
          </w:tcPr>
          <w:p>
            <w:pPr>
              <w:ind w:left="220"/>
              <w:spacing w:after="0" w:line="142" w:lineRule="exact"/>
              <w:rPr>
                <w:sz w:val="20"/>
                <w:szCs w:val="20"/>
                <w:color w:val="auto"/>
              </w:rPr>
            </w:pPr>
            <w:r>
              <w:rPr>
                <w:rFonts w:ascii="Arial" w:cs="Arial" w:eastAsia="Arial" w:hAnsi="Arial"/>
                <w:sz w:val="14"/>
                <w:szCs w:val="14"/>
                <w:color w:val="auto"/>
              </w:rPr>
              <w:t>Total Hospitality operating expenses</w:t>
            </w:r>
          </w:p>
        </w:tc>
        <w:tc>
          <w:tcPr>
            <w:tcW w:w="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670,913</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gridSpan w:val="3"/>
          </w:tcPr>
          <w:p>
            <w:pPr>
              <w:jc w:val="right"/>
              <w:ind w:right="80"/>
              <w:spacing w:after="0" w:line="142" w:lineRule="exact"/>
              <w:rPr>
                <w:sz w:val="20"/>
                <w:szCs w:val="20"/>
                <w:color w:val="auto"/>
              </w:rPr>
            </w:pPr>
            <w:r>
              <w:rPr>
                <w:rFonts w:ascii="Arial" w:cs="Arial" w:eastAsia="Arial" w:hAnsi="Arial"/>
                <w:sz w:val="14"/>
                <w:szCs w:val="14"/>
                <w:color w:val="auto"/>
              </w:rPr>
              <w:t>(42.1)%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1,158,243</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gridSpan w:val="2"/>
          </w:tcPr>
          <w:p>
            <w:pPr>
              <w:jc w:val="right"/>
              <w:ind w:right="40"/>
              <w:spacing w:after="0" w:line="142" w:lineRule="exact"/>
              <w:rPr>
                <w:sz w:val="20"/>
                <w:szCs w:val="20"/>
                <w:color w:val="auto"/>
              </w:rPr>
            </w:pPr>
            <w:r>
              <w:rPr>
                <w:rFonts w:ascii="Arial" w:cs="Arial" w:eastAsia="Arial" w:hAnsi="Arial"/>
                <w:sz w:val="14"/>
                <w:szCs w:val="14"/>
                <w:color w:val="auto"/>
              </w:rPr>
              <w:t>31.6</w:t>
            </w:r>
          </w:p>
        </w:tc>
        <w:tc>
          <w:tcPr>
            <w:tcW w:w="20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880,018</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Hospitality operating income (loss) (1)(2)</w:t>
            </w: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(204,868)</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(177.8)%</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263,203</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6.2</w:t>
            </w:r>
          </w:p>
        </w:tc>
        <w:tc>
          <w:tcPr>
            <w:tcW w:w="20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247,885</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gridSpan w:val="3"/>
            <w:vMerge w:val="restart"/>
          </w:tcPr>
          <w:p>
            <w:pPr>
              <w:ind w:left="20"/>
              <w:spacing w:after="0"/>
              <w:rPr>
                <w:sz w:val="20"/>
                <w:szCs w:val="20"/>
                <w:color w:val="auto"/>
              </w:rPr>
            </w:pPr>
            <w:r>
              <w:rPr>
                <w:rFonts w:ascii="Arial" w:cs="Arial" w:eastAsia="Arial" w:hAnsi="Arial"/>
                <w:sz w:val="14"/>
                <w:szCs w:val="14"/>
                <w:color w:val="auto"/>
              </w:rPr>
              <w:t>Hospitality performance metrics:</w:t>
            </w: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4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Occupancy</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(52.6)pts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w:t>
            </w: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w:t>
            </w:r>
          </w:p>
        </w:tc>
        <w:tc>
          <w:tcPr>
            <w:tcW w:w="2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85"/>
              </w:rPr>
              <w:t>pts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ADR</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200.02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0.4 %</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199.26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2.4 %</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194.64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RevPAR (3)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(69.3)%</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151.09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2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146.50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Total RevPAR (4)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125.95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(67.3)%</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385.20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w:t>
            </w:r>
          </w:p>
        </w:tc>
        <w:tc>
          <w:tcPr>
            <w:tcW w:w="2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363.66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Net Definite Group Room Nights Booked (5)</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(783,000)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2,216,000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2,465,000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Same-store Hospitality performance metrics (6):</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Occupancy</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(53.9)pts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77.0</w:t>
            </w: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2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85"/>
              </w:rPr>
              <w:t>pts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ADR</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201.29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1.0 %</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199.31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2.4 %</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194.64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RevPAR (3)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(69.7)%</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153.42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w:t>
            </w:r>
          </w:p>
        </w:tc>
        <w:tc>
          <w:tcPr>
            <w:tcW w:w="2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146.50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Total RevPAR (4)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121.02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(68.2)%</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380.26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w:t>
            </w:r>
          </w:p>
        </w:tc>
        <w:tc>
          <w:tcPr>
            <w:tcW w:w="2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363.66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Net Definite Group Room Nights Booked (5)</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(670,000)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1,836,000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2,106,000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139" w:hanging="330"/>
        <w:spacing w:after="0" w:line="279"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Hospitality segment operating income (loss) does not include preopening costs of $0.3 million, $1.3 million and $2.9 million in 2020, 2019 and 2018, respectively. Hospitality segment operating income also does not include gain on sale of assets of $1.2 million and credit losses on held-to-maturity securities of $32.8 million in 2020 or income from unconsolidated joint ventures of $124.4 million in 2018. See the discussion of the 2020 items below.</w:t>
      </w:r>
    </w:p>
    <w:p>
      <w:pPr>
        <w:spacing w:after="0" w:line="171" w:lineRule="exact"/>
        <w:rPr>
          <w:rFonts w:ascii="Arial" w:cs="Arial" w:eastAsia="Arial" w:hAnsi="Arial"/>
          <w:sz w:val="17"/>
          <w:szCs w:val="17"/>
          <w:color w:val="auto"/>
        </w:rPr>
      </w:pPr>
    </w:p>
    <w:p>
      <w:pPr>
        <w:ind w:left="380" w:right="199" w:hanging="330"/>
        <w:spacing w:after="0" w:line="308"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Net of CARES Act payroll credits, Hospitality segment operating loss for 2020 includes approximately $34.5 million in expenses directly related to the COVID-19 pandemic, which are primarily employment costs.</w:t>
      </w:r>
    </w:p>
    <w:p>
      <w:pPr>
        <w:spacing w:after="0" w:line="146" w:lineRule="exact"/>
        <w:rPr>
          <w:rFonts w:ascii="Arial" w:cs="Arial" w:eastAsia="Arial" w:hAnsi="Arial"/>
          <w:sz w:val="17"/>
          <w:szCs w:val="17"/>
          <w:color w:val="auto"/>
        </w:rPr>
      </w:pPr>
    </w:p>
    <w:p>
      <w:pPr>
        <w:jc w:val="both"/>
        <w:ind w:left="380" w:right="559" w:hanging="330"/>
        <w:spacing w:after="0" w:line="263"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calculate Hospitality segment RevPAR by dividing rooms revenue by room nights available to guests for the period. Room nights available to guests include nights the hotels are closed. Hospitality segment RevPAR is not comparable to similarly titled measures such as revenues.</w:t>
      </w:r>
    </w:p>
    <w:p>
      <w:pPr>
        <w:spacing w:after="0" w:line="183" w:lineRule="exact"/>
        <w:rPr>
          <w:rFonts w:ascii="Arial" w:cs="Arial" w:eastAsia="Arial" w:hAnsi="Arial"/>
          <w:sz w:val="18"/>
          <w:szCs w:val="18"/>
          <w:color w:val="auto"/>
        </w:rPr>
      </w:pPr>
    </w:p>
    <w:p>
      <w:pPr>
        <w:jc w:val="both"/>
        <w:ind w:left="380" w:right="139" w:hanging="330"/>
        <w:spacing w:after="0" w:line="259"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calculate Hospitality segment Total RevPAR by dividing the sum of room, food and beverage, and other ancillary services revenue (which equals Hospitality segment revenue) by room nights available to guests for the period. Room nights available to guests include nights the hotels are closed. Hospitality segment Total RevPAR is not comparable to similarly titled measures such as revenues.</w:t>
      </w:r>
    </w:p>
    <w:p>
      <w:pPr>
        <w:spacing w:after="0" w:line="186" w:lineRule="exact"/>
        <w:rPr>
          <w:rFonts w:ascii="Arial" w:cs="Arial" w:eastAsia="Arial" w:hAnsi="Arial"/>
          <w:sz w:val="18"/>
          <w:szCs w:val="18"/>
          <w:color w:val="auto"/>
        </w:rPr>
      </w:pPr>
    </w:p>
    <w:p>
      <w:pPr>
        <w:ind w:left="380" w:right="699" w:hanging="330"/>
        <w:spacing w:after="0" w:line="308"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Net definite room nights booked for 2020 includes approximately 2.4 million group room cancellations for the Hospitality segment and 2.0 million group room cancellations for same-store Hospitality segment.</w:t>
      </w:r>
    </w:p>
    <w:p>
      <w:pPr>
        <w:spacing w:after="0" w:line="146" w:lineRule="exact"/>
        <w:rPr>
          <w:rFonts w:ascii="Arial" w:cs="Arial" w:eastAsia="Arial" w:hAnsi="Arial"/>
          <w:sz w:val="17"/>
          <w:szCs w:val="17"/>
          <w:color w:val="auto"/>
        </w:rPr>
      </w:pPr>
    </w:p>
    <w:p>
      <w:pPr>
        <w:ind w:left="380" w:right="419" w:hanging="330"/>
        <w:spacing w:after="0" w:line="277"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Same-store Hospitality segment performance metrics do not include Gaylord Rockies, which opened in December 2018.</w:t>
      </w:r>
    </w:p>
    <w:p>
      <w:pPr>
        <w:spacing w:after="0" w:line="170"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Total Hospitality revenues in 2020 include $32.8 million in attrition and cancellation fee collections, a $14.5 million increase from 2019.</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percentage of group versus transient business based on rooms sold for our Hospitality segment for the years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was approximately as follows:</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Transient</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48 %</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28 %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29 %</w:t>
            </w:r>
          </w:p>
        </w:tc>
      </w:tr>
    </w:tbl>
    <w:p>
      <w:pPr>
        <w:spacing w:after="0" w:line="18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type of group based on rooms sold for our Hospitality segment for the years ended December 31 was approximately as follows: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Corporate Groups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Associations</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24 %</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29 %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Groups</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15 %</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hotel expenses for the following years ended December 31 included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10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0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4"/>
                <w:szCs w:val="14"/>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8"/>
              </w:rPr>
              <w:t>Administrative employment costs</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84,599</w:t>
            </w:r>
          </w:p>
        </w:tc>
        <w:tc>
          <w:tcPr>
            <w:tcW w:w="160" w:type="dxa"/>
            <w:vAlign w:val="bottom"/>
            <w:vMerge w:val="continue"/>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$ 147,302</w:t>
            </w:r>
          </w:p>
        </w:tc>
        <w:tc>
          <w:tcPr>
            <w:tcW w:w="1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Utilities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23,628</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(25.3)%</w:t>
            </w:r>
          </w:p>
        </w:tc>
        <w:tc>
          <w:tcPr>
            <w:tcW w:w="780" w:type="dxa"/>
            <w:vAlign w:val="bottom"/>
          </w:tcPr>
          <w:p>
            <w:pPr>
              <w:jc w:val="right"/>
              <w:spacing w:after="0"/>
              <w:rPr>
                <w:sz w:val="20"/>
                <w:szCs w:val="20"/>
                <w:color w:val="auto"/>
              </w:rPr>
            </w:pPr>
            <w:r>
              <w:rPr>
                <w:rFonts w:ascii="Arial" w:cs="Arial" w:eastAsia="Arial" w:hAnsi="Arial"/>
                <w:sz w:val="18"/>
                <w:szCs w:val="18"/>
                <w:color w:val="auto"/>
              </w:rPr>
              <w:t>31,624</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16.9 %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36,823</w:t>
            </w:r>
          </w:p>
        </w:tc>
        <w:tc>
          <w:tcPr>
            <w:tcW w:w="10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35,736</w:t>
            </w: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5.5 %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115,640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(40.8)%</w:t>
            </w:r>
          </w:p>
        </w:tc>
        <w:tc>
          <w:tcPr>
            <w:tcW w:w="780" w:type="dxa"/>
            <w:vAlign w:val="bottom"/>
          </w:tcPr>
          <w:p>
            <w:pPr>
              <w:jc w:val="right"/>
              <w:spacing w:after="0"/>
              <w:rPr>
                <w:sz w:val="20"/>
                <w:szCs w:val="20"/>
                <w:color w:val="auto"/>
              </w:rPr>
            </w:pPr>
            <w:r>
              <w:rPr>
                <w:rFonts w:ascii="Arial" w:cs="Arial" w:eastAsia="Arial" w:hAnsi="Arial"/>
                <w:sz w:val="18"/>
                <w:szCs w:val="18"/>
                <w:color w:val="auto"/>
              </w:rPr>
              <w:t>195,221</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161,286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other hotel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260,690</w:t>
            </w:r>
          </w:p>
        </w:tc>
        <w:tc>
          <w:tcPr>
            <w:tcW w:w="1060" w:type="dxa"/>
            <w:vAlign w:val="bottom"/>
            <w:tcBorders>
              <w:top w:val="single" w:sz="8" w:color="CCEEFF"/>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$ 409,883</w:t>
            </w:r>
          </w:p>
        </w:tc>
        <w:tc>
          <w:tcPr>
            <w:tcW w:w="1060" w:type="dxa"/>
            <w:vAlign w:val="bottom"/>
            <w:tcBorders>
              <w:top w:val="single" w:sz="8" w:color="CCEEFF"/>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20.7 %</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339,529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Administrative employment costs include salaries and benefits for hotel administrative functions, including, among others, senior management, accounting, human resources, sales, conference services, engineering and security. Administrative employment costs decreased during 2020, as compared to 2019, primarily due to hotel closures and cost containment efforts at each of our Gaylord Hotels properties. Utility costs decreased during 2020, as compared to 2019, primarily due to decreases at each of our Gaylord Hotels properties due to lower usage. Property taxes increased slightly during 2020, as compared to 2019, primarily due to slight increases at Gaylord National and Gaylord Rockies. Other expenses, which include supplies, advertising, maintenance costs and consulting costs, decreased during 2020, as compared to 2019, primarily as a result of various decreases at each of our Gaylord Hotels properties due to hotel closures and were aided by cost containment initiatives as a result of the COVID-19 pandemic.</w:t>
      </w:r>
    </w:p>
    <w:p>
      <w:pPr>
        <w:spacing w:after="0" w:line="181"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As discussed above, each of our management agreements with Marriott for our four wholly-owned Gaylord Hotels properties requires us to pay Marriott a base management fee of approximately 2% of gross revenues from the applicable property for each fiscal year or portion thereof. Additionally, an incentive fee is based on the profitability of our four wholly-owned Gaylord Hotels properties calculated on a pooled basis. The Gaylord Rockies’ management agreement with Marriott requires Gaylord Rockies to pay a base management fee of 3% of gross revenues for each fiscal year or portion thereof, as well as an incentive management fee based on the profitability of the hotel. We incurred $10.2 million, $30.9 million and $22.7 million in total base management fees to Marriott related to our Hospitality segment during 2020, 2019 and 2018, respectively. We also incurred $0, $11.8 million and $11.3 million related to incentive management fees for our Hospitality segment during 2020, 2019 and 2018, respectively. Management fees are presented throughout this Annual Report on Form 10-K net of the amortization of the deferred management rights proceeds discussed in Note 6, “Deferred Management Rights Proceeds,” to the consolidated financial statements included herein.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Hospitality segment depreciation and amortization expense decreased slightly in 2020, as compared to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i w:val="1"/>
          <w:iCs w:val="1"/>
          <w:color w:val="auto"/>
        </w:rPr>
        <w:t xml:space="preserve">Property-Level Results. </w:t>
      </w:r>
      <w:r>
        <w:rPr>
          <w:rFonts w:ascii="Arial" w:cs="Arial" w:eastAsia="Arial" w:hAnsi="Arial"/>
          <w:sz w:val="17"/>
          <w:szCs w:val="17"/>
          <w:color w:val="auto"/>
        </w:rPr>
        <w:t>The following presents property-level financial results for our four wholly-owned Gaylord Hotels</w:t>
      </w:r>
      <w:r>
        <w:rPr>
          <w:rFonts w:ascii="Arial" w:cs="Arial" w:eastAsia="Arial" w:hAnsi="Arial"/>
          <w:sz w:val="17"/>
          <w:szCs w:val="17"/>
          <w:i w:val="1"/>
          <w:iCs w:val="1"/>
          <w:color w:val="auto"/>
        </w:rPr>
        <w:t xml:space="preserve"> </w:t>
      </w:r>
      <w:r>
        <w:rPr>
          <w:rFonts w:ascii="Arial" w:cs="Arial" w:eastAsia="Arial" w:hAnsi="Arial"/>
          <w:sz w:val="17"/>
          <w:szCs w:val="17"/>
          <w:color w:val="auto"/>
        </w:rPr>
        <w:t>properties for the years ended December 31, 2020, 2019 and 2018 and for Gaylord Rockies for the years ended December 31, 2020 and 2019. In 2020, the Gaylord Hotels properties experienced higher levels of attrition and cancellations which are directly related to the COVID-19 pandemic. Therefore, the property-level financial results for 2020 are not comparable to the prior year periods. Total revenue at each of our Gaylord Hotels properties was lower than anticipated for 2020 due to the COVID-19 pandemic. Operating costs at each of our Gaylord Hotels properties were lower for 2020 as a result of cost containment initiatives and the temporary property closures that began in late-March 2020 due to the COVID-19 pandemic, as well as lower business levels after reopening.</w:t>
      </w:r>
    </w:p>
    <w:p>
      <w:pPr>
        <w:spacing w:after="0" w:line="178"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years ended December 31, 2020, 2019 and 2018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 Change</w:t>
            </w:r>
          </w:p>
        </w:tc>
        <w:tc>
          <w:tcPr>
            <w:tcW w:w="620" w:type="dxa"/>
            <w:vAlign w:val="bottom"/>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1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00"/>
              <w:spacing w:after="0"/>
              <w:rPr>
                <w:sz w:val="20"/>
                <w:szCs w:val="20"/>
                <w:color w:val="auto"/>
              </w:rPr>
            </w:pPr>
            <w:r>
              <w:rPr>
                <w:rFonts w:ascii="Arial" w:cs="Arial" w:eastAsia="Arial" w:hAnsi="Arial"/>
                <w:sz w:val="16"/>
                <w:szCs w:val="16"/>
                <w:color w:val="auto"/>
              </w:rPr>
              <w:t>Rooms</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53,272</w:t>
            </w:r>
          </w:p>
        </w:tc>
        <w:tc>
          <w:tcPr>
            <w:tcW w:w="16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(67.2)%</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162,577</w:t>
            </w:r>
          </w:p>
        </w:tc>
        <w:tc>
          <w:tcPr>
            <w:tcW w:w="22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4.6% $</w:t>
            </w:r>
          </w:p>
        </w:tc>
        <w:tc>
          <w:tcPr>
            <w:tcW w:w="620" w:type="dxa"/>
            <w:vAlign w:val="bottom"/>
          </w:tcPr>
          <w:p>
            <w:pPr>
              <w:jc w:val="right"/>
              <w:spacing w:after="0"/>
              <w:rPr>
                <w:sz w:val="20"/>
                <w:szCs w:val="20"/>
                <w:color w:val="auto"/>
              </w:rPr>
            </w:pPr>
            <w:r>
              <w:rPr>
                <w:rFonts w:ascii="Arial" w:cs="Arial" w:eastAsia="Arial" w:hAnsi="Arial"/>
                <w:sz w:val="16"/>
                <w:szCs w:val="16"/>
                <w:color w:val="auto"/>
                <w:w w:val="89"/>
              </w:rPr>
              <w:t>155,501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48,086</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(69.6)%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157,933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155,417</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hotel revenue</w:t>
            </w:r>
          </w:p>
        </w:tc>
        <w:tc>
          <w:tcPr>
            <w:tcW w:w="1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31,975</w:t>
            </w: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6"/>
                <w:szCs w:val="16"/>
                <w:color w:val="auto"/>
              </w:rPr>
              <w:t>(50.9)%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65,100</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18.2 %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55,081</w:t>
            </w:r>
          </w:p>
        </w:tc>
        <w:tc>
          <w:tcPr>
            <w:tcW w:w="14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133,333</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(65.4)%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385,610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365,999</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16,119</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(56.7)%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36,547</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37,309</w:t>
            </w:r>
          </w:p>
        </w:tc>
        <w:tc>
          <w:tcPr>
            <w:tcW w:w="16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(55.8)%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84,351</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81,408</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72,601</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(36.7)%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114,716</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104,405</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00"/>
              <w:spacing w:after="0"/>
              <w:rPr>
                <w:sz w:val="20"/>
                <w:szCs w:val="20"/>
                <w:color w:val="auto"/>
              </w:rPr>
            </w:pPr>
            <w:r>
              <w:rPr>
                <w:rFonts w:ascii="Arial" w:cs="Arial" w:eastAsia="Arial" w:hAnsi="Arial"/>
                <w:sz w:val="16"/>
                <w:szCs w:val="16"/>
                <w:color w:val="auto"/>
              </w:rPr>
              <w:t>Management fees, net</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1,681</w:t>
            </w:r>
          </w:p>
        </w:tc>
        <w:tc>
          <w:tcPr>
            <w:tcW w:w="16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(86.0)%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12,024</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12,016</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35,126</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1.0 %</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34,794</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34,665</w:t>
            </w:r>
          </w:p>
        </w:tc>
        <w:tc>
          <w:tcPr>
            <w:tcW w:w="14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(1)(2)</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162,836</w:t>
            </w:r>
          </w:p>
        </w:tc>
        <w:tc>
          <w:tcPr>
            <w:tcW w:w="16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(42.5)%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283,088</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269,041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00"/>
              <w:spacing w:after="0"/>
              <w:rPr>
                <w:sz w:val="20"/>
                <w:szCs w:val="20"/>
                <w:color w:val="auto"/>
              </w:rPr>
            </w:pPr>
            <w:r>
              <w:rPr>
                <w:rFonts w:ascii="Arial" w:cs="Arial" w:eastAsia="Arial" w:hAnsi="Arial"/>
                <w:sz w:val="16"/>
                <w:szCs w:val="16"/>
                <w:color w:val="auto"/>
              </w:rPr>
              <w:t>Occupancy</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25.0 %</w:t>
            </w:r>
          </w:p>
        </w:tc>
        <w:tc>
          <w:tcPr>
            <w:tcW w:w="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(53.5)pts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78.5 %</w:t>
            </w:r>
          </w:p>
        </w:tc>
        <w:tc>
          <w:tcPr>
            <w:tcW w:w="1000" w:type="dxa"/>
            <w:vAlign w:val="bottom"/>
            <w:gridSpan w:val="3"/>
          </w:tcPr>
          <w:p>
            <w:pPr>
              <w:jc w:val="right"/>
              <w:ind w:right="140"/>
              <w:spacing w:after="0"/>
              <w:rPr>
                <w:sz w:val="20"/>
                <w:szCs w:val="20"/>
                <w:color w:val="auto"/>
              </w:rPr>
            </w:pPr>
            <w:r>
              <w:rPr>
                <w:rFonts w:ascii="Arial" w:cs="Arial" w:eastAsia="Arial" w:hAnsi="Arial"/>
                <w:sz w:val="16"/>
                <w:szCs w:val="16"/>
                <w:color w:val="auto"/>
              </w:rPr>
              <w:t>1.3 pts</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77.2 %</w:t>
            </w: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201.82</w:t>
            </w:r>
          </w:p>
        </w:tc>
        <w:tc>
          <w:tcPr>
            <w:tcW w:w="16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2.7%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196.54</w:t>
            </w: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2.8%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191.17</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00"/>
              <w:spacing w:after="0"/>
              <w:rPr>
                <w:sz w:val="20"/>
                <w:szCs w:val="20"/>
                <w:color w:val="auto"/>
              </w:rPr>
            </w:pPr>
            <w:r>
              <w:rPr>
                <w:rFonts w:ascii="Arial" w:cs="Arial" w:eastAsia="Arial" w:hAnsi="Arial"/>
                <w:sz w:val="16"/>
                <w:szCs w:val="16"/>
                <w:color w:val="auto"/>
              </w:rPr>
              <w:t>RevPAR</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50.40</w:t>
            </w:r>
          </w:p>
        </w:tc>
        <w:tc>
          <w:tcPr>
            <w:tcW w:w="16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(67.3)%</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154.23</w:t>
            </w:r>
          </w:p>
        </w:tc>
        <w:tc>
          <w:tcPr>
            <w:tcW w:w="22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4.5% $</w:t>
            </w:r>
          </w:p>
        </w:tc>
        <w:tc>
          <w:tcPr>
            <w:tcW w:w="620" w:type="dxa"/>
            <w:vAlign w:val="bottom"/>
          </w:tcPr>
          <w:p>
            <w:pPr>
              <w:jc w:val="right"/>
              <w:spacing w:after="0"/>
              <w:rPr>
                <w:sz w:val="20"/>
                <w:szCs w:val="20"/>
                <w:color w:val="auto"/>
              </w:rPr>
            </w:pPr>
            <w:r>
              <w:rPr>
                <w:rFonts w:ascii="Arial" w:cs="Arial" w:eastAsia="Arial" w:hAnsi="Arial"/>
                <w:sz w:val="16"/>
                <w:szCs w:val="16"/>
                <w:color w:val="auto"/>
              </w:rPr>
              <w:t>147.52</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126.14</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(65.5)%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365.81</w:t>
            </w: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5.4%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347.21</w:t>
            </w:r>
          </w:p>
        </w:tc>
        <w:tc>
          <w:tcPr>
            <w:tcW w:w="140" w:type="dxa"/>
            <w:vAlign w:val="bottom"/>
            <w:shd w:val="clear" w:color="auto" w:fill="CCEEFF"/>
          </w:tcPr>
          <w:p>
            <w:pPr>
              <w:spacing w:after="0"/>
              <w:rPr>
                <w:sz w:val="17"/>
                <w:szCs w:val="17"/>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67" w:lineRule="exact"/>
        <w:rPr>
          <w:sz w:val="20"/>
          <w:szCs w:val="20"/>
          <w:color w:val="auto"/>
        </w:rPr>
      </w:pPr>
    </w:p>
    <w:p>
      <w:pPr>
        <w:ind w:left="720" w:right="27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Gaylord Opryland operating expenses do not include preopening costs of $0.1 million and $0.9 million in 2019 and 2018, respectively, and a gain on sale of assets of $1.2 million in 2020.</w:t>
      </w:r>
    </w:p>
    <w:p>
      <w:pPr>
        <w:spacing w:after="0" w:line="170" w:lineRule="exact"/>
        <w:rPr>
          <w:rFonts w:ascii="Arial" w:cs="Arial" w:eastAsia="Arial" w:hAnsi="Arial"/>
          <w:sz w:val="18"/>
          <w:szCs w:val="18"/>
          <w:color w:val="auto"/>
        </w:rPr>
      </w:pPr>
    </w:p>
    <w:p>
      <w:pPr>
        <w:ind w:left="720" w:right="319" w:hanging="319"/>
        <w:spacing w:after="0" w:line="342"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Net of CARES Act payroll credits, Gaylord Opryland operating expenses for 2020 include approximately $7.1 million in expenses directly related to the COVID-19 pandemic, which are primarily employment costs.</w:t>
      </w:r>
    </w:p>
    <w:p>
      <w:pPr>
        <w:spacing w:after="0" w:line="124"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Rooms revenue and RevPAR were negatively impacted in 2019 by a rooms renovation project, which resulted in approximately 31,500 room nights out of service during 2019. The rooms renovation project was completed in the fourth quarter of 2019.</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The results of Gaylord Palms for the years ended December 31, 2020, 2019 and 2018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7"/>
              </w:rPr>
              <w:t>% Change</w:t>
            </w:r>
          </w:p>
        </w:tc>
        <w:tc>
          <w:tcPr>
            <w:tcW w:w="620" w:type="dxa"/>
            <w:vAlign w:val="bottom"/>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r>
      <w:tr>
        <w:trPr>
          <w:trHeight w:val="196"/>
        </w:trPr>
        <w:tc>
          <w:tcPr>
            <w:tcW w:w="120" w:type="dxa"/>
            <w:vAlign w:val="bottom"/>
          </w:tcPr>
          <w:p>
            <w:pPr>
              <w:spacing w:after="0"/>
              <w:rPr>
                <w:sz w:val="17"/>
                <w:szCs w:val="17"/>
                <w:color w:val="auto"/>
              </w:rPr>
            </w:pPr>
          </w:p>
        </w:tc>
        <w:tc>
          <w:tcPr>
            <w:tcW w:w="4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tcPr>
          <w:p>
            <w:pPr>
              <w:ind w:left="100"/>
              <w:spacing w:after="0"/>
              <w:rPr>
                <w:sz w:val="20"/>
                <w:szCs w:val="20"/>
                <w:color w:val="auto"/>
              </w:rPr>
            </w:pPr>
            <w:r>
              <w:rPr>
                <w:rFonts w:ascii="Arial" w:cs="Arial" w:eastAsia="Arial" w:hAnsi="Arial"/>
                <w:sz w:val="16"/>
                <w:szCs w:val="16"/>
                <w:color w:val="auto"/>
              </w:rPr>
              <w:t>Rooms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28,455</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(63.7)%</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78,392</w:t>
            </w:r>
          </w:p>
        </w:tc>
        <w:tc>
          <w:tcPr>
            <w:tcW w:w="200" w:type="dxa"/>
            <w:vAlign w:val="bottom"/>
          </w:tcPr>
          <w:p>
            <w:pPr>
              <w:spacing w:after="0"/>
              <w:rPr>
                <w:sz w:val="17"/>
                <w:szCs w:val="17"/>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6"/>
                <w:szCs w:val="16"/>
                <w:color w:val="auto"/>
              </w:rPr>
              <w:t>1.9% $</w:t>
            </w:r>
          </w:p>
        </w:tc>
        <w:tc>
          <w:tcPr>
            <w:tcW w:w="620" w:type="dxa"/>
            <w:vAlign w:val="bottom"/>
          </w:tcPr>
          <w:p>
            <w:pPr>
              <w:jc w:val="right"/>
              <w:spacing w:after="0"/>
              <w:rPr>
                <w:sz w:val="20"/>
                <w:szCs w:val="20"/>
                <w:color w:val="auto"/>
              </w:rPr>
            </w:pPr>
            <w:r>
              <w:rPr>
                <w:rFonts w:ascii="Arial" w:cs="Arial" w:eastAsia="Arial" w:hAnsi="Arial"/>
                <w:sz w:val="16"/>
                <w:szCs w:val="16"/>
                <w:color w:val="auto"/>
              </w:rPr>
              <w:t>76,901</w:t>
            </w:r>
          </w:p>
        </w:tc>
        <w:tc>
          <w:tcPr>
            <w:tcW w:w="14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29,876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98,831</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95,955</w:t>
            </w:r>
          </w:p>
        </w:tc>
        <w:tc>
          <w:tcPr>
            <w:tcW w:w="14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19,488</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(37.3)%</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31,075</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11.4 %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27,907</w:t>
            </w:r>
          </w:p>
        </w:tc>
        <w:tc>
          <w:tcPr>
            <w:tcW w:w="140" w:type="dxa"/>
            <w:vAlign w:val="bottom"/>
            <w:tcBorders>
              <w:bottom w:val="single" w:sz="8" w:color="CCEEFF"/>
            </w:tcBorders>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77,819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208,298</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200,763</w:t>
            </w:r>
          </w:p>
        </w:tc>
        <w:tc>
          <w:tcPr>
            <w:tcW w:w="14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16,662</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16,960</w:t>
            </w:r>
          </w:p>
        </w:tc>
        <w:tc>
          <w:tcPr>
            <w:tcW w:w="14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21,434</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(58.7)%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51,865</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50,538</w:t>
            </w:r>
          </w:p>
        </w:tc>
        <w:tc>
          <w:tcPr>
            <w:tcW w:w="14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52,909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73,837</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71,397</w:t>
            </w:r>
          </w:p>
        </w:tc>
        <w:tc>
          <w:tcPr>
            <w:tcW w:w="14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tcPr>
          <w:p>
            <w:pPr>
              <w:ind w:left="100"/>
              <w:spacing w:after="0"/>
              <w:rPr>
                <w:sz w:val="20"/>
                <w:szCs w:val="20"/>
                <w:color w:val="auto"/>
              </w:rPr>
            </w:pPr>
            <w:r>
              <w:rPr>
                <w:rFonts w:ascii="Arial" w:cs="Arial" w:eastAsia="Arial" w:hAnsi="Arial"/>
                <w:sz w:val="16"/>
                <w:szCs w:val="16"/>
                <w:color w:val="auto"/>
              </w:rPr>
              <w:t>Management fees, net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1,017</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5,868</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11.2 %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5,275</w:t>
            </w:r>
          </w:p>
        </w:tc>
        <w:tc>
          <w:tcPr>
            <w:tcW w:w="14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16,586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(14.5)%</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19,393</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19,465</w:t>
            </w:r>
          </w:p>
        </w:tc>
        <w:tc>
          <w:tcPr>
            <w:tcW w:w="140" w:type="dxa"/>
            <w:vAlign w:val="bottom"/>
            <w:shd w:val="clear" w:color="auto" w:fill="CCEEFF"/>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(1)(2)</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99,748</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(40.5)%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167,625</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163,635</w:t>
            </w:r>
          </w:p>
        </w:tc>
        <w:tc>
          <w:tcPr>
            <w:tcW w:w="14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tcPr>
          <w:p>
            <w:pPr>
              <w:ind w:left="100"/>
              <w:spacing w:after="0"/>
              <w:rPr>
                <w:sz w:val="20"/>
                <w:szCs w:val="20"/>
                <w:color w:val="auto"/>
              </w:rPr>
            </w:pPr>
            <w:r>
              <w:rPr>
                <w:rFonts w:ascii="Arial" w:cs="Arial" w:eastAsia="Arial" w:hAnsi="Arial"/>
                <w:sz w:val="16"/>
                <w:szCs w:val="16"/>
                <w:color w:val="auto"/>
              </w:rPr>
              <w:t>Occupancy</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26.2 %</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(51.2)pts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77.4 %</w:t>
            </w: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(0.1)pts</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77.5 %</w:t>
            </w:r>
          </w:p>
        </w:tc>
      </w:tr>
      <w:tr>
        <w:trPr>
          <w:trHeight w:val="202"/>
        </w:trPr>
        <w:tc>
          <w:tcPr>
            <w:tcW w:w="120" w:type="dxa"/>
            <w:vAlign w:val="bottom"/>
          </w:tcPr>
          <w:p>
            <w:pPr>
              <w:spacing w:after="0"/>
              <w:rPr>
                <w:sz w:val="17"/>
                <w:szCs w:val="17"/>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209.22</w:t>
            </w:r>
          </w:p>
        </w:tc>
        <w:tc>
          <w:tcPr>
            <w:tcW w:w="2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6.7%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196.06</w:t>
            </w:r>
          </w:p>
        </w:tc>
        <w:tc>
          <w:tcPr>
            <w:tcW w:w="2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2.1%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192.10</w:t>
            </w:r>
          </w:p>
        </w:tc>
        <w:tc>
          <w:tcPr>
            <w:tcW w:w="14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tcPr>
          <w:p>
            <w:pPr>
              <w:ind w:left="100"/>
              <w:spacing w:after="0"/>
              <w:rPr>
                <w:sz w:val="20"/>
                <w:szCs w:val="20"/>
                <w:color w:val="auto"/>
              </w:rPr>
            </w:pPr>
            <w:r>
              <w:rPr>
                <w:rFonts w:ascii="Arial" w:cs="Arial" w:eastAsia="Arial" w:hAnsi="Arial"/>
                <w:sz w:val="16"/>
                <w:szCs w:val="16"/>
                <w:color w:val="auto"/>
              </w:rPr>
              <w:t>RevPAR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54.91</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(63.8)%</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151.68</w:t>
            </w:r>
          </w:p>
        </w:tc>
        <w:tc>
          <w:tcPr>
            <w:tcW w:w="200" w:type="dxa"/>
            <w:vAlign w:val="bottom"/>
          </w:tcPr>
          <w:p>
            <w:pPr>
              <w:spacing w:after="0"/>
              <w:rPr>
                <w:sz w:val="17"/>
                <w:szCs w:val="17"/>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6"/>
                <w:szCs w:val="16"/>
                <w:color w:val="auto"/>
              </w:rPr>
              <w:t>1.9% $</w:t>
            </w:r>
          </w:p>
        </w:tc>
        <w:tc>
          <w:tcPr>
            <w:tcW w:w="620" w:type="dxa"/>
            <w:vAlign w:val="bottom"/>
          </w:tcPr>
          <w:p>
            <w:pPr>
              <w:jc w:val="right"/>
              <w:spacing w:after="0"/>
              <w:rPr>
                <w:sz w:val="20"/>
                <w:szCs w:val="20"/>
                <w:color w:val="auto"/>
              </w:rPr>
            </w:pPr>
            <w:r>
              <w:rPr>
                <w:rFonts w:ascii="Arial" w:cs="Arial" w:eastAsia="Arial" w:hAnsi="Arial"/>
                <w:sz w:val="16"/>
                <w:szCs w:val="16"/>
                <w:color w:val="auto"/>
              </w:rPr>
              <w:t>148.79</w:t>
            </w:r>
          </w:p>
        </w:tc>
        <w:tc>
          <w:tcPr>
            <w:tcW w:w="14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150.15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403.02</w:t>
            </w:r>
          </w:p>
        </w:tc>
        <w:tc>
          <w:tcPr>
            <w:tcW w:w="2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3.8%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388.44</w:t>
            </w:r>
          </w:p>
        </w:tc>
        <w:tc>
          <w:tcPr>
            <w:tcW w:w="140" w:type="dxa"/>
            <w:vAlign w:val="bottom"/>
            <w:shd w:val="clear" w:color="auto" w:fill="CCEEFF"/>
          </w:tcPr>
          <w:p>
            <w:pPr>
              <w:spacing w:after="0"/>
              <w:rPr>
                <w:sz w:val="17"/>
                <w:szCs w:val="17"/>
                <w:color w:val="auto"/>
              </w:rPr>
            </w:pPr>
          </w:p>
        </w:tc>
      </w:tr>
      <w:tr>
        <w:trPr>
          <w:trHeight w:val="115"/>
        </w:trPr>
        <w:tc>
          <w:tcPr>
            <w:tcW w:w="1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67" w:lineRule="exact"/>
        <w:rPr>
          <w:sz w:val="20"/>
          <w:szCs w:val="20"/>
          <w:color w:val="auto"/>
        </w:rPr>
      </w:pPr>
    </w:p>
    <w:p>
      <w:pPr>
        <w:ind w:left="720" w:right="21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Gaylord Palms operating expenses do not include preopening costs of $0.3 million and $0.6 million in 2020 and 2019, respectively.</w:t>
      </w:r>
    </w:p>
    <w:p>
      <w:pPr>
        <w:spacing w:after="0" w:line="170" w:lineRule="exact"/>
        <w:rPr>
          <w:rFonts w:ascii="Arial" w:cs="Arial" w:eastAsia="Arial" w:hAnsi="Arial"/>
          <w:sz w:val="18"/>
          <w:szCs w:val="18"/>
          <w:color w:val="auto"/>
        </w:rPr>
      </w:pPr>
    </w:p>
    <w:p>
      <w:pPr>
        <w:ind w:left="720" w:right="559" w:hanging="319"/>
        <w:spacing w:after="0" w:line="342"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Net of CARES Act payroll credits, Gaylord Palms operating expenses for 2020 include approximately $4.6 million in expenses directly related to the COVID-19 pandemic, which are primarily employment costs.</w:t>
      </w:r>
    </w:p>
    <w:p>
      <w:pPr>
        <w:spacing w:after="0" w:line="124"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years ended December 31, 2020, 2019 and 2018 are as follows</w:t>
      </w:r>
      <w:r>
        <w:rPr>
          <w:rFonts w:ascii="Arial" w:cs="Arial" w:eastAsia="Arial" w:hAnsi="Arial"/>
          <w:sz w:val="18"/>
          <w:szCs w:val="18"/>
          <w:i w:val="1"/>
          <w:iCs w:val="1"/>
          <w:color w:val="auto"/>
        </w:rPr>
        <w:t xml:space="preserve"> </w:t>
      </w:r>
      <w:r>
        <w:rPr>
          <w:rFonts w:ascii="Arial" w:cs="Arial" w:eastAsia="Arial" w:hAnsi="Arial"/>
          <w:sz w:val="18"/>
          <w:szCs w:val="18"/>
          <w:color w:val="auto"/>
        </w:rPr>
        <w:t>(in thousands, except percentages and performance metrics):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 Change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r>
      <w:tr>
        <w:trPr>
          <w:trHeight w:val="196"/>
        </w:trPr>
        <w:tc>
          <w:tcPr>
            <w:tcW w:w="300" w:type="dxa"/>
            <w:vAlign w:val="bottom"/>
          </w:tcPr>
          <w:p>
            <w:pPr>
              <w:spacing w:after="0"/>
              <w:rPr>
                <w:sz w:val="17"/>
                <w:szCs w:val="17"/>
                <w:color w:val="auto"/>
              </w:rPr>
            </w:pPr>
          </w:p>
        </w:tc>
        <w:tc>
          <w:tcPr>
            <w:tcW w:w="2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Arial" w:cs="Arial" w:eastAsia="Arial" w:hAnsi="Arial"/>
                <w:sz w:val="16"/>
                <w:szCs w:val="16"/>
                <w:color w:val="auto"/>
              </w:rPr>
              <w:t>Rooms</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39,819</w:t>
            </w:r>
          </w:p>
        </w:tc>
        <w:tc>
          <w:tcPr>
            <w:tcW w:w="18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(60.8)%</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101,604</w:t>
            </w:r>
          </w:p>
        </w:tc>
        <w:tc>
          <w:tcPr>
            <w:tcW w:w="220" w:type="dxa"/>
            <w:vAlign w:val="bottom"/>
          </w:tcPr>
          <w:p>
            <w:pPr>
              <w:spacing w:after="0"/>
              <w:rPr>
                <w:sz w:val="17"/>
                <w:szCs w:val="17"/>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6"/>
                <w:szCs w:val="16"/>
                <w:color w:val="auto"/>
              </w:rPr>
              <w:t>11.0 % $</w:t>
            </w:r>
          </w:p>
        </w:tc>
        <w:tc>
          <w:tcPr>
            <w:tcW w:w="620" w:type="dxa"/>
            <w:vAlign w:val="bottom"/>
          </w:tcPr>
          <w:p>
            <w:pPr>
              <w:jc w:val="right"/>
              <w:spacing w:after="0"/>
              <w:rPr>
                <w:sz w:val="20"/>
                <w:szCs w:val="20"/>
                <w:color w:val="auto"/>
              </w:rPr>
            </w:pPr>
            <w:r>
              <w:rPr>
                <w:rFonts w:ascii="Arial" w:cs="Arial" w:eastAsia="Arial" w:hAnsi="Arial"/>
                <w:sz w:val="16"/>
                <w:szCs w:val="16"/>
                <w:color w:val="auto"/>
              </w:rPr>
              <w:t>91,558</w:t>
            </w: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43,611</w:t>
            </w:r>
          </w:p>
        </w:tc>
        <w:tc>
          <w:tcPr>
            <w:tcW w:w="1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(70.6)%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148,154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15.1 %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128,676</w:t>
            </w: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hotel revenue</w:t>
            </w: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27,806</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3"/>
          </w:tcPr>
          <w:p>
            <w:pPr>
              <w:jc w:val="right"/>
              <w:ind w:right="80"/>
              <w:spacing w:after="0"/>
              <w:rPr>
                <w:sz w:val="20"/>
                <w:szCs w:val="20"/>
                <w:color w:val="auto"/>
              </w:rPr>
            </w:pPr>
            <w:r>
              <w:rPr>
                <w:rFonts w:ascii="Arial" w:cs="Arial" w:eastAsia="Arial" w:hAnsi="Arial"/>
                <w:sz w:val="16"/>
                <w:szCs w:val="16"/>
                <w:color w:val="auto"/>
              </w:rPr>
              <w:t>(35.0)%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42,790</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6.5 %</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40,184</w:t>
            </w:r>
          </w:p>
        </w:tc>
        <w:tc>
          <w:tcPr>
            <w:tcW w:w="140" w:type="dxa"/>
            <w:vAlign w:val="bottom"/>
            <w:tcBorders>
              <w:bottom w:val="single" w:sz="8" w:color="CCEEFF"/>
            </w:tcBorders>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2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revenue</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111,236</w:t>
            </w:r>
          </w:p>
        </w:tc>
        <w:tc>
          <w:tcPr>
            <w:tcW w:w="1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(62.0)%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292,548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12.3 %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260,418</w:t>
            </w: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9,854</w:t>
            </w:r>
          </w:p>
        </w:tc>
        <w:tc>
          <w:tcPr>
            <w:tcW w:w="1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(54.1)%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18,966</w:t>
            </w: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29,005</w:t>
            </w:r>
          </w:p>
        </w:tc>
        <w:tc>
          <w:tcPr>
            <w:tcW w:w="18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(59.7)%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72,008</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13.0 %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63,739</w:t>
            </w: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51,138</w:t>
            </w:r>
          </w:p>
        </w:tc>
        <w:tc>
          <w:tcPr>
            <w:tcW w:w="1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(34.4)%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77,989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72,835</w:t>
            </w: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Arial" w:cs="Arial" w:eastAsia="Arial" w:hAnsi="Arial"/>
                <w:sz w:val="16"/>
                <w:szCs w:val="16"/>
                <w:color w:val="auto"/>
              </w:rPr>
              <w:t>Management fees, net</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1,511</w:t>
            </w:r>
          </w:p>
        </w:tc>
        <w:tc>
          <w:tcPr>
            <w:tcW w:w="18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(83.6)%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9,189</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19.4 %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7,695</w:t>
            </w: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9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25,546</w:t>
            </w:r>
          </w:p>
        </w:tc>
        <w:tc>
          <w:tcPr>
            <w:tcW w:w="1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(3.1)%</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8.4 %</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24,309</w:t>
            </w:r>
          </w:p>
        </w:tc>
        <w:tc>
          <w:tcPr>
            <w:tcW w:w="140" w:type="dxa"/>
            <w:vAlign w:val="bottom"/>
            <w:shd w:val="clear" w:color="auto" w:fill="CCEEFF"/>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2960" w:type="dxa"/>
            <w:vAlign w:val="bottom"/>
            <w:gridSpan w:val="2"/>
          </w:tcPr>
          <w:p>
            <w:pPr>
              <w:ind w:left="200"/>
              <w:spacing w:after="0"/>
              <w:rPr>
                <w:sz w:val="20"/>
                <w:szCs w:val="20"/>
                <w:color w:val="auto"/>
              </w:rPr>
            </w:pPr>
            <w:r>
              <w:rPr>
                <w:rFonts w:ascii="Arial" w:cs="Arial" w:eastAsia="Arial" w:hAnsi="Arial"/>
                <w:sz w:val="16"/>
                <w:szCs w:val="16"/>
                <w:color w:val="auto"/>
              </w:rPr>
              <w:t>Total operating expenses (1)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117,054</w:t>
            </w:r>
          </w:p>
        </w:tc>
        <w:tc>
          <w:tcPr>
            <w:tcW w:w="18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(43.5)%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207,017</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10.4 %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187,544</w:t>
            </w: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Arial" w:cs="Arial" w:eastAsia="Arial" w:hAnsi="Arial"/>
                <w:sz w:val="16"/>
                <w:szCs w:val="16"/>
                <w:color w:val="auto"/>
              </w:rPr>
              <w:t>Occupancy</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29.3 %</w:t>
            </w:r>
          </w:p>
        </w:tc>
        <w:tc>
          <w:tcPr>
            <w:tcW w:w="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(48.9)pts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78.2 %</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3.3 pts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74.9 %</w:t>
            </w: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204.38</w:t>
            </w:r>
          </w:p>
        </w:tc>
        <w:tc>
          <w:tcPr>
            <w:tcW w:w="18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4.1%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196.78</w:t>
            </w: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Arial" w:cs="Arial" w:eastAsia="Arial" w:hAnsi="Arial"/>
                <w:sz w:val="16"/>
                <w:szCs w:val="16"/>
                <w:color w:val="auto"/>
              </w:rPr>
              <w:t>RevPAR</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59.97</w:t>
            </w:r>
          </w:p>
        </w:tc>
        <w:tc>
          <w:tcPr>
            <w:tcW w:w="18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(60.9)%</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153.45</w:t>
            </w:r>
          </w:p>
        </w:tc>
        <w:tc>
          <w:tcPr>
            <w:tcW w:w="220" w:type="dxa"/>
            <w:vAlign w:val="bottom"/>
          </w:tcPr>
          <w:p>
            <w:pPr>
              <w:spacing w:after="0"/>
              <w:rPr>
                <w:sz w:val="17"/>
                <w:szCs w:val="17"/>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6"/>
                <w:szCs w:val="16"/>
                <w:color w:val="auto"/>
              </w:rPr>
              <w:t>4.1% $</w:t>
            </w:r>
          </w:p>
        </w:tc>
        <w:tc>
          <w:tcPr>
            <w:tcW w:w="620" w:type="dxa"/>
            <w:vAlign w:val="bottom"/>
          </w:tcPr>
          <w:p>
            <w:pPr>
              <w:jc w:val="right"/>
              <w:spacing w:after="0"/>
              <w:rPr>
                <w:sz w:val="20"/>
                <w:szCs w:val="20"/>
                <w:color w:val="auto"/>
              </w:rPr>
            </w:pPr>
            <w:r>
              <w:rPr>
                <w:rFonts w:ascii="Arial" w:cs="Arial" w:eastAsia="Arial" w:hAnsi="Arial"/>
                <w:sz w:val="16"/>
                <w:szCs w:val="16"/>
                <w:color w:val="auto"/>
              </w:rPr>
              <w:t>147.35</w:t>
            </w: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167.54</w:t>
            </w:r>
          </w:p>
        </w:tc>
        <w:tc>
          <w:tcPr>
            <w:tcW w:w="1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(62.1)%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441.84</w:t>
            </w:r>
          </w:p>
        </w:tc>
        <w:tc>
          <w:tcPr>
            <w:tcW w:w="2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5.4%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419.12</w:t>
            </w:r>
          </w:p>
        </w:tc>
        <w:tc>
          <w:tcPr>
            <w:tcW w:w="140" w:type="dxa"/>
            <w:vAlign w:val="bottom"/>
            <w:shd w:val="clear" w:color="auto" w:fill="CCEEFF"/>
          </w:tcPr>
          <w:p>
            <w:pPr>
              <w:spacing w:after="0"/>
              <w:rPr>
                <w:sz w:val="17"/>
                <w:szCs w:val="17"/>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67" w:lineRule="exact"/>
        <w:rPr>
          <w:sz w:val="20"/>
          <w:szCs w:val="20"/>
          <w:color w:val="auto"/>
        </w:rPr>
      </w:pPr>
    </w:p>
    <w:p>
      <w:pPr>
        <w:ind w:left="720" w:right="579" w:hanging="319"/>
        <w:spacing w:after="0" w:line="342"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Net of CARES Act payroll credits, Gaylord Texan operating expenses for 2020 include approximately $3.6 million in expenses directly related to the COVID-19 pandemic, which are primarily employment costs.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The results of Gaylord National for the years ended December 31, 2020, 2019 and 2018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4"/>
                <w:szCs w:val="14"/>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7"/>
              </w:rPr>
              <w:t>% Change</w:t>
            </w:r>
          </w:p>
        </w:tc>
        <w:tc>
          <w:tcPr>
            <w:tcW w:w="620" w:type="dxa"/>
            <w:vAlign w:val="bottom"/>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r>
      <w:tr>
        <w:trPr>
          <w:trHeight w:val="196"/>
        </w:trPr>
        <w:tc>
          <w:tcPr>
            <w:tcW w:w="80" w:type="dxa"/>
            <w:vAlign w:val="bottom"/>
          </w:tcPr>
          <w:p>
            <w:pPr>
              <w:spacing w:after="0"/>
              <w:rPr>
                <w:sz w:val="17"/>
                <w:szCs w:val="17"/>
                <w:color w:val="auto"/>
              </w:rPr>
            </w:pPr>
          </w:p>
        </w:tc>
        <w:tc>
          <w:tcPr>
            <w:tcW w:w="3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Arial" w:cs="Arial" w:eastAsia="Arial" w:hAnsi="Arial"/>
                <w:sz w:val="16"/>
                <w:szCs w:val="16"/>
                <w:color w:val="auto"/>
              </w:rPr>
              <w:t>Rooms</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19,531</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117,977</w:t>
            </w:r>
          </w:p>
        </w:tc>
        <w:tc>
          <w:tcPr>
            <w:tcW w:w="200" w:type="dxa"/>
            <w:vAlign w:val="bottom"/>
          </w:tcPr>
          <w:p>
            <w:pPr>
              <w:spacing w:after="0"/>
              <w:rPr>
                <w:sz w:val="17"/>
                <w:szCs w:val="17"/>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6"/>
                <w:szCs w:val="16"/>
                <w:color w:val="auto"/>
              </w:rPr>
              <w:t>7.7% $</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109,511</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24,716</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130,210</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134,645</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hotel revenue</w:t>
            </w: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7,779</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(76.6)%</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33,180</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10.1 %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30,143</w:t>
            </w:r>
          </w:p>
        </w:tc>
        <w:tc>
          <w:tcPr>
            <w:tcW w:w="140" w:type="dxa"/>
            <w:vAlign w:val="bottom"/>
            <w:tcBorders>
              <w:bottom w:val="single" w:sz="8" w:color="CCEEFF"/>
            </w:tcBorders>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52,026</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281,367</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274,299</w:t>
            </w:r>
          </w:p>
        </w:tc>
        <w:tc>
          <w:tcPr>
            <w:tcW w:w="140" w:type="dxa"/>
            <w:vAlign w:val="bottom"/>
            <w:shd w:val="clear" w:color="auto" w:fill="CCEEFF"/>
          </w:tcPr>
          <w:p>
            <w:pPr>
              <w:spacing w:after="0"/>
              <w:rPr>
                <w:sz w:val="17"/>
                <w:szCs w:val="17"/>
                <w:color w:val="auto"/>
              </w:rPr>
            </w:pPr>
          </w:p>
        </w:tc>
      </w:tr>
      <w:tr>
        <w:trPr>
          <w:trHeight w:val="202"/>
        </w:trPr>
        <w:tc>
          <w:tcPr>
            <w:tcW w:w="8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13,197</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41,863</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39,986</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29,626</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83,101</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83,249</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43,449</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88,336</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7.2 %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82,405</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Arial" w:cs="Arial" w:eastAsia="Arial" w:hAnsi="Arial"/>
                <w:sz w:val="16"/>
                <w:szCs w:val="16"/>
                <w:color w:val="auto"/>
              </w:rPr>
              <w:t>Management fees, net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216</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4,736</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4,595</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0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27,641</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27,776</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27,565</w:t>
            </w:r>
          </w:p>
        </w:tc>
        <w:tc>
          <w:tcPr>
            <w:tcW w:w="140" w:type="dxa"/>
            <w:vAlign w:val="bottom"/>
            <w:shd w:val="clear" w:color="auto" w:fill="CCEEFF"/>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(1)(2)</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114,129</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245,812</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237,800</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Arial" w:cs="Arial" w:eastAsia="Arial" w:hAnsi="Arial"/>
                <w:sz w:val="16"/>
                <w:szCs w:val="16"/>
                <w:color w:val="auto"/>
              </w:rPr>
              <w:t>Occupancy</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12.9 %</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(62.2)pts</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75.1 %</w:t>
            </w: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2.8 pts</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72.3 %</w:t>
            </w: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207.12</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215.74</w:t>
            </w:r>
          </w:p>
        </w:tc>
        <w:tc>
          <w:tcPr>
            <w:tcW w:w="2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3.8%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207.83</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Arial" w:cs="Arial" w:eastAsia="Arial" w:hAnsi="Arial"/>
                <w:sz w:val="16"/>
                <w:szCs w:val="16"/>
                <w:color w:val="auto"/>
              </w:rPr>
              <w:t>RevPAR</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26.74</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161.94</w:t>
            </w:r>
          </w:p>
        </w:tc>
        <w:tc>
          <w:tcPr>
            <w:tcW w:w="200" w:type="dxa"/>
            <w:vAlign w:val="bottom"/>
          </w:tcPr>
          <w:p>
            <w:pPr>
              <w:spacing w:after="0"/>
              <w:rPr>
                <w:sz w:val="17"/>
                <w:szCs w:val="17"/>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6"/>
                <w:szCs w:val="16"/>
                <w:color w:val="auto"/>
              </w:rPr>
              <w:t>7.7% $</w:t>
            </w:r>
          </w:p>
        </w:tc>
        <w:tc>
          <w:tcPr>
            <w:tcW w:w="620" w:type="dxa"/>
            <w:vAlign w:val="bottom"/>
          </w:tcPr>
          <w:p>
            <w:pPr>
              <w:jc w:val="right"/>
              <w:spacing w:after="0"/>
              <w:rPr>
                <w:sz w:val="20"/>
                <w:szCs w:val="20"/>
                <w:color w:val="auto"/>
              </w:rPr>
            </w:pPr>
            <w:r>
              <w:rPr>
                <w:rFonts w:ascii="Arial" w:cs="Arial" w:eastAsia="Arial" w:hAnsi="Arial"/>
                <w:sz w:val="16"/>
                <w:szCs w:val="16"/>
                <w:color w:val="auto"/>
              </w:rPr>
              <w:t>150.31</w:t>
            </w:r>
          </w:p>
        </w:tc>
        <w:tc>
          <w:tcPr>
            <w:tcW w:w="140" w:type="dxa"/>
            <w:vAlign w:val="bottom"/>
          </w:tcPr>
          <w:p>
            <w:pPr>
              <w:spacing w:after="0"/>
              <w:rPr>
                <w:sz w:val="17"/>
                <w:szCs w:val="17"/>
                <w:color w:val="auto"/>
              </w:rPr>
            </w:pPr>
          </w:p>
        </w:tc>
      </w:tr>
      <w:tr>
        <w:trPr>
          <w:trHeight w:val="202"/>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71.22</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386.21</w:t>
            </w:r>
          </w:p>
        </w:tc>
        <w:tc>
          <w:tcPr>
            <w:tcW w:w="2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2.6%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376.50</w:t>
            </w:r>
          </w:p>
        </w:tc>
        <w:tc>
          <w:tcPr>
            <w:tcW w:w="140" w:type="dxa"/>
            <w:vAlign w:val="bottom"/>
            <w:shd w:val="clear" w:color="auto" w:fill="CCEEFF"/>
          </w:tcPr>
          <w:p>
            <w:pPr>
              <w:spacing w:after="0"/>
              <w:rPr>
                <w:sz w:val="17"/>
                <w:szCs w:val="17"/>
                <w:color w:val="auto"/>
              </w:rPr>
            </w:pPr>
          </w:p>
        </w:tc>
      </w:tr>
      <w:tr>
        <w:trPr>
          <w:trHeight w:val="115"/>
        </w:trPr>
        <w:tc>
          <w:tcPr>
            <w:tcW w:w="8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67" w:lineRule="exact"/>
        <w:rPr>
          <w:sz w:val="20"/>
          <w:szCs w:val="20"/>
          <w:color w:val="auto"/>
        </w:rPr>
      </w:pPr>
    </w:p>
    <w:p>
      <w:pPr>
        <w:ind w:left="720" w:right="139" w:hanging="319"/>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Gaylord National operating expenses for 2020 do not include credit losses on held-to-maturity securities of $32.8 million. See discussion of this item below.</w:t>
      </w:r>
    </w:p>
    <w:p>
      <w:pPr>
        <w:spacing w:after="0" w:line="170" w:lineRule="exact"/>
        <w:rPr>
          <w:rFonts w:ascii="Arial" w:cs="Arial" w:eastAsia="Arial" w:hAnsi="Arial"/>
          <w:sz w:val="18"/>
          <w:szCs w:val="18"/>
          <w:color w:val="auto"/>
        </w:rPr>
      </w:pPr>
    </w:p>
    <w:p>
      <w:pPr>
        <w:ind w:left="720" w:right="299" w:hanging="319"/>
        <w:spacing w:after="0" w:line="342" w:lineRule="auto"/>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Net of CARES Act payroll credits, Gaylord National operating expenses for 2020 include approximately $16.0 million in expenses directly related to the COVID-19 pandemic, which are primarily employment costs.</w:t>
      </w:r>
    </w:p>
    <w:p>
      <w:pPr>
        <w:spacing w:after="0" w:line="124"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i w:val="1"/>
          <w:iCs w:val="1"/>
          <w:color w:val="auto"/>
        </w:rPr>
        <w:t xml:space="preserve">Gaylord Rockies Results. </w:t>
      </w:r>
      <w:r>
        <w:rPr>
          <w:rFonts w:ascii="Arial" w:cs="Arial" w:eastAsia="Arial" w:hAnsi="Arial"/>
          <w:sz w:val="18"/>
          <w:szCs w:val="18"/>
          <w:color w:val="auto"/>
        </w:rPr>
        <w:t>The results of Gaylord Rockies for the years ended December 31, 2020 and 2019 are as follows</w:t>
      </w:r>
      <w:r>
        <w:rPr>
          <w:rFonts w:ascii="Arial" w:cs="Arial" w:eastAsia="Arial" w:hAnsi="Arial"/>
          <w:sz w:val="18"/>
          <w:szCs w:val="18"/>
          <w:i w:val="1"/>
          <w:iCs w:val="1"/>
          <w:color w:val="auto"/>
        </w:rPr>
        <w:t xml:space="preserve"> </w:t>
      </w:r>
      <w:r>
        <w:rPr>
          <w:rFonts w:ascii="Arial" w:cs="Arial" w:eastAsia="Arial" w:hAnsi="Arial"/>
          <w:sz w:val="18"/>
          <w:szCs w:val="18"/>
          <w:color w:val="auto"/>
        </w:rPr>
        <w:t>(in thousands, except percentages and performance metrics):</w:t>
      </w:r>
    </w:p>
    <w:p>
      <w:pPr>
        <w:spacing w:after="0" w:line="198"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80" w:type="dxa"/>
            <w:vAlign w:val="bottom"/>
            <w:shd w:val="clear" w:color="auto" w:fill="CCEEFF"/>
          </w:tcPr>
          <w:p>
            <w:pPr>
              <w:spacing w:after="0"/>
              <w:rPr>
                <w:sz w:val="18"/>
                <w:szCs w:val="18"/>
                <w:color w:val="auto"/>
              </w:rPr>
            </w:pPr>
          </w:p>
        </w:tc>
      </w:tr>
      <w:tr>
        <w:trPr>
          <w:trHeight w:val="207"/>
        </w:trPr>
        <w:tc>
          <w:tcPr>
            <w:tcW w:w="5100" w:type="dxa"/>
            <w:vAlign w:val="bottom"/>
          </w:tcPr>
          <w:p>
            <w:pPr>
              <w:spacing w:after="0"/>
              <w:rPr>
                <w:sz w:val="20"/>
                <w:szCs w:val="20"/>
                <w:color w:val="auto"/>
              </w:rPr>
            </w:pPr>
            <w:r>
              <w:rPr>
                <w:rFonts w:ascii="Arial" w:cs="Arial" w:eastAsia="Arial" w:hAnsi="Arial"/>
                <w:sz w:val="16"/>
                <w:szCs w:val="16"/>
                <w:color w:val="auto"/>
              </w:rPr>
              <w:t>Revenues:</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25,041</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75,475</w:t>
            </w:r>
          </w:p>
        </w:tc>
        <w:tc>
          <w:tcPr>
            <w:tcW w:w="180" w:type="dxa"/>
            <w:vAlign w:val="bottom"/>
            <w:shd w:val="clear" w:color="auto" w:fill="CCEEFF"/>
          </w:tcPr>
          <w:p>
            <w:pPr>
              <w:spacing w:after="0"/>
              <w:rPr>
                <w:sz w:val="17"/>
                <w:szCs w:val="17"/>
                <w:color w:val="auto"/>
              </w:rPr>
            </w:pPr>
          </w:p>
        </w:tc>
      </w:tr>
      <w:tr>
        <w:trPr>
          <w:trHeight w:val="203"/>
        </w:trPr>
        <w:tc>
          <w:tcPr>
            <w:tcW w:w="5100" w:type="dxa"/>
            <w:vAlign w:val="bottom"/>
          </w:tcPr>
          <w:p>
            <w:pPr>
              <w:ind w:left="120"/>
              <w:spacing w:after="0"/>
              <w:rPr>
                <w:sz w:val="20"/>
                <w:szCs w:val="20"/>
                <w:color w:val="auto"/>
              </w:rPr>
            </w:pPr>
            <w:r>
              <w:rPr>
                <w:rFonts w:ascii="Arial" w:cs="Arial" w:eastAsia="Arial" w:hAnsi="Arial"/>
                <w:sz w:val="16"/>
                <w:szCs w:val="16"/>
                <w:color w:val="auto"/>
              </w:rPr>
              <w:t>Food and beverage</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40,224</w:t>
            </w:r>
          </w:p>
        </w:tc>
        <w:tc>
          <w:tcPr>
            <w:tcW w:w="1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120,634</w:t>
            </w:r>
          </w:p>
        </w:tc>
        <w:tc>
          <w:tcPr>
            <w:tcW w:w="180" w:type="dxa"/>
            <w:vAlign w:val="bottom"/>
          </w:tcPr>
          <w:p>
            <w:pPr>
              <w:spacing w:after="0"/>
              <w:rPr>
                <w:sz w:val="17"/>
                <w:szCs w:val="17"/>
                <w:color w:val="auto"/>
              </w:rPr>
            </w:pPr>
          </w:p>
        </w:tc>
      </w:tr>
      <w:tr>
        <w:trPr>
          <w:trHeight w:val="203"/>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hotel revenue</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19,450</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30,467</w:t>
            </w:r>
          </w:p>
        </w:tc>
        <w:tc>
          <w:tcPr>
            <w:tcW w:w="180" w:type="dxa"/>
            <w:vAlign w:val="bottom"/>
            <w:shd w:val="clear" w:color="auto" w:fill="CCEEFF"/>
          </w:tcPr>
          <w:p>
            <w:pPr>
              <w:spacing w:after="0"/>
              <w:rPr>
                <w:sz w:val="17"/>
                <w:szCs w:val="17"/>
                <w:color w:val="auto"/>
              </w:rPr>
            </w:pPr>
          </w:p>
        </w:tc>
      </w:tr>
      <w:tr>
        <w:trPr>
          <w:trHeight w:val="196"/>
        </w:trPr>
        <w:tc>
          <w:tcPr>
            <w:tcW w:w="510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84,715</w:t>
            </w:r>
          </w:p>
        </w:tc>
        <w:tc>
          <w:tcPr>
            <w:tcW w:w="1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226,576</w:t>
            </w:r>
          </w:p>
        </w:tc>
        <w:tc>
          <w:tcPr>
            <w:tcW w:w="180" w:type="dxa"/>
            <w:vAlign w:val="bottom"/>
          </w:tcPr>
          <w:p>
            <w:pPr>
              <w:spacing w:after="0"/>
              <w:rPr>
                <w:sz w:val="17"/>
                <w:szCs w:val="17"/>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5100" w:type="dxa"/>
            <w:vAlign w:val="bottom"/>
          </w:tcPr>
          <w:p>
            <w:pPr>
              <w:ind w:left="120"/>
              <w:spacing w:after="0"/>
              <w:rPr>
                <w:sz w:val="20"/>
                <w:szCs w:val="20"/>
                <w:color w:val="auto"/>
              </w:rPr>
            </w:pPr>
            <w:r>
              <w:rPr>
                <w:rFonts w:ascii="Arial" w:cs="Arial" w:eastAsia="Arial" w:hAnsi="Arial"/>
                <w:sz w:val="16"/>
                <w:szCs w:val="16"/>
                <w:color w:val="auto"/>
              </w:rPr>
              <w:t>Rooms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9,400</w:t>
            </w:r>
          </w:p>
        </w:tc>
        <w:tc>
          <w:tcPr>
            <w:tcW w:w="1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22,127</w:t>
            </w:r>
          </w:p>
        </w:tc>
        <w:tc>
          <w:tcPr>
            <w:tcW w:w="180" w:type="dxa"/>
            <w:vAlign w:val="bottom"/>
          </w:tcPr>
          <w:p>
            <w:pPr>
              <w:spacing w:after="0"/>
              <w:rPr>
                <w:sz w:val="17"/>
                <w:szCs w:val="17"/>
                <w:color w:val="auto"/>
              </w:rPr>
            </w:pPr>
          </w:p>
        </w:tc>
      </w:tr>
      <w:tr>
        <w:trPr>
          <w:trHeight w:val="203"/>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27,435</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67,565</w:t>
            </w:r>
          </w:p>
        </w:tc>
        <w:tc>
          <w:tcPr>
            <w:tcW w:w="180" w:type="dxa"/>
            <w:vAlign w:val="bottom"/>
            <w:shd w:val="clear" w:color="auto" w:fill="CCEEFF"/>
          </w:tcPr>
          <w:p>
            <w:pPr>
              <w:spacing w:after="0"/>
              <w:rPr>
                <w:sz w:val="17"/>
                <w:szCs w:val="17"/>
                <w:color w:val="auto"/>
              </w:rPr>
            </w:pPr>
          </w:p>
        </w:tc>
      </w:tr>
      <w:tr>
        <w:trPr>
          <w:trHeight w:val="203"/>
        </w:trPr>
        <w:tc>
          <w:tcPr>
            <w:tcW w:w="5100" w:type="dxa"/>
            <w:vAlign w:val="bottom"/>
          </w:tcPr>
          <w:p>
            <w:pPr>
              <w:ind w:left="120"/>
              <w:spacing w:after="0"/>
              <w:rPr>
                <w:sz w:val="20"/>
                <w:szCs w:val="20"/>
                <w:color w:val="auto"/>
              </w:rPr>
            </w:pPr>
            <w:r>
              <w:rPr>
                <w:rFonts w:ascii="Arial" w:cs="Arial" w:eastAsia="Arial" w:hAnsi="Arial"/>
                <w:sz w:val="16"/>
                <w:szCs w:val="16"/>
                <w:color w:val="auto"/>
              </w:rPr>
              <w:t>Other hotel expenses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34,373</w:t>
            </w:r>
          </w:p>
        </w:tc>
        <w:tc>
          <w:tcPr>
            <w:tcW w:w="1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46,930</w:t>
            </w:r>
          </w:p>
        </w:tc>
        <w:tc>
          <w:tcPr>
            <w:tcW w:w="180" w:type="dxa"/>
            <w:vAlign w:val="bottom"/>
          </w:tcPr>
          <w:p>
            <w:pPr>
              <w:spacing w:after="0"/>
              <w:rPr>
                <w:sz w:val="17"/>
                <w:szCs w:val="17"/>
                <w:color w:val="auto"/>
              </w:rPr>
            </w:pPr>
          </w:p>
        </w:tc>
      </w:tr>
      <w:tr>
        <w:trPr>
          <w:trHeight w:val="203"/>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Management fees, net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(63.5)%</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8,987</w:t>
            </w:r>
          </w:p>
        </w:tc>
        <w:tc>
          <w:tcPr>
            <w:tcW w:w="180" w:type="dxa"/>
            <w:vAlign w:val="bottom"/>
            <w:shd w:val="clear" w:color="auto" w:fill="CCEEFF"/>
          </w:tcPr>
          <w:p>
            <w:pPr>
              <w:spacing w:after="0"/>
              <w:rPr>
                <w:sz w:val="17"/>
                <w:szCs w:val="17"/>
                <w:color w:val="auto"/>
              </w:rPr>
            </w:pPr>
          </w:p>
        </w:tc>
      </w:tr>
      <w:tr>
        <w:trPr>
          <w:trHeight w:val="203"/>
        </w:trPr>
        <w:tc>
          <w:tcPr>
            <w:tcW w:w="51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90,533</w:t>
            </w: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90,038</w:t>
            </w:r>
          </w:p>
        </w:tc>
        <w:tc>
          <w:tcPr>
            <w:tcW w:w="180" w:type="dxa"/>
            <w:vAlign w:val="bottom"/>
            <w:tcBorders>
              <w:bottom w:val="single" w:sz="8" w:color="CCEEFF"/>
            </w:tcBorders>
          </w:tcPr>
          <w:p>
            <w:pPr>
              <w:spacing w:after="0"/>
              <w:rPr>
                <w:sz w:val="17"/>
                <w:szCs w:val="17"/>
                <w:color w:val="auto"/>
              </w:rPr>
            </w:pPr>
          </w:p>
        </w:tc>
      </w:tr>
      <w:tr>
        <w:trPr>
          <w:trHeight w:val="196"/>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operating expenses (1)(2)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165,018</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235,647</w:t>
            </w:r>
          </w:p>
        </w:tc>
        <w:tc>
          <w:tcPr>
            <w:tcW w:w="180" w:type="dxa"/>
            <w:vAlign w:val="bottom"/>
            <w:shd w:val="clear" w:color="auto" w:fill="CCEEFF"/>
          </w:tcPr>
          <w:p>
            <w:pPr>
              <w:spacing w:after="0"/>
              <w:rPr>
                <w:sz w:val="17"/>
                <w:szCs w:val="17"/>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6"/>
                <w:szCs w:val="16"/>
                <w:color w:val="auto"/>
              </w:rPr>
              <w:t>Performance metrics: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Occupancy</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23.6 %</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(45.6)pts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69.2 %</w:t>
            </w:r>
          </w:p>
        </w:tc>
      </w:tr>
      <w:tr>
        <w:trPr>
          <w:trHeight w:val="203"/>
        </w:trPr>
        <w:tc>
          <w:tcPr>
            <w:tcW w:w="5100" w:type="dxa"/>
            <w:vAlign w:val="bottom"/>
          </w:tcPr>
          <w:p>
            <w:pPr>
              <w:ind w:left="120"/>
              <w:spacing w:after="0"/>
              <w:rPr>
                <w:sz w:val="20"/>
                <w:szCs w:val="20"/>
                <w:color w:val="auto"/>
              </w:rPr>
            </w:pPr>
            <w:r>
              <w:rPr>
                <w:rFonts w:ascii="Arial" w:cs="Arial" w:eastAsia="Arial" w:hAnsi="Arial"/>
                <w:sz w:val="16"/>
                <w:szCs w:val="16"/>
                <w:color w:val="auto"/>
              </w:rPr>
              <w:t>ADR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192.89</w:t>
            </w:r>
          </w:p>
        </w:tc>
        <w:tc>
          <w:tcPr>
            <w:tcW w:w="1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198.94</w:t>
            </w:r>
          </w:p>
        </w:tc>
        <w:tc>
          <w:tcPr>
            <w:tcW w:w="180" w:type="dxa"/>
            <w:vAlign w:val="bottom"/>
          </w:tcPr>
          <w:p>
            <w:pPr>
              <w:spacing w:after="0"/>
              <w:rPr>
                <w:sz w:val="17"/>
                <w:szCs w:val="17"/>
                <w:color w:val="auto"/>
              </w:rPr>
            </w:pPr>
          </w:p>
        </w:tc>
      </w:tr>
      <w:tr>
        <w:trPr>
          <w:trHeight w:val="203"/>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RevPAR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45.58</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137.76</w:t>
            </w:r>
          </w:p>
        </w:tc>
        <w:tc>
          <w:tcPr>
            <w:tcW w:w="180" w:type="dxa"/>
            <w:vAlign w:val="bottom"/>
            <w:shd w:val="clear" w:color="auto" w:fill="CCEEFF"/>
          </w:tcPr>
          <w:p>
            <w:pPr>
              <w:spacing w:after="0"/>
              <w:rPr>
                <w:sz w:val="17"/>
                <w:szCs w:val="17"/>
                <w:color w:val="auto"/>
              </w:rPr>
            </w:pPr>
          </w:p>
        </w:tc>
      </w:tr>
      <w:tr>
        <w:trPr>
          <w:trHeight w:val="206"/>
        </w:trPr>
        <w:tc>
          <w:tcPr>
            <w:tcW w:w="5100" w:type="dxa"/>
            <w:vAlign w:val="bottom"/>
          </w:tcPr>
          <w:p>
            <w:pPr>
              <w:ind w:left="120"/>
              <w:spacing w:after="0"/>
              <w:rPr>
                <w:sz w:val="20"/>
                <w:szCs w:val="20"/>
                <w:color w:val="auto"/>
              </w:rPr>
            </w:pPr>
            <w:r>
              <w:rPr>
                <w:rFonts w:ascii="Arial" w:cs="Arial" w:eastAsia="Arial" w:hAnsi="Arial"/>
                <w:sz w:val="16"/>
                <w:szCs w:val="16"/>
                <w:color w:val="auto"/>
              </w:rPr>
              <w:t>Total RevPAR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154.21</w:t>
            </w:r>
          </w:p>
        </w:tc>
        <w:tc>
          <w:tcPr>
            <w:tcW w:w="1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413.56</w:t>
            </w:r>
          </w:p>
        </w:tc>
        <w:tc>
          <w:tcPr>
            <w:tcW w:w="1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wp:posOffset>
            </wp:positionV>
            <wp:extent cx="14141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Gaylord Rockies operating expenses do not include preopening costs of $0.6 million for 2019.</w:t>
      </w:r>
    </w:p>
    <w:p>
      <w:pPr>
        <w:spacing w:after="0" w:line="225" w:lineRule="exact"/>
        <w:rPr>
          <w:rFonts w:ascii="Arial" w:cs="Arial" w:eastAsia="Arial" w:hAnsi="Arial"/>
          <w:sz w:val="18"/>
          <w:szCs w:val="18"/>
          <w:color w:val="auto"/>
        </w:rPr>
      </w:pPr>
    </w:p>
    <w:p>
      <w:pPr>
        <w:ind w:left="720" w:right="419" w:hanging="319"/>
        <w:spacing w:after="0" w:line="342"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Net of CARES Act payroll credits, Gaylord Rockies operating expenses for 2020 include approximately $3.0 million in expenses directly related to the COVID-19 pandemic, which are primarily employment costs.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Entertainment Segment</w:t>
      </w:r>
    </w:p>
    <w:p>
      <w:pPr>
        <w:spacing w:after="0" w:line="229"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Due to the COVID-19 pandemic, we temporarily closed our Entertainment segment assets in mid-March 2020 and have reopened these assets in stages, with limited capacity (although the General Jackson remains closed and the Wildhorse Saloon is currently closed subsequent to the December 2020 downtown Nashville bombing). Therefore, the Entertainment segment financial results for 2020 are not comparable to prior periods. The following presents the financial results of our Entertainment segment for the years ended December 31, 2020, 2019 and 2018 (in thousands, except percentages):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0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180" w:type="dxa"/>
            <w:vAlign w:val="bottom"/>
            <w:gridSpan w:val="5"/>
          </w:tcPr>
          <w:p>
            <w:pPr>
              <w:jc w:val="right"/>
              <w:ind w:right="329"/>
              <w:spacing w:after="0"/>
              <w:rPr>
                <w:sz w:val="20"/>
                <w:szCs w:val="20"/>
                <w:color w:val="auto"/>
              </w:rPr>
            </w:pPr>
            <w:r>
              <w:rPr>
                <w:rFonts w:ascii="Arial" w:cs="Arial" w:eastAsia="Arial" w:hAnsi="Arial"/>
                <w:sz w:val="14"/>
                <w:szCs w:val="14"/>
                <w:b w:val="1"/>
                <w:bCs w:val="1"/>
                <w:color w:val="auto"/>
              </w:rPr>
              <w:t>% Change</w:t>
            </w: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58,430</w:t>
            </w:r>
          </w:p>
        </w:tc>
        <w:tc>
          <w:tcPr>
            <w:tcW w:w="160" w:type="dxa"/>
            <w:vAlign w:val="bottom"/>
            <w:vMerge w:val="continue"/>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183,120</w:t>
            </w:r>
          </w:p>
        </w:tc>
        <w:tc>
          <w:tcPr>
            <w:tcW w:w="1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147,215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78,301</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126,609</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15.9 %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109,249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14,371</w:t>
            </w:r>
          </w:p>
        </w:tc>
        <w:tc>
          <w:tcPr>
            <w:tcW w:w="10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28.9 %</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11,150</w:t>
            </w: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8.5 %</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0" w:type="dxa"/>
            <w:vAlign w:val="bottom"/>
          </w:tcPr>
          <w:p>
            <w:pPr>
              <w:spacing w:after="0"/>
              <w:rPr>
                <w:sz w:val="1"/>
                <w:szCs w:val="1"/>
                <w:color w:val="auto"/>
              </w:rPr>
            </w:pPr>
          </w:p>
        </w:tc>
      </w:tr>
      <w:tr>
        <w:trPr>
          <w:trHeight w:val="209"/>
        </w:trPr>
        <w:tc>
          <w:tcPr>
            <w:tcW w:w="4160" w:type="dxa"/>
            <w:vAlign w:val="bottom"/>
            <w:gridSpan w:val="3"/>
          </w:tcPr>
          <w:p>
            <w:pPr>
              <w:ind w:left="320"/>
              <w:spacing w:after="0"/>
              <w:rPr>
                <w:sz w:val="20"/>
                <w:szCs w:val="20"/>
                <w:color w:val="auto"/>
              </w:rPr>
            </w:pPr>
            <w:r>
              <w:rPr>
                <w:rFonts w:ascii="Arial" w:cs="Arial" w:eastAsia="Arial" w:hAnsi="Arial"/>
                <w:sz w:val="18"/>
                <w:szCs w:val="18"/>
                <w:color w:val="auto"/>
              </w:rPr>
              <w:t>Operating income (loss) (1)(2)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(34,242)</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(175.5)%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45,361</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63.8 %</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27,686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4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20" w:right="119" w:hanging="319"/>
        <w:spacing w:after="0" w:line="273" w:lineRule="auto"/>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Entertainment segment operating income (loss) does not include preopening costs of $1.4 million, $1.9 million and $1.9 million in 2020, 2019 and 2018, respectively. Entertainment segment operating income (loss) also does not include impairment charges of $23.8 million in 2018 primarily related to Opry City Stage or income (loss) from unconsolidated joint ventures of $(6.5) million, $(1.1) million and $0.6 million in 2020, 2019 and 2018, respectively. The loss from unconsolidated joint ventures in 2020 and 2019 relates to Circle, and the income from unconsolidated joint ventures in 2018 relates to Opry City Stage.</w:t>
      </w:r>
    </w:p>
    <w:p>
      <w:pPr>
        <w:spacing w:after="0" w:line="177" w:lineRule="exact"/>
        <w:rPr>
          <w:rFonts w:ascii="Arial" w:cs="Arial" w:eastAsia="Arial" w:hAnsi="Arial"/>
          <w:sz w:val="17"/>
          <w:szCs w:val="17"/>
          <w:color w:val="auto"/>
        </w:rPr>
      </w:pPr>
    </w:p>
    <w:p>
      <w:pPr>
        <w:ind w:left="720" w:right="279" w:hanging="319"/>
        <w:spacing w:after="0" w:line="342"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Net of CARES Act payroll credits, Entertainment segment operating loss for 2020 includes approximately $4.6 million in expenses directly related to the COVID-19 pandemic, which are primarily employment costs.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and Other Segment</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following presents the financial results of our Corporate and Other segment for the years ended December 31, 2020, 2019 and 2018 (in thousands, except percentages):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0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10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2018</w:t>
            </w:r>
          </w:p>
        </w:tc>
      </w:tr>
      <w:tr>
        <w:trPr>
          <w:trHeight w:val="210"/>
        </w:trPr>
        <w:tc>
          <w:tcPr>
            <w:tcW w:w="2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28,795</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30,833</w:t>
            </w:r>
          </w:p>
        </w:tc>
      </w:tr>
      <w:tr>
        <w:trPr>
          <w:trHeight w:val="216"/>
        </w:trPr>
        <w:tc>
          <w:tcPr>
            <w:tcW w:w="220" w:type="dxa"/>
            <w:vAlign w:val="bottom"/>
          </w:tcPr>
          <w:p>
            <w:pPr>
              <w:spacing w:after="0"/>
              <w:rPr>
                <w:sz w:val="18"/>
                <w:szCs w:val="18"/>
                <w:color w:val="auto"/>
              </w:rPr>
            </w:pPr>
          </w:p>
        </w:tc>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106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61.9 %</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60" w:type="dxa"/>
            <w:vAlign w:val="bottom"/>
            <w:tcBorders>
              <w:bottom w:val="single" w:sz="8" w:color="CCEEFF"/>
            </w:tcBorders>
            <w:gridSpan w:val="3"/>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r>
      <w:tr>
        <w:trPr>
          <w:trHeight w:val="210"/>
        </w:trPr>
        <w:tc>
          <w:tcPr>
            <w:tcW w:w="220" w:type="dxa"/>
            <w:vAlign w:val="bottom"/>
          </w:tcPr>
          <w:p>
            <w:pPr>
              <w:spacing w:after="0"/>
              <w:rPr>
                <w:sz w:val="18"/>
                <w:szCs w:val="18"/>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loss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(31,433)</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(37,911)</w:t>
            </w:r>
          </w:p>
        </w:tc>
        <w:tc>
          <w:tcPr>
            <w:tcW w:w="10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16.1 %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(32,650)</w:t>
            </w: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95"/>
        </w:trPr>
        <w:tc>
          <w:tcPr>
            <w:tcW w:w="2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bl>
    <w:p>
      <w:pPr>
        <w:spacing w:after="0" w:line="67" w:lineRule="exact"/>
        <w:rPr>
          <w:sz w:val="20"/>
          <w:szCs w:val="20"/>
          <w:color w:val="auto"/>
        </w:rPr>
      </w:pPr>
    </w:p>
    <w:p>
      <w:pPr>
        <w:ind w:left="720" w:right="99" w:hanging="319"/>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Corporate segment operating loss for 2020 includes approximately $0.6 million in expenses directly related to the COVID-19 pandemic, which are primarily employment costs.</w:t>
      </w:r>
    </w:p>
    <w:p>
      <w:pPr>
        <w:spacing w:after="0" w:line="170"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Corporate and Other operating expenses, which consist primarily of costs associated with senior management salaries and benefits, legal, human resources, accounting, pension and other administrative costs, decreased in 2020, as compared to 2019, primarily as a result of cost containment efforts, including temporary compensation decreases for each of our executive officers and our director and higher positions of management, including 50% of the salary for our chief executive officer, through December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225"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We expense the costs associated with start-up activities and organization costs as incurred. Our preopening costs for 2020 include costs associated with Ole Red Orlando, which opened in June 2020, and the Gaylord Palms expansion, which is expected to be completed in April 2021. Our preopening costs for 2019 include costs associated with Ole Red Gatlinburg, which opened in March 2019, Gaylord Rockies, which opened on a fully operational basis in first quarter 2019, and Gaylord Palms.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Gain on Sale of Assets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Gain on sale of assets of $1.2 million during 2020 primarily represents the sale of certain assets at Gaylord Opryland.</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Credit Losses on Held-to-Maturity Securities</w:t>
      </w:r>
    </w:p>
    <w:p>
      <w:pPr>
        <w:spacing w:after="0" w:line="225" w:lineRule="exact"/>
        <w:rPr>
          <w:sz w:val="20"/>
          <w:szCs w:val="20"/>
          <w:color w:val="auto"/>
        </w:rPr>
      </w:pPr>
    </w:p>
    <w:p>
      <w:pPr>
        <w:jc w:val="both"/>
        <w:ind w:left="60" w:right="159"/>
        <w:spacing w:after="0" w:line="286" w:lineRule="auto"/>
        <w:rPr>
          <w:sz w:val="20"/>
          <w:szCs w:val="20"/>
          <w:color w:val="auto"/>
        </w:rPr>
      </w:pPr>
      <w:r>
        <w:rPr>
          <w:rFonts w:ascii="Arial" w:cs="Arial" w:eastAsia="Arial" w:hAnsi="Arial"/>
          <w:sz w:val="17"/>
          <w:szCs w:val="17"/>
          <w:color w:val="auto"/>
        </w:rPr>
        <w:t>Credit losses on held-to-maturity securities of $32.8 million during 2020 relate to the bonds we received in 2008 related to the Gaylord National construction, which we hold as notes receivable. See further discussion regarding these credit losses in Note 3, “Notes Receivable,” to the consolidated financial statements included herein.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Impairment Charges</w:t>
      </w:r>
    </w:p>
    <w:p>
      <w:pPr>
        <w:spacing w:after="0" w:line="225" w:lineRule="exact"/>
        <w:rPr>
          <w:sz w:val="20"/>
          <w:szCs w:val="20"/>
          <w:color w:val="auto"/>
        </w:rPr>
      </w:pPr>
    </w:p>
    <w:p>
      <w:pPr>
        <w:ind w:left="60" w:right="179"/>
        <w:spacing w:after="0" w:line="291" w:lineRule="auto"/>
        <w:rPr>
          <w:sz w:val="20"/>
          <w:szCs w:val="20"/>
          <w:color w:val="auto"/>
        </w:rPr>
      </w:pPr>
      <w:r>
        <w:rPr>
          <w:rFonts w:ascii="Arial" w:cs="Arial" w:eastAsia="Arial" w:hAnsi="Arial"/>
          <w:sz w:val="16"/>
          <w:szCs w:val="16"/>
          <w:color w:val="auto"/>
        </w:rPr>
        <w:t>Impairment charges in 2018 primarily include costs associated with our previous investment in Opry City Stage. Subsequent to our purchase of the remaining 50% joint venture interest in the second quarter of 2018, we determined that current ongoing operations were not meeting our revenue expectations from the time of purchase, and we temporarily suspended operations at Opry City Stage to appropriately reposition the venue and its operations. An impairment assessment at that time warranted an impairment charge of $4.5 million. In December 2018, we determined that we would permanently close Opry City Stage and recorded an additional impairment charge of $18.0 million. In addition, during 2018, we incurred $1.2 million in impairment charges related to an entertainment concept that has been abandoned.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Results Affecting Net Income (Loss)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following table summarizes the other factors which affected our net income (loss) for the years ended December 31, 2020, 2019 and 2018 (in thousands, except percentages):</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8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$ 115,783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$ 131,620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Interest income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7,304</w:t>
            </w: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11,769</w:t>
            </w:r>
          </w:p>
        </w:tc>
        <w:tc>
          <w:tcPr>
            <w:tcW w:w="14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12.4 %</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10,469</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Loss from extinguishment of debt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100.0 %</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(494)</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7"/>
              </w:rPr>
              <w:t>Income (loss) from unconsolidated joint ventures</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(6,451)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(481.2)%</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(1,110)</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(100.9)%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125,005</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(14,976)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(2,261.0)%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27,084</w:t>
            </w:r>
          </w:p>
        </w:tc>
        <w:tc>
          <w:tcPr>
            <w:tcW w:w="1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46.6 %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18,475</w:t>
            </w:r>
          </w:p>
        </w:tc>
        <w:tc>
          <w:tcPr>
            <w:tcW w:w="140" w:type="dxa"/>
            <w:vAlign w:val="bottom"/>
          </w:tcPr>
          <w:p>
            <w:pPr>
              <w:spacing w:after="0"/>
              <w:rPr>
                <w:sz w:val="20"/>
                <w:szCs w:val="20"/>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57.3 %</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11,745</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Interest expense decreased $15.8 million in 2020, as compared to 2019, due primarily to lower average borrowings and lower interest rates under our credit facility for 2020, partially offset by increased principal balances outstanding under our senior notes. Our weighted average interest rate on our borrowings, excluding the write-off of deferred financing costs and capitalized interest, was 4.4% in 2020 as compared to 5.0% in 2019. Cash interest expense decreased $11.0 million to $111.5 million in 2020, as compared to 2019, and non-cash interest expense, which includes amortization and write-off of deferred financing costs and the effects of interest rate swaps, and is offset by capitalized interest, decreased $4.9 million to $4.3 million in 2020, as compared to 2019.</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Interest income for 2020 and 2019 primarily includes amounts earned on the bonds that we received in April 2008 in connection with the development of Gaylord National, which we hold as notes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on Extinguishment of Debt</w:t>
      </w:r>
    </w:p>
    <w:p>
      <w:pPr>
        <w:spacing w:after="0" w:line="22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In September 2019, we commenced a cash tender offer for any and all outstanding $350 million 5% senior notes due 2021 at a redemption price of $1,002.50 per $1,000 principal amount. Pursuant to the tender offer, $197.5 million aggregate principal amount of these notes were validly tendered. As a result of our purchase of these tendered notes, we recognized a loss on extinguishment of debt of $0.5 million in 2019.</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(Loss) from Unconsolidated Joint Ventures</w:t>
      </w:r>
    </w:p>
    <w:p>
      <w:pPr>
        <w:spacing w:after="0" w:line="225"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The loss from unconsolidated joint ventures for 2020 and 2019 represents our equity method share of losses associated with Circle.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Gains and (Losses), net</w:t>
      </w:r>
    </w:p>
    <w:p>
      <w:pPr>
        <w:spacing w:after="0" w:line="225"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Other gains and (losses), net for 2020 includes the forfeiture of a $15.0 million deposit associated with the terminated Block 21 acquisition. See “Termination of Block 21 Acquisition” above for additional discussion.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84" w:lineRule="exact"/>
        <w:rPr>
          <w:sz w:val="20"/>
          <w:szCs w:val="20"/>
          <w:color w:val="auto"/>
        </w:rPr>
      </w:pPr>
    </w:p>
    <w:p>
      <w:pPr>
        <w:jc w:val="both"/>
        <w:ind w:left="60" w:right="119"/>
        <w:spacing w:after="0" w:line="259" w:lineRule="auto"/>
        <w:rPr>
          <w:sz w:val="20"/>
          <w:szCs w:val="20"/>
          <w:color w:val="auto"/>
        </w:rPr>
      </w:pPr>
      <w:r>
        <w:rPr>
          <w:rFonts w:ascii="Arial" w:cs="Arial" w:eastAsia="Arial" w:hAnsi="Arial"/>
          <w:sz w:val="18"/>
          <w:szCs w:val="18"/>
          <w:color w:val="auto"/>
        </w:rPr>
        <w:t>During 2020, we recorded an income tax provision of $27.1 million, which includes the recording of a valuation allowance of $26.7 million on the net deferred tax assets at the beginning of the year, as discussed in Note 12, “Income Taxes,” to the consolidated financial statements included herein. In 2020, we also recorded income tax expense of $0.4 million, inclusive of valuation allowance, related to current period operations.</w:t>
      </w:r>
    </w:p>
    <w:p>
      <w:pPr>
        <w:spacing w:after="0" w:line="187"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During 2019, we recorded an income tax provision of $18.5 million, which differs from the statutory rate primarily due to the REIT dividends paid deduction.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We present the following non-GAAP financial measures, which we believe are useful to investors as key measures of our operating performance:</w:t>
      </w:r>
    </w:p>
    <w:p>
      <w:pPr>
        <w:spacing w:after="0" w:line="170"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EBITDAre, Adjusted EBITDAre and Adjusted EBITDAre, Excluding Noncontrolling Interest in Consolidated Joint Venture Definition</w:t>
      </w:r>
    </w:p>
    <w:p>
      <w:pPr>
        <w:spacing w:after="0" w:line="17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We calculate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or the affiliate, and adjustments to reflect the entity’s share of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of unconsolidated affiliates.</w:t>
      </w:r>
    </w:p>
    <w:p>
      <w:pPr>
        <w:spacing w:after="0" w:line="192"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is then calculated as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plus to the extent the following adjustments occurred during the periods presented:</w:t>
      </w:r>
    </w:p>
    <w:p>
      <w:pPr>
        <w:spacing w:after="0" w:line="170" w:lineRule="exact"/>
        <w:rPr>
          <w:sz w:val="20"/>
          <w:szCs w:val="20"/>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non-cash lease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equity-based compensation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impairment charges that do not meet the NAREIT definition above;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credit losses on held-to-maturity securities;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transaction costs of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income on bonds;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on extinguishment of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pension settlement charges;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 rata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from unconsolidated joint ventures;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adjustments we have identified herein.</w:t>
      </w:r>
    </w:p>
    <w:p>
      <w:pPr>
        <w:spacing w:after="0" w:line="211"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We then exclude the pro rata share of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related to noncontrolling interests in consolidated joint ventures to calculate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w:t>
      </w:r>
    </w:p>
    <w:p>
      <w:pPr>
        <w:spacing w:after="0" w:line="170"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We use EBITDA</w:t>
      </w:r>
      <w:r>
        <w:rPr>
          <w:rFonts w:ascii="Arial" w:cs="Arial" w:eastAsia="Arial" w:hAnsi="Arial"/>
          <w:sz w:val="17"/>
          <w:szCs w:val="17"/>
          <w:i w:val="1"/>
          <w:iCs w:val="1"/>
          <w:color w:val="auto"/>
        </w:rPr>
        <w:t>re</w:t>
      </w:r>
      <w:r>
        <w:rPr>
          <w:rFonts w:ascii="Arial" w:cs="Arial" w:eastAsia="Arial" w:hAnsi="Arial"/>
          <w:sz w:val="17"/>
          <w:szCs w:val="17"/>
          <w:color w:val="auto"/>
        </w:rPr>
        <w:t>,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and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when evaluating our performance because we believe that presenting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and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in Consolidated Joint Venture provides useful information to investors regarding our operating performance and debt leverage metrics. Beginning in the first quarter 2020 with the Company’s adoption of ASU 2016-13, “</w:t>
      </w:r>
      <w:r>
        <w:rPr>
          <w:rFonts w:ascii="Arial" w:cs="Arial" w:eastAsia="Arial" w:hAnsi="Arial"/>
          <w:sz w:val="17"/>
          <w:szCs w:val="17"/>
          <w:i w:val="1"/>
          <w:iCs w:val="1"/>
          <w:color w:val="auto"/>
        </w:rPr>
        <w:t>Financial Instruments – Credit Losses – 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Instruments</w:t>
      </w:r>
      <w:r>
        <w:rPr>
          <w:rFonts w:ascii="Arial" w:cs="Arial" w:eastAsia="Arial" w:hAnsi="Arial"/>
          <w:sz w:val="17"/>
          <w:szCs w:val="17"/>
          <w:color w:val="auto"/>
        </w:rPr>
        <w:t>,” our definition of Adjusted EBITDA</w:t>
      </w:r>
      <w:r>
        <w:rPr>
          <w:rFonts w:ascii="Arial" w:cs="Arial" w:eastAsia="Arial" w:hAnsi="Arial"/>
          <w:sz w:val="17"/>
          <w:szCs w:val="17"/>
          <w:i w:val="1"/>
          <w:iCs w:val="1"/>
          <w:color w:val="auto"/>
        </w:rPr>
        <w:t xml:space="preserve">re </w:t>
      </w:r>
      <w:r>
        <w:rPr>
          <w:rFonts w:ascii="Arial" w:cs="Arial" w:eastAsia="Arial" w:hAnsi="Arial"/>
          <w:sz w:val="17"/>
          <w:szCs w:val="17"/>
          <w:color w:val="auto"/>
        </w:rPr>
        <w:t>includes an adjustment for credit loss on held-to-maturity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such charges in previous quarters were included in impairment charges that do not meet the NAREIT definition. The 2020 presentation has been used for the 2019 and 2018 periods.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FFO, Adjusted FFO, and Adjusted FFO available to common shareholders and unit holders Definition</w:t>
      </w:r>
    </w:p>
    <w:p>
      <w:pPr>
        <w:spacing w:after="0" w:line="22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We calculate FFO</w:t>
      </w:r>
      <w:r>
        <w:rPr>
          <w:rFonts w:ascii="Arial" w:cs="Arial" w:eastAsia="Arial" w:hAnsi="Arial"/>
          <w:sz w:val="16"/>
          <w:szCs w:val="16"/>
          <w:i w:val="1"/>
          <w:iCs w:val="1"/>
          <w:color w:val="auto"/>
        </w:rPr>
        <w:t>,</w:t>
      </w:r>
      <w:r>
        <w:rPr>
          <w:rFonts w:ascii="Arial" w:cs="Arial" w:eastAsia="Arial" w:hAnsi="Arial"/>
          <w:sz w:val="16"/>
          <w:szCs w:val="16"/>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w:t>
      </w:r>
    </w:p>
    <w:p>
      <w:pPr>
        <w:spacing w:after="0" w:line="164"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To calculate Adjusted FFO available to common shareholders and unit holders, we then exclude, to the extent the following adjustments occurred during the periods presented:</w:t>
      </w:r>
    </w:p>
    <w:p>
      <w:pPr>
        <w:spacing w:after="0" w:line="170" w:lineRule="exact"/>
        <w:rPr>
          <w:sz w:val="20"/>
          <w:szCs w:val="20"/>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right-of-use asset amortization;</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impairment charges that do not meet the NAREIT definition above;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write-offs of deferred financing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amortization of debt discounts or premiums and amortization of deferred financing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(gains) losses on extinguishment of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non-cash lease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credit loss on held-to-maturity securities;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pension settlement charges;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additional pro rata adjustments from unconsolidated joint ventures;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(gains) losses on other assets;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transaction costs on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deferred income tax expense (benefit);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adjustments we have identified herein.</w:t>
      </w:r>
    </w:p>
    <w:p>
      <w:pPr>
        <w:spacing w:after="0" w:line="211"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color w:val="auto"/>
        </w:rPr>
        <w:t>FFO available to common shareholders and unit holders and Adjusted FFO available to common shareholders and unit holders exclude the ownership portion of the Gaylord Rockies joint venture not controlled or owned by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Beginning in the first quarter 2020 with the Company’s adoption of ASU 2016-13, “</w:t>
      </w:r>
      <w:r>
        <w:rPr>
          <w:rFonts w:ascii="Arial" w:cs="Arial" w:eastAsia="Arial" w:hAnsi="Arial"/>
          <w:sz w:val="16"/>
          <w:szCs w:val="16"/>
          <w:i w:val="1"/>
          <w:iCs w:val="1"/>
          <w:color w:val="auto"/>
        </w:rPr>
        <w:t>Financial Instruments – Credit Losses</w:t>
      </w:r>
    </w:p>
    <w:p>
      <w:pPr>
        <w:spacing w:after="0" w:line="46" w:lineRule="exact"/>
        <w:rPr>
          <w:sz w:val="20"/>
          <w:szCs w:val="20"/>
          <w:color w:val="auto"/>
        </w:rPr>
      </w:pPr>
    </w:p>
    <w:p>
      <w:pPr>
        <w:ind w:left="60" w:right="139"/>
        <w:spacing w:after="0" w:line="292" w:lineRule="auto"/>
        <w:rPr>
          <w:sz w:val="20"/>
          <w:szCs w:val="20"/>
          <w:color w:val="auto"/>
        </w:rPr>
      </w:pPr>
      <w:r>
        <w:rPr>
          <w:rFonts w:ascii="Arial" w:cs="Arial" w:eastAsia="Arial" w:hAnsi="Arial"/>
          <w:sz w:val="16"/>
          <w:szCs w:val="16"/>
          <w:i w:val="1"/>
          <w:iCs w:val="1"/>
          <w:color w:val="auto"/>
        </w:rPr>
        <w:t>– Measurement of Credit Losses on Financial Instruments</w:t>
      </w:r>
      <w:r>
        <w:rPr>
          <w:rFonts w:ascii="Arial" w:cs="Arial" w:eastAsia="Arial" w:hAnsi="Arial"/>
          <w:sz w:val="16"/>
          <w:szCs w:val="16"/>
          <w:color w:val="auto"/>
        </w:rPr>
        <w:t>,” our definition of Adjusted FFO available to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and unitholders includes an adjustment for credit loss on held-to-maturity securities; such charges in previous quarters were included in impairment charges that do not meet the NAREIT definition. The 2020 presentation has been used for the 2019 and 2018 periods. Beginning in the third quarter of 2020, we refer to unitholders in these measures, reflecting outstanding OP units issued to noncontrolling interests for the first time during third quarter 2020.</w:t>
      </w:r>
    </w:p>
    <w:p>
      <w:pPr>
        <w:spacing w:after="0" w:line="162"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We believe that the presentation of FFO available to common shareholders and unit holders and Adjusted FFO available to common shareholders and unit holders provides useful information to investors regarding the performance of our ongoing operations because they are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77"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We caution investors that amounts presented in accordance with our definitions of Adjusted EBITDA</w:t>
      </w:r>
      <w:r>
        <w:rPr>
          <w:rFonts w:ascii="Arial" w:cs="Arial" w:eastAsia="Arial" w:hAnsi="Arial"/>
          <w:sz w:val="17"/>
          <w:szCs w:val="17"/>
          <w:i w:val="1"/>
          <w:iCs w:val="1"/>
          <w:color w:val="auto"/>
        </w:rPr>
        <w:t>re</w:t>
      </w:r>
      <w:r>
        <w:rPr>
          <w:rFonts w:ascii="Arial" w:cs="Arial" w:eastAsia="Arial" w:hAnsi="Arial"/>
          <w:sz w:val="17"/>
          <w:szCs w:val="17"/>
          <w:color w:val="auto"/>
        </w:rPr>
        <w:t>,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FFO available to common shareholders and unit holders, and Adjusted FFO available to common shareholders and unit holders may not be comparable to similar measures disclosed by other companies, because not all companies calculate these non-GAAP measures in the same manner. These non-GAAP financial measures, and any related per share measures, should not be considered as alternative measures of our Net Income (Loss),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18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following is a reconciliation of our consolidated GAAP net income (loss) to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for the years ended December 31, 2020, 2019 and 2018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r>
      <w:tr>
        <w:trPr>
          <w:trHeight w:val="196"/>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(460,821)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128,294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264,670</w:t>
            </w:r>
          </w:p>
        </w:tc>
      </w:tr>
      <w:tr>
        <w:trPr>
          <w:trHeight w:val="203"/>
        </w:trPr>
        <w:tc>
          <w:tcPr>
            <w:tcW w:w="6060" w:type="dxa"/>
            <w:vAlign w:val="bottom"/>
          </w:tcPr>
          <w:p>
            <w:pPr>
              <w:ind w:left="120"/>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108,479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119,851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64,492</w:t>
            </w: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Provision for income taxes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27,084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11,745</w:t>
            </w:r>
          </w:p>
        </w:tc>
      </w:tr>
      <w:tr>
        <w:trPr>
          <w:trHeight w:val="203"/>
        </w:trPr>
        <w:tc>
          <w:tcPr>
            <w:tcW w:w="606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215,082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213,847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120,876</w:t>
            </w: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 loss on disposal of assets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(1,154)</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r>
      <w:tr>
        <w:trPr>
          <w:trHeight w:val="203"/>
        </w:trPr>
        <w:tc>
          <w:tcPr>
            <w:tcW w:w="6060" w:type="dxa"/>
            <w:vAlign w:val="bottom"/>
          </w:tcPr>
          <w:p>
            <w:pPr>
              <w:ind w:left="120"/>
              <w:spacing w:after="0"/>
              <w:rPr>
                <w:sz w:val="20"/>
                <w:szCs w:val="20"/>
                <w:color w:val="auto"/>
              </w:rPr>
            </w:pPr>
            <w:r>
              <w:rPr>
                <w:rFonts w:ascii="Arial" w:cs="Arial" w:eastAsia="Arial" w:hAnsi="Arial"/>
                <w:sz w:val="17"/>
                <w:szCs w:val="17"/>
                <w:color w:val="auto"/>
              </w:rPr>
              <w:t>Pro rata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from unconsolidated joint ventures</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1,198</w:t>
            </w: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EBITDA</w:t>
            </w:r>
            <w:r>
              <w:rPr>
                <w:rFonts w:ascii="Arial" w:cs="Arial" w:eastAsia="Arial" w:hAnsi="Arial"/>
                <w:sz w:val="17"/>
                <w:szCs w:val="17"/>
                <w:i w:val="1"/>
                <w:iCs w:val="1"/>
                <w:color w:val="auto"/>
              </w:rPr>
              <w:t>re</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(111,282)</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480,457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463,097</w:t>
            </w:r>
          </w:p>
        </w:tc>
      </w:tr>
      <w:tr>
        <w:trPr>
          <w:trHeight w:val="203"/>
        </w:trPr>
        <w:tc>
          <w:tcPr>
            <w:tcW w:w="6060" w:type="dxa"/>
            <w:vAlign w:val="bottom"/>
          </w:tcPr>
          <w:p>
            <w:pPr>
              <w:ind w:left="120"/>
              <w:spacing w:after="0"/>
              <w:rPr>
                <w:sz w:val="20"/>
                <w:szCs w:val="20"/>
                <w:color w:val="auto"/>
              </w:rPr>
            </w:pPr>
            <w:r>
              <w:rPr>
                <w:rFonts w:ascii="Arial" w:cs="Arial" w:eastAsia="Arial" w:hAnsi="Arial"/>
                <w:sz w:val="17"/>
                <w:szCs w:val="17"/>
                <w:color w:val="auto"/>
              </w:rPr>
              <w:t>Preopening costs</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1,665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3,122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4,869</w:t>
            </w: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Non-cash lease expense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5,291</w:t>
            </w:r>
          </w:p>
        </w:tc>
      </w:tr>
      <w:tr>
        <w:trPr>
          <w:trHeight w:val="203"/>
        </w:trPr>
        <w:tc>
          <w:tcPr>
            <w:tcW w:w="6060" w:type="dxa"/>
            <w:vAlign w:val="bottom"/>
          </w:tcPr>
          <w:p>
            <w:pPr>
              <w:ind w:left="120"/>
              <w:spacing w:after="0"/>
              <w:rPr>
                <w:sz w:val="20"/>
                <w:szCs w:val="20"/>
                <w:color w:val="auto"/>
              </w:rPr>
            </w:pPr>
            <w:r>
              <w:rPr>
                <w:rFonts w:ascii="Arial" w:cs="Arial" w:eastAsia="Arial" w:hAnsi="Arial"/>
                <w:sz w:val="17"/>
                <w:szCs w:val="17"/>
                <w:color w:val="auto"/>
              </w:rPr>
              <w:t>Equity-based compensation expense</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8,732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7,833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7,656</w:t>
            </w: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Pension settlement charge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w:t>
            </w:r>
          </w:p>
        </w:tc>
      </w:tr>
      <w:tr>
        <w:trPr>
          <w:trHeight w:val="203"/>
        </w:trPr>
        <w:tc>
          <w:tcPr>
            <w:tcW w:w="6060" w:type="dxa"/>
            <w:vAlign w:val="bottom"/>
          </w:tcPr>
          <w:p>
            <w:pPr>
              <w:ind w:left="120"/>
              <w:spacing w:after="0"/>
              <w:rPr>
                <w:sz w:val="20"/>
                <w:szCs w:val="20"/>
                <w:color w:val="auto"/>
              </w:rPr>
            </w:pPr>
            <w:r>
              <w:rPr>
                <w:rFonts w:ascii="Arial" w:cs="Arial" w:eastAsia="Arial" w:hAnsi="Arial"/>
                <w:sz w:val="17"/>
                <w:szCs w:val="17"/>
                <w:color w:val="auto"/>
              </w:rPr>
              <w:t>Impairment charges</w:t>
            </w:r>
          </w:p>
        </w:tc>
        <w:tc>
          <w:tcPr>
            <w:tcW w:w="12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23,783</w:t>
            </w: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Credit loss on held-to-maturity securities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32,784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6060" w:type="dxa"/>
            <w:vAlign w:val="bottom"/>
          </w:tcPr>
          <w:p>
            <w:pPr>
              <w:ind w:left="120"/>
              <w:spacing w:after="0"/>
              <w:rPr>
                <w:sz w:val="20"/>
                <w:szCs w:val="20"/>
                <w:color w:val="auto"/>
              </w:rPr>
            </w:pPr>
            <w:r>
              <w:rPr>
                <w:rFonts w:ascii="Arial" w:cs="Arial" w:eastAsia="Arial" w:hAnsi="Arial"/>
                <w:sz w:val="17"/>
                <w:szCs w:val="17"/>
                <w:color w:val="auto"/>
              </w:rPr>
              <w:t>Interest income on Gaylord National &amp; Gaylord Rockies bonds</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6,171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10,272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10,128</w:t>
            </w: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on extinguishment of debt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2"/>
        </w:trPr>
        <w:tc>
          <w:tcPr>
            <w:tcW w:w="6060" w:type="dxa"/>
            <w:vAlign w:val="bottom"/>
          </w:tcPr>
          <w:p>
            <w:pPr>
              <w:ind w:left="120"/>
              <w:spacing w:after="0"/>
              <w:rPr>
                <w:sz w:val="20"/>
                <w:szCs w:val="20"/>
                <w:color w:val="auto"/>
              </w:rPr>
            </w:pPr>
            <w:r>
              <w:rPr>
                <w:rFonts w:ascii="Arial" w:cs="Arial" w:eastAsia="Arial" w:hAnsi="Arial"/>
                <w:sz w:val="17"/>
                <w:szCs w:val="17"/>
                <w:color w:val="auto"/>
              </w:rPr>
              <w:t>Transaction costs of acquisitions</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15,437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993</w:t>
            </w: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 rata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from unconsolidated joint ventures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(128,598)</w:t>
            </w:r>
          </w:p>
        </w:tc>
      </w:tr>
      <w:tr>
        <w:trPr>
          <w:trHeight w:val="196"/>
        </w:trPr>
        <w:tc>
          <w:tcPr>
            <w:tcW w:w="6060" w:type="dxa"/>
            <w:vAlign w:val="bottom"/>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17"/>
                <w:szCs w:val="17"/>
                <w:i w:val="1"/>
                <w:iCs w:val="1"/>
                <w:color w:val="auto"/>
              </w:rPr>
              <w:t>re</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(40,279)</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510,530</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388,778</w:t>
            </w: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of noncontrolling interest in consolidated joint venture</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(3,989)</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(31,138)</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6060" w:type="dxa"/>
            <w:vAlign w:val="bottom"/>
          </w:tcPr>
          <w:p>
            <w:pPr>
              <w:ind w:left="20"/>
              <w:spacing w:after="0"/>
              <w:rPr>
                <w:sz w:val="20"/>
                <w:szCs w:val="20"/>
                <w:color w:val="auto"/>
              </w:rPr>
            </w:pPr>
            <w:r>
              <w:rPr>
                <w:rFonts w:ascii="Arial" w:cs="Arial" w:eastAsia="Arial" w:hAnsi="Arial"/>
                <w:sz w:val="17"/>
                <w:szCs w:val="17"/>
                <w:color w:val="auto"/>
                <w:w w:val="97"/>
              </w:rPr>
              <w:t>Adjusted EBITDA</w:t>
            </w:r>
            <w:r>
              <w:rPr>
                <w:rFonts w:ascii="Arial" w:cs="Arial" w:eastAsia="Arial" w:hAnsi="Arial"/>
                <w:sz w:val="17"/>
                <w:szCs w:val="17"/>
                <w:i w:val="1"/>
                <w:iCs w:val="1"/>
                <w:color w:val="auto"/>
                <w:w w:val="97"/>
              </w:rPr>
              <w:t>re</w:t>
            </w:r>
            <w:r>
              <w:rPr>
                <w:rFonts w:ascii="Arial" w:cs="Arial" w:eastAsia="Arial" w:hAnsi="Arial"/>
                <w:sz w:val="17"/>
                <w:szCs w:val="17"/>
                <w:color w:val="auto"/>
                <w:w w:val="97"/>
              </w:rPr>
              <w:t>, excluding noncontrolling interest in consolidated joint venture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(44,268)</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479,392</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388,778</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 following is a reconciliation of our consolidated GAAP net income (loss) to FFO and Adjusted FFO for the years ended December 31, 2020, 2019 and 2018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(460,821)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128,294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264,670</w:t>
            </w:r>
          </w:p>
        </w:tc>
      </w:tr>
      <w:tr>
        <w:trPr>
          <w:trHeight w:val="216"/>
        </w:trPr>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 in consolidated joint venture</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available to common shareholders and unit holders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(418,347)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145,794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264,670</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214,933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213,690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120,876</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for noncontrolling interest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(33,213)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(34,538)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Pro rata adjustments from joint ventures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(130,524)</w:t>
            </w:r>
          </w:p>
        </w:tc>
      </w:tr>
      <w:tr>
        <w:trPr>
          <w:trHeight w:val="209"/>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FFO available to common shareholders and unit holders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(236,577)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324,946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255,022</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Right-of-use asset amortization</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lease expense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Pension settlement charge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1,559</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charges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Pro rata adjustments from joint ventures</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(2,702)</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loss on held-to-maturity securities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(Gain) loss on other assets</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(1,161)</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Write-off of deferred financing costs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5,632</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debt premiums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for noncontrolling interest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Transaction costs of acquisitions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993</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expense</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10,190</w:t>
            </w:r>
          </w:p>
        </w:tc>
      </w:tr>
      <w:tr>
        <w:trPr>
          <w:trHeight w:val="209"/>
        </w:trPr>
        <w:tc>
          <w:tcPr>
            <w:tcW w:w="5900" w:type="dxa"/>
            <w:vAlign w:val="bottom"/>
          </w:tcPr>
          <w:p>
            <w:pPr>
              <w:ind w:left="20"/>
              <w:spacing w:after="0"/>
              <w:rPr>
                <w:sz w:val="20"/>
                <w:szCs w:val="20"/>
                <w:color w:val="auto"/>
              </w:rPr>
            </w:pPr>
            <w:r>
              <w:rPr>
                <w:rFonts w:ascii="Arial" w:cs="Arial" w:eastAsia="Arial" w:hAnsi="Arial"/>
                <w:sz w:val="18"/>
                <w:szCs w:val="18"/>
                <w:color w:val="auto"/>
              </w:rPr>
              <w:t>Adjusted FFO available to common shareholders and unit 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(149,598)</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356,631</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301,804</w:t>
            </w: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60" w:right="139"/>
        <w:spacing w:after="0" w:line="289"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Cash flow from operating activities is the principal source of cash used to fund our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expenses, interest payments on debt, maintenance capital expenditures, and dividends to stockholders. During 2020, with our hotels and other assets operating at limited capacity, our net cash flows used in operating activities were $161.5 million, primarily reflecting cash used in our net loss before depreciation expense, amortization expense and other non-cash charges of approximately $148.0 million and unfavorable changes in working capital of approximately $13.5 million. The unfavorable changes in working capital primarily resulted from a decrease in accounts payable and accrued liabilities associated with the payment of incentive compensation and general payables due to property closures or reduced business levels, partially offset by a decrease in accounts receivable due to the collection of previous receivables and the decrease of new receivables due to property closures and a decrease in business for properties that have reopened.</w:t>
      </w:r>
    </w:p>
    <w:p>
      <w:pPr>
        <w:spacing w:after="0" w:line="166"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During 2019, our net cash flows provided by our operating activities were $354.7 million, reflecting primarily our income before depreciation expense, amortization expense and other non-cash charges of approximately $376.2 million, partially offset by unfavorable changes in working capital of approximately $21.6 million. The unfavorable changes in working capital primarily resulted from a decrease in accounts payable and accrued liabilities primarily attributable to the timing of payments.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225"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color w:val="auto"/>
        </w:rPr>
        <w:t>During 2020, our primary uses of funds for investing activities were purchases of property and equipment, which totaled $165.5 million, and consisted primarily of the expansion of Gaylord Palms and ongoing maintenance capital expenditures for our existing properties.</w:t>
      </w:r>
    </w:p>
    <w:p>
      <w:pPr>
        <w:spacing w:after="0" w:line="184" w:lineRule="exact"/>
        <w:rPr>
          <w:sz w:val="20"/>
          <w:szCs w:val="20"/>
          <w:color w:val="auto"/>
        </w:rPr>
      </w:pPr>
    </w:p>
    <w:p>
      <w:pPr>
        <w:ind w:left="60" w:right="559"/>
        <w:spacing w:after="0" w:line="342" w:lineRule="auto"/>
        <w:rPr>
          <w:sz w:val="20"/>
          <w:szCs w:val="20"/>
          <w:color w:val="auto"/>
        </w:rPr>
      </w:pPr>
      <w:r>
        <w:rPr>
          <w:rFonts w:ascii="Arial" w:cs="Arial" w:eastAsia="Arial" w:hAnsi="Arial"/>
          <w:sz w:val="16"/>
          <w:szCs w:val="16"/>
          <w:color w:val="auto"/>
        </w:rPr>
        <w:t>During 2019, our primary use of funds for investing activities was the purchase of property and equipment of $152.5 million and consisted primarily of the expansion of Gaylord Palms, a rooms renovation at Gaylord Opryland,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construction of Ole Red Orlando, construction of SoundWaves, and ongoing maintenance for our existing properties. We also paid a $15.0 million earnest money deposit for the potential acquisition of Block 21. These uses of cash were partially offset by the receipt of $13.2 million of principal received from the governmental bonds held by Gaylord National and the redemption of the governmental bonds previously held by the Gaylord Rockies joint venture, as further described in Note 3, “Notes Receivable,” to the consolidated financial statements included herein.</w:t>
      </w:r>
    </w:p>
    <w:p>
      <w:pPr>
        <w:spacing w:after="0" w:line="176" w:lineRule="exact"/>
        <w:rPr>
          <w:sz w:val="20"/>
          <w:szCs w:val="20"/>
          <w:color w:val="auto"/>
        </w:rPr>
      </w:pPr>
    </w:p>
    <w:p>
      <w:pPr>
        <w:jc w:val="both"/>
        <w:ind w:left="60" w:right="159"/>
        <w:spacing w:after="0" w:line="259"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Our cash flows from financing activities reflect primarily the incurrence of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long-term debt and the payment of dividends. During 2020, net cash flows used in financing activities were $6.5 million, primarily reflecting the payment of $102.3 million in cash dividends, partially offset by $101.0 million in net borrowings under our credit facility.</w:t>
      </w:r>
    </w:p>
    <w:p>
      <w:pPr>
        <w:spacing w:after="0" w:line="187"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During 2019, our net cash flows provided by financing activities were $79.7 million, primarily reflecting the net issuance of $352.5 million in senior notes, increased borrowings under the Gaylord Rockies loans of $303.4 million, and the issuance of $282.9 million in our common stock, net of discounts, commissions and other offering expenses. These sources of cash were partially offset by the net repayment of $530.0 million under our credit facility, the payment of $183.3 million in cash dividends, the distribution by the Gaylord Rockies joint venture of $113.9 million to the noncontrolling interest partners in that joint venture, and the payment of $27.7 million in deferred financing costs.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At December 31, 2020, we had $56.7 million in unrestricted cash and $593.2 million available for borrowing under our revolving credit facility, down from year-end 2019 amounts of $362.4 million and $699.1 million, respectively. During 2020, we net borrowed $101.0 million under our credit facility, paid cash dividends of $102.3 million and incurred capital expenditures of $165.5 million. These net outflows, when added to the cash flows used in operations discussed above, were the primary factors in the decrease in our cash balance from 2019 to 2020.</w:t>
      </w:r>
    </w:p>
    <w:p>
      <w:pPr>
        <w:spacing w:after="0" w:line="176"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On February 25, 2020, our board of directors declared our first quarter 2020 cash dividend in the amount of $0.95 per share of common stock, or an aggregate of approximately $52.2 million in cash, which was paid on April 15, 2020 to stockholders of record as of the close of business on March 31, 2020. Following payment of our first quarter 2020 cash dividend, we suspended our regular quarterly dividend payments, and our board of directors will consider a future dividend as permitted by our credit agreement. Our credit facility amendment described below permits payment of dividends as necessary to maintain our REIT status and permits us to pay a dividend of $0.01 per share each quarter. Prior to the suspension of dividends as a result of the COVID-19 pandemic, we had planned to continue to pay a quarterly cash dividend to shareholders in an amount equal to an annualized payment of at least 50% of adjusted funds from operations (as defined by us) less maintenance capital expenditures or 100% of REIT taxable income, whichever is greater. Any future dividend is subject to our board of director’s determinations as to the amount of distributions and the timing thereof.</w:t>
      </w:r>
    </w:p>
    <w:p>
      <w:pPr>
        <w:spacing w:after="0" w:line="168"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We anticipate investing in our operations during 2021 by spending between approximately $70 million and $95 million in capital expenditures, which primarily includes ongoing maintenance capital of our current facilities, the ongoing expansion of the guest rooms and convention space at Gaylord Palms, and a rooms renovation at Gaylord National that will be funded from the FF&amp;E reserve account. The ongoing maintenance of our current facilities is typically also funded from the FF&amp;E escrow balance, which was $17.8 million at December 31, 2020.</w:t>
      </w:r>
    </w:p>
    <w:p>
      <w:pPr>
        <w:spacing w:after="0" w:line="176"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We believe that our cash on hand, together with amounts available for borrowing under our revolving credit facility, will be adequate to fund our general short-term commitments, as well as: (i) current operating expenses, (ii) interest expense on long-term debt obligations, and (iii) financing lease and operating lease obligations until our assets are able to operate at pre-COVID-19 pandemic levels. Our ability to draw on our credit facility is subject to the satisfaction of provisions of the credit facility, as amended. Based on our current projections, we estimate that our monthly cash needs during the first quarter of 2021 will be approximately $23 million to $26 million, which includes the Gaylord Rockies joint venture’s operating costs and debt service fully consolidated, as well as interest for both the $400 Million 5% Senior Notes that were tendered and redeemed in 2021 and the new $600 Million 4.50% Senior Notes that were issued in February 2021.</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color w:val="auto"/>
        </w:rPr>
        <w:t>Our outstanding principal debt agreements are described below. At December 31, 2020, there were no defaults under the covenants related to our outstanding debt, and our lenders had extended the allowable closure period in the covenant in our credit facility that prohibits closure of a Gaylord Hotels property for longer than a specified period of time.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Debt Agreements</w:t>
      </w:r>
    </w:p>
    <w:p>
      <w:pPr>
        <w:spacing w:after="0" w:line="225" w:lineRule="exact"/>
        <w:rPr>
          <w:sz w:val="20"/>
          <w:szCs w:val="20"/>
          <w:color w:val="auto"/>
        </w:rPr>
      </w:pPr>
    </w:p>
    <w:p>
      <w:pPr>
        <w:ind w:left="60" w:right="179"/>
        <w:spacing w:after="0" w:line="287" w:lineRule="auto"/>
        <w:rPr>
          <w:sz w:val="20"/>
          <w:szCs w:val="20"/>
          <w:color w:val="auto"/>
        </w:rPr>
      </w:pPr>
      <w:r>
        <w:rPr>
          <w:rFonts w:ascii="Arial" w:cs="Arial" w:eastAsia="Arial" w:hAnsi="Arial"/>
          <w:sz w:val="16"/>
          <w:szCs w:val="16"/>
          <w:i w:val="1"/>
          <w:iCs w:val="1"/>
          <w:color w:val="auto"/>
        </w:rPr>
        <w:t>Credit Facility</w:t>
      </w:r>
      <w:r>
        <w:rPr>
          <w:rFonts w:ascii="Arial" w:cs="Arial" w:eastAsia="Arial" w:hAnsi="Arial"/>
          <w:sz w:val="16"/>
          <w:szCs w:val="16"/>
          <w:color w:val="auto"/>
        </w:rPr>
        <w:t>. On October 31, 2019, we entered into a Sixth Amended and Restated Credit Agreement (the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 as administrative agent, which amended and restated the Company’s existing credit facility. As amended, our credit facility consists of a $700.0 million senior secured revolving credit facility (the “Revolver”), a $300.0 million senior secured term loan A (the “Term Loan A”), and a $500.0 million senior secured term loan B (the “Term Loan B”), each as discussed below. The Credit Agreement also includes an accordion feature of $600 million and a $50.0 million letter of credit sublimit. On April 23, 2020, we entered into Amendment No. 1 (the “First Amendment”) to the Credit Agreement among the same parties, and on December 22, 2020, the Company entered into Amendment No. 2 (the “Second Amendment” and collectively with the First Amendment, the “Amendments”), to the Credit Agreement among the same parties, each as discussed below.</w:t>
      </w:r>
    </w:p>
    <w:p>
      <w:pPr>
        <w:spacing w:after="0" w:line="172"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Each of the Revolver, Term Loan A and Term Loan B is guaranteed by us, each of our four wholly-owned subsidiaries that own the four wholly-owned Gaylord Hotels properties, and certain of our other subsidiaries. Each is secured by (i) a first mortgage lien on the real property of each of our four wholly-owned Gaylord Hotels properties, (ii) pledges of equity interests in our subsidiaries that own the four wholly-owned Gaylord Hotels properties, (iii) pledges of equity interests in the Operating Partnership, our subsidiaries that guarantee the Credit Agreement, and certain other of our subsidiaries, (iv) our personal property and the personal property of the Operating Partnership and our guarantor subsidiaries and (v) all proceeds and products from our four wholly-owned Gaylord Hotels properties. Advances are subject to a 55% borrowing base, based on the appraisal value of the four wholly-owned Gaylord Hotels properties (reduced to 50% in the event one of the four wholly-owned Gaylord Hotel properties is sold). Assets of the Gaylord Rockies joint venture are not subject to the liens of our credit facility.</w:t>
      </w:r>
    </w:p>
    <w:p>
      <w:pPr>
        <w:spacing w:after="0" w:line="185"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In addition, 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71" w:lineRule="exact"/>
        <w:rPr>
          <w:sz w:val="20"/>
          <w:szCs w:val="20"/>
          <w:color w:val="auto"/>
        </w:rPr>
      </w:pPr>
    </w:p>
    <w:p>
      <w:pPr>
        <w:ind w:left="720" w:right="459" w:hanging="319"/>
        <w:spacing w:after="0" w:line="277"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must maintain a consolidated funded indebtedness to total asset value ratio as of the end of each calendar quarter of not more than .65 to 1.0.</w:t>
      </w:r>
    </w:p>
    <w:p>
      <w:pPr>
        <w:spacing w:after="0" w:line="170" w:lineRule="exact"/>
        <w:rPr>
          <w:rFonts w:ascii="Arial" w:cs="Arial" w:eastAsia="Arial" w:hAnsi="Arial"/>
          <w:sz w:val="18"/>
          <w:szCs w:val="18"/>
          <w:color w:val="auto"/>
        </w:rPr>
      </w:pPr>
    </w:p>
    <w:p>
      <w:pPr>
        <w:ind w:left="720" w:right="99" w:hanging="319"/>
        <w:spacing w:after="0" w:line="277"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must maintain a consolidated fixed charge coverage ratio, as defined in the Credit Agreement, of not less than 1.50 to 1.00.</w:t>
      </w:r>
    </w:p>
    <w:p>
      <w:pPr>
        <w:spacing w:after="0" w:line="170" w:lineRule="exact"/>
        <w:rPr>
          <w:rFonts w:ascii="Arial" w:cs="Arial" w:eastAsia="Arial" w:hAnsi="Arial"/>
          <w:sz w:val="18"/>
          <w:szCs w:val="18"/>
          <w:color w:val="auto"/>
        </w:rPr>
      </w:pPr>
    </w:p>
    <w:p>
      <w:pPr>
        <w:ind w:left="720" w:right="259" w:hanging="319"/>
        <w:spacing w:after="0" w:line="263"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84"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The First Amendment provided for a waiver of the foregoing financial covenants through March 31, 2021 and the Second Amendment extended that waiver through March 31, 2022 (the “Temporary Waiver Period”). In addition, the Amendments contain a covenant that we must maintain unrestricted liquidity (in the form of unrestricted cash on hand or undrawn availability under the Revolver) of at least $100 million. In the event we are unable to comply with the Credit Agreement’s financial covenants following the Temporary Waiver Period, we expect to further amend the Credit Agreement or take other mitigating actions prior to a potential breach.</w:t>
      </w:r>
    </w:p>
    <w:p>
      <w:pPr>
        <w:spacing w:after="0" w:line="192" w:lineRule="exact"/>
        <w:rPr>
          <w:sz w:val="20"/>
          <w:szCs w:val="20"/>
          <w:color w:val="auto"/>
        </w:rPr>
      </w:pPr>
    </w:p>
    <w:p>
      <w:pPr>
        <w:ind w:left="60" w:right="359"/>
        <w:spacing w:after="0" w:line="311" w:lineRule="auto"/>
        <w:rPr>
          <w:sz w:val="20"/>
          <w:szCs w:val="20"/>
          <w:color w:val="auto"/>
        </w:rPr>
      </w:pPr>
      <w:r>
        <w:rPr>
          <w:rFonts w:ascii="Arial" w:cs="Arial" w:eastAsia="Arial" w:hAnsi="Arial"/>
          <w:sz w:val="16"/>
          <w:szCs w:val="16"/>
          <w:color w:val="auto"/>
        </w:rPr>
        <w:t>We may elect to terminate the Temporary Waiver Period prior to expiration. For the first quarter following expiration or termination of the Temporary Waiver Period, we will calculate compliance with the financial covenants in the Credit Agreement using a designated annualized calculation based on our most recently completed fiscal quarter. Thereafter,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we will be required to satisfy financial covenants at the levels set forth in the Credit Agreement using a designated annualized calculation based on our most recently completed fiscal quarters, as applicable. Pursuant to the Amendments, we are required to use any proceeds from borrowings drawn during the Temporary Waiver Period and until we demonstrate financial covenant compliance following the expiration or earlier termination of the Temporary Waiver Period (the “Restricted Period”) to fund operating expenses, debt service of the Company and its subsidiaries, and permitted capital expenditures and investments.</w:t>
      </w:r>
    </w:p>
    <w:p>
      <w:pPr>
        <w:spacing w:after="0" w:line="192"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65"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i w:val="1"/>
          <w:iCs w:val="1"/>
          <w:color w:val="auto"/>
        </w:rPr>
        <w:t xml:space="preserve">Revolving Credit Facility. </w:t>
      </w:r>
      <w:r>
        <w:rPr>
          <w:rFonts w:ascii="Arial" w:cs="Arial" w:eastAsia="Arial" w:hAnsi="Arial"/>
          <w:sz w:val="16"/>
          <w:szCs w:val="16"/>
          <w:color w:val="auto"/>
        </w:rPr>
        <w:t>Pursuant to the Credit Agreement, we extended the maturity of the Revolver to March 31, 2024,</w:t>
      </w:r>
      <w:r>
        <w:rPr>
          <w:rFonts w:ascii="Arial" w:cs="Arial" w:eastAsia="Arial" w:hAnsi="Arial"/>
          <w:sz w:val="16"/>
          <w:szCs w:val="16"/>
          <w:i w:val="1"/>
          <w:iCs w:val="1"/>
          <w:color w:val="auto"/>
        </w:rPr>
        <w:t xml:space="preserve"> </w:t>
      </w:r>
      <w:r>
        <w:rPr>
          <w:rFonts w:ascii="Arial" w:cs="Arial" w:eastAsia="Arial" w:hAnsi="Arial"/>
          <w:sz w:val="16"/>
          <w:szCs w:val="16"/>
          <w:color w:val="auto"/>
        </w:rPr>
        <w:t>with two additional six-month extension options, at our election. Borrowings under the Revolver bear interest at an annual rate equal to, at our option, either (i) LIBOR plus the applicable margin ranging from 1.40% to 1.95%, dependent upon our funded debt to total asset value ratio (as defined in the Credit Agreement) or (ii) a base rate as set in the Credit Agreement. Pursuant to the Amendments, through March 31, 2021, the interest rate on the LIBOR-based borrowings under the Revolver will be LIBOR plus 1.95%, and beginning April 1, 2021 through the end of the Restricted Period, the interest rate on LIBOR-based borrowings under the Revolver will be LIBOR plus 2.25%. Principal is payable in full at maturity.</w:t>
      </w:r>
    </w:p>
    <w:p>
      <w:pPr>
        <w:spacing w:after="0" w:line="166" w:lineRule="exact"/>
        <w:rPr>
          <w:sz w:val="20"/>
          <w:szCs w:val="20"/>
          <w:color w:val="auto"/>
        </w:rPr>
      </w:pPr>
    </w:p>
    <w:p>
      <w:pPr>
        <w:ind w:left="60" w:right="299"/>
        <w:spacing w:after="0" w:line="279" w:lineRule="auto"/>
        <w:rPr>
          <w:sz w:val="20"/>
          <w:szCs w:val="20"/>
          <w:color w:val="auto"/>
        </w:rPr>
      </w:pPr>
      <w:r>
        <w:rPr>
          <w:rFonts w:ascii="Arial" w:cs="Arial" w:eastAsia="Arial" w:hAnsi="Arial"/>
          <w:sz w:val="17"/>
          <w:szCs w:val="17"/>
          <w:color w:val="auto"/>
        </w:rPr>
        <w:t>At December 31, 2020, $106.0 million of borrowings were outstanding under the Revolver, and the lending banks had issued $0.8 million of letters of credit under the Credit Agreement, which left $593.2 million of availability under the Revolver (subject to the satisfaction of debt incurrence tests under the indentures governing our $400 Million 5% Senior Notes and our $700 Million 4.75% Senior Notes, which we met at December 31, 2020).</w:t>
      </w:r>
    </w:p>
    <w:p>
      <w:pPr>
        <w:spacing w:after="0" w:line="171"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i w:val="1"/>
          <w:iCs w:val="1"/>
          <w:color w:val="auto"/>
        </w:rPr>
        <w:t xml:space="preserve">Term Loan A Facility. </w:t>
      </w:r>
      <w:r>
        <w:rPr>
          <w:rFonts w:ascii="Arial" w:cs="Arial" w:eastAsia="Arial" w:hAnsi="Arial"/>
          <w:sz w:val="17"/>
          <w:szCs w:val="17"/>
          <w:color w:val="auto"/>
        </w:rPr>
        <w:t>Pursuant to the Credit Agreement, the Term Loan A was increased from $200 million to $300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the maturity date was extended to March 31, 2025. Borrowings bear interest at an annual rate equal to, at our option, either (i) LIBOR plus the applicable margin ranging from 1.35% to 1.90%, dependent upon our funded debt to total asset value ratio (as defined in the Credit Agreement) or (ii) a base rate as set in the Credit Agreement. Pursuant to the Amendments, through March 31, 2021, the interest rate on LIBOR-based borrowings under the Term Loan A will be LIBOR plus 1.90%, and beginning April 1, 2021 through the end of the Restricted Period, the interest rate on LIBOR-based borrowings under the Term Loan A will be LIBOR plus 2.25%. Amounts borrowed under the Term Loan A that are repaid or prepaid may not be reborrowed. Net proceeds from the increase in the Term Loan A pursuant to the Credit Agreement in 2019 were approximately $94 million and, along with cash on hand, were used to repay $100 million of the outstanding indebtedness under the Term Loan B.</w:t>
      </w:r>
    </w:p>
    <w:p>
      <w:pPr>
        <w:spacing w:after="0" w:line="185" w:lineRule="exact"/>
        <w:rPr>
          <w:sz w:val="20"/>
          <w:szCs w:val="20"/>
          <w:color w:val="auto"/>
        </w:rPr>
      </w:pPr>
    </w:p>
    <w:p>
      <w:pPr>
        <w:ind w:left="60" w:right="139"/>
        <w:spacing w:after="0" w:line="284" w:lineRule="auto"/>
        <w:rPr>
          <w:sz w:val="20"/>
          <w:szCs w:val="20"/>
          <w:color w:val="auto"/>
        </w:rPr>
      </w:pPr>
      <w:r>
        <w:rPr>
          <w:rFonts w:ascii="Arial" w:cs="Arial" w:eastAsia="Arial" w:hAnsi="Arial"/>
          <w:sz w:val="16"/>
          <w:szCs w:val="16"/>
          <w:i w:val="1"/>
          <w:iCs w:val="1"/>
          <w:color w:val="auto"/>
        </w:rPr>
        <w:t xml:space="preserve">Term Loan B Facility. </w:t>
      </w:r>
      <w:r>
        <w:rPr>
          <w:rFonts w:ascii="Arial" w:cs="Arial" w:eastAsia="Arial" w:hAnsi="Arial"/>
          <w:sz w:val="16"/>
          <w:szCs w:val="16"/>
          <w:color w:val="auto"/>
        </w:rPr>
        <w:t>The Term Loan B has a maturity date of May 11, 2024. The applicable interest rate margins on</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under the Term Loan B are, at our option, either (i) LIBOR plus 2.00% or (ii) a base rate as set in the Credit Agreement. At December 31, 2020, the interest rate on the Term Loan B was LIBOR plus 2.00%. In October 2019, we entered into four interest rate swaps with a total notional amount of $350.0 million to fix the LIBOR portion of the interest rate, at rates between 1.2235% and 1.2315%, through May 11, 2023. We have designated these interest rate swaps as effective cash flow hedges. The Term Loan B amortizes in equal quarterly installments in aggregate annual amounts equal to 1.0% of the original principal amount of $500.0 million, with the balance due at maturity. In addition, if for any</w:t>
      </w:r>
    </w:p>
    <w:p>
      <w:pPr>
        <w:spacing w:after="0" w:line="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fiscal year there is Excess Cash Flow (as defined in the Credit Agreement), an additional principal amount is required. Amounts borrowed under the Term Loan B that are repaid or prepaid may not be reborrowed. At closing in 2017, we drew down on the Term Loan B in full. At December 31, 2020, $381.3 million in borrowings were outstanding under the Term Loan B.</w:t>
      </w:r>
    </w:p>
    <w:p>
      <w:pPr>
        <w:spacing w:after="0" w:line="193"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i w:val="1"/>
          <w:iCs w:val="1"/>
          <w:color w:val="auto"/>
        </w:rPr>
        <w:t xml:space="preserve">$700 Million 4.75% Senior Notes. </w:t>
      </w:r>
      <w:r>
        <w:rPr>
          <w:rFonts w:ascii="Arial" w:cs="Arial" w:eastAsia="Arial" w:hAnsi="Arial"/>
          <w:sz w:val="16"/>
          <w:szCs w:val="16"/>
          <w:color w:val="auto"/>
        </w:rPr>
        <w:t>In September 2019, the Operating Partnership and Finco completed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$500.0 million in aggregate principal amount of senior notes due 2027,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w:t>
      </w:r>
    </w:p>
    <w:p>
      <w:pPr>
        <w:sectPr>
          <w:pgSz w:w="11900" w:h="16838" w:orient="portrait"/>
          <w:cols w:equalWidth="0" w:num="1">
            <w:col w:w="9019"/>
          </w:cols>
          <w:pgMar w:left="1440" w:top="517" w:right="1440"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beginning on April 15, 2020. The $500 Million 4.75% Senior Notes are general unsecured and unsubordinated obligations of the issuing subsidiaries and rank equal in right of payment with such subsidiaries’ existing and future senior unsecured indebtedness, including the $400 Million 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58"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net proceeds from the issuance of the $500 Million 4.75% Senior Notes totaled approximately $493 million, after deducting the initial purchasers’ discounts, commissions and offering expenses. We used substantially all of these proceeds to tender and redeem our previous $350 Million 5% Senior Notes and to repay a portion of the amounts outstanding under the Revolver.</w:t>
      </w:r>
    </w:p>
    <w:p>
      <w:pPr>
        <w:spacing w:after="0" w:line="146"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1"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4.75% Senior Notes”). All other terms and conditions of the additional 2027 notes are identical to the $500 Million 4.75% Senior Notes.</w:t>
      </w:r>
    </w:p>
    <w:p>
      <w:pPr>
        <w:spacing w:after="0" w:line="185"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The net proceeds of the additional 2027 notes totaled approximately $199 million, after deducting the initial purchasers’ discounts, commissions and offering expenses. We used substantially all of these proceeds to repay a portion of the amounts outstanding under the Revolver.</w:t>
      </w:r>
    </w:p>
    <w:p>
      <w:pPr>
        <w:spacing w:after="0" w:line="143" w:lineRule="exact"/>
        <w:rPr>
          <w:sz w:val="20"/>
          <w:szCs w:val="20"/>
          <w:color w:val="auto"/>
        </w:rPr>
      </w:pPr>
    </w:p>
    <w:p>
      <w:pPr>
        <w:ind w:left="60" w:right="319"/>
        <w:spacing w:after="0" w:line="273" w:lineRule="auto"/>
        <w:rPr>
          <w:sz w:val="20"/>
          <w:szCs w:val="20"/>
          <w:color w:val="auto"/>
        </w:rPr>
      </w:pPr>
      <w:r>
        <w:rPr>
          <w:rFonts w:ascii="Arial" w:cs="Arial" w:eastAsia="Arial" w:hAnsi="Arial"/>
          <w:sz w:val="17"/>
          <w:szCs w:val="17"/>
          <w:color w:val="auto"/>
        </w:rPr>
        <w:t>The $700 Million 4.75% Senior Notes are redeemable before October 15, 2022, in whole or in part, at 100.00%, plus accrued and unpaid interest thereon to, but not including, the redemption date, plus a make-whole premium. The $700 Million 4.75% Senior Notes will be redeemable, in whole or in part, at any time on or after October 15, 2022 at a redemption price expressed as a percentage of the principal amount thereof, which percentage is 103.563%, 102.375%, 101.188%, and 100.00% beginning on October 15 of 2022, 2023, 2024, and 2025, respectively, plus accrued and unpaid interest thereon to, but not including, the redemption date.</w:t>
      </w:r>
    </w:p>
    <w:p>
      <w:pPr>
        <w:spacing w:after="0" w:line="151"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We completed a registered offer to exchange the $700 Million 4.75% Senior Notes for registered notes with substantially identical terms as the $700 Million 4.75% Senior Notes in July 2020.</w:t>
      </w:r>
    </w:p>
    <w:p>
      <w:pPr>
        <w:spacing w:after="0" w:line="130" w:lineRule="exact"/>
        <w:rPr>
          <w:sz w:val="20"/>
          <w:szCs w:val="20"/>
          <w:color w:val="auto"/>
        </w:rPr>
      </w:pPr>
    </w:p>
    <w:p>
      <w:pPr>
        <w:ind w:left="60" w:right="219"/>
        <w:spacing w:after="0" w:line="285" w:lineRule="auto"/>
        <w:rPr>
          <w:sz w:val="20"/>
          <w:szCs w:val="20"/>
          <w:color w:val="auto"/>
        </w:rPr>
      </w:pPr>
      <w:r>
        <w:rPr>
          <w:rFonts w:ascii="Arial" w:cs="Arial" w:eastAsia="Arial" w:hAnsi="Arial"/>
          <w:sz w:val="16"/>
          <w:szCs w:val="16"/>
          <w:i w:val="1"/>
          <w:iCs w:val="1"/>
          <w:color w:val="auto"/>
        </w:rPr>
        <w:t>$600 Million 4.50% Senior Notes</w:t>
      </w:r>
      <w:r>
        <w:rPr>
          <w:rFonts w:ascii="Arial" w:cs="Arial" w:eastAsia="Arial" w:hAnsi="Arial"/>
          <w:sz w:val="16"/>
          <w:szCs w:val="16"/>
          <w:color w:val="auto"/>
        </w:rPr>
        <w:t>. On February 17, 2021, the Operating Partnership and Finco completed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$600.0 million in aggregate principal amount of senior notes due 2029, which are guaranteed by the Company and its subsidiaries that guarantee the Credit Agreement. The $600 Million 4.50% Senior Notes and guarantees were issued pursuant to an indenture by and among the issuing subsidiaries and the guarantors and U.S. Bank National Association as trustee. The $600 Million 5% Senior Notes have a maturity date of February 15, 2029 and bear interest at</w:t>
      </w:r>
    </w:p>
    <w:p>
      <w:pPr>
        <w:spacing w:after="0" w:line="2" w:lineRule="exact"/>
        <w:rPr>
          <w:sz w:val="20"/>
          <w:szCs w:val="20"/>
          <w:color w:val="auto"/>
        </w:rPr>
      </w:pPr>
    </w:p>
    <w:p>
      <w:pPr>
        <w:ind w:left="60" w:right="139"/>
        <w:spacing w:after="0" w:line="267" w:lineRule="auto"/>
        <w:rPr>
          <w:sz w:val="20"/>
          <w:szCs w:val="20"/>
          <w:color w:val="auto"/>
        </w:rPr>
      </w:pPr>
      <w:r>
        <w:rPr>
          <w:rFonts w:ascii="Arial" w:cs="Arial" w:eastAsia="Arial" w:hAnsi="Arial"/>
          <w:sz w:val="17"/>
          <w:szCs w:val="17"/>
          <w:color w:val="auto"/>
        </w:rPr>
        <w:t>4.50% per annum, payable semi-annually in cash in arrears on February 15 and August 15 each year, beginning on August 15, 2021. The $600 Million 4.50% Senior Notes are general unsecured and unsubordinated obligations of the issuing subsidiaries and rank equal in right of payment with such subsidiaries’ existing and future senior unsecured indebtedness, including the $700 Million 4.75%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spacing w:after="0" w:line="301" w:lineRule="auto"/>
        <w:rPr>
          <w:sz w:val="20"/>
          <w:szCs w:val="20"/>
          <w:color w:val="auto"/>
        </w:rPr>
      </w:pPr>
      <w:r>
        <w:rPr>
          <w:rFonts w:ascii="Arial" w:cs="Arial" w:eastAsia="Arial" w:hAnsi="Arial"/>
          <w:sz w:val="16"/>
          <w:szCs w:val="16"/>
          <w:color w:val="auto"/>
        </w:rPr>
        <w:t>The net proceeds from the issuance of the $600 Million 4.50% Senior Notes totaled approximately $591 million, after deducting the initial purchasers’ discounts, commissions and offering expenses. We used a significant portion of these proceeds to tender and redeem our previous $400 Million 5% Senior Notes, as discussed below, and to repay all of the amounts outstanding under the Revolver. We may use any remaining net proceeds for general corporate purposes.</w:t>
      </w:r>
    </w:p>
    <w:p>
      <w:pPr>
        <w:spacing w:after="0" w:line="157"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ant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78"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i w:val="1"/>
          <w:iCs w:val="1"/>
          <w:color w:val="auto"/>
        </w:rPr>
        <w:t>$400 Million 5% Senior Notes</w:t>
      </w:r>
      <w:r>
        <w:rPr>
          <w:rFonts w:ascii="Arial" w:cs="Arial" w:eastAsia="Arial" w:hAnsi="Arial"/>
          <w:sz w:val="18"/>
          <w:szCs w:val="18"/>
          <w:color w:val="auto"/>
        </w:rPr>
        <w:t>. In 2015, the Operating Partnership and Finco completed the private placement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$400.0 million in aggregate principal amount of senior notes due 2023.</w:t>
      </w:r>
    </w:p>
    <w:p>
      <w:pPr>
        <w:spacing w:after="0" w:line="170" w:lineRule="exact"/>
        <w:rPr>
          <w:sz w:val="20"/>
          <w:szCs w:val="20"/>
          <w:color w:val="auto"/>
        </w:rPr>
      </w:pPr>
    </w:p>
    <w:p>
      <w:pPr>
        <w:ind w:left="60" w:right="59"/>
        <w:spacing w:after="0" w:line="270" w:lineRule="auto"/>
        <w:rPr>
          <w:sz w:val="20"/>
          <w:szCs w:val="20"/>
          <w:color w:val="auto"/>
        </w:rPr>
      </w:pPr>
      <w:r>
        <w:rPr>
          <w:rFonts w:ascii="Arial" w:cs="Arial" w:eastAsia="Arial" w:hAnsi="Arial"/>
          <w:sz w:val="17"/>
          <w:szCs w:val="17"/>
          <w:color w:val="auto"/>
        </w:rPr>
        <w:t>On February 9, 2021, we commenced a cash tender offer for any and all outstanding $400 Million 5% Senior Notes at a redemption price of $1,005.00 per $1,000 principal amount. Pursuant to the tender offer, $161.9 million aggregate principal amount of the $400 Million 5% Senior Notes were validly tendered. We used a portion of the proceeds from the issuance of the $600 Million 4.50% Senior Notes to fund the tender offer. In accordance with the indenture governing the $400 Million 5% Senior Notes, subsequent to the expiration of the tender offer, on February 17, 2021, we gave irrevocable notice of the redemption of all remaining $400 Million 5% Senior Notes not tendered in the tender offer and irrevocably deposited with the trustee for the $400 Million 5% Senior Notes an amount sufficient to pay the redemption price of the $400 Million 5% Senior Notes called for redemption at that date, including interest. We used a portion of the proceeds from the issuance of the $600 Million 4.50% Senior Notes to fund the redemption.</w:t>
      </w:r>
    </w:p>
    <w:p>
      <w:pPr>
        <w:spacing w:after="0" w:line="181" w:lineRule="exact"/>
        <w:rPr>
          <w:sz w:val="20"/>
          <w:szCs w:val="20"/>
          <w:color w:val="auto"/>
        </w:rPr>
      </w:pPr>
    </w:p>
    <w:p>
      <w:pPr>
        <w:ind w:left="60" w:right="179"/>
        <w:spacing w:after="0" w:line="287" w:lineRule="auto"/>
        <w:rPr>
          <w:sz w:val="20"/>
          <w:szCs w:val="20"/>
          <w:color w:val="auto"/>
        </w:rPr>
      </w:pPr>
      <w:r>
        <w:rPr>
          <w:rFonts w:ascii="Arial" w:cs="Arial" w:eastAsia="Arial" w:hAnsi="Arial"/>
          <w:sz w:val="16"/>
          <w:szCs w:val="16"/>
          <w:i w:val="1"/>
          <w:iCs w:val="1"/>
          <w:color w:val="auto"/>
        </w:rPr>
        <w:t>$800 Million Term Loan (Gaylord Rockies Joint Venture)</w:t>
      </w:r>
      <w:r>
        <w:rPr>
          <w:rFonts w:ascii="Arial" w:cs="Arial" w:eastAsia="Arial" w:hAnsi="Arial"/>
          <w:sz w:val="16"/>
          <w:szCs w:val="16"/>
          <w:color w:val="auto"/>
        </w:rPr>
        <w:t>. On July 2, 2019, Aurora Convention Center Hotel, LLC and</w:t>
      </w:r>
      <w:r>
        <w:rPr>
          <w:rFonts w:ascii="Arial" w:cs="Arial" w:eastAsia="Arial" w:hAnsi="Arial"/>
          <w:sz w:val="16"/>
          <w:szCs w:val="16"/>
          <w:i w:val="1"/>
          <w:iCs w:val="1"/>
          <w:color w:val="auto"/>
        </w:rPr>
        <w:t xml:space="preserve"> </w:t>
      </w:r>
      <w:r>
        <w:rPr>
          <w:rFonts w:ascii="Arial" w:cs="Arial" w:eastAsia="Arial" w:hAnsi="Arial"/>
          <w:sz w:val="16"/>
          <w:szCs w:val="16"/>
          <w:color w:val="auto"/>
        </w:rPr>
        <w:t>Aurora Convention Center Hotel Lessee, LLC, subsidiaries of the entities comprising the Gaylord Rockies joint venture, entered into a Second Amended and Restated Loan Agreement (the “Gaylord Rockies Loan”) with Wells Fargo Bank, National Association, as administrative agent, which refinanced the Gaylord Rockies joint venture’s existing $500 million construction loan and $39 million mezzanine loan, which were scheduled to mature in December 2019. The Gaylord Rockies Loan consists of an $800.0 million secured term loan facility and also includes the option for an additional $80.0 million of borrowing capacity should the Gaylord Rockies joint venture pursue a future expansion of Gaylord Rockies, which was announced in February 2020 but has been postponed as a result of the COVID-19 pandemic. The Gaylord Rockies Loan matures July 2, 2023 with three, one-year extension options, subject to certain requirements in the Gaylord Rockies Loan, and bears interest at LIBOR plus 2.50%. Simultaneous with closing, the Gaylord Rockies joint venture entered into an interest rate swap to fix the LIBOR portion of the interest rate at 1.65% for the first three years of the loan. We have designated this interest rate swap as an effective cash flow hedge.</w:t>
      </w:r>
    </w:p>
    <w:p>
      <w:pPr>
        <w:spacing w:after="0" w:line="168"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The proceeds from the Gaylord Rockies Loan were used by the Gaylord Rockies joint venture to repay the previously outstanding $500 million construction loan and $39 million mezzanine loan, and, after payment of expenses, the Gaylord Rockies joint venture distributed the excess proceeds to the owners of the Gaylord Rockies joint venture pro rata in proportion to their interests therein. We received a distribution of approximately $153 million, which was used to repay a portion of the amounts outstanding under the Revolver.</w:t>
      </w:r>
    </w:p>
    <w:p>
      <w:pPr>
        <w:spacing w:after="0" w:line="176" w:lineRule="exact"/>
        <w:rPr>
          <w:sz w:val="20"/>
          <w:szCs w:val="20"/>
          <w:color w:val="auto"/>
        </w:rPr>
      </w:pPr>
    </w:p>
    <w:p>
      <w:pPr>
        <w:ind w:left="60" w:right="199"/>
        <w:spacing w:after="0" w:line="293" w:lineRule="auto"/>
        <w:rPr>
          <w:sz w:val="20"/>
          <w:szCs w:val="20"/>
          <w:color w:val="auto"/>
        </w:rPr>
      </w:pPr>
      <w:r>
        <w:rPr>
          <w:rFonts w:ascii="Arial" w:cs="Arial" w:eastAsia="Arial" w:hAnsi="Arial"/>
          <w:sz w:val="16"/>
          <w:szCs w:val="16"/>
          <w:color w:val="auto"/>
        </w:rPr>
        <w:t>The Gaylord Rockies Loan is secured by a deed of trust lien on the Gaylord Rockies real estate and related assets. We and an affiliate of RIDA each entered into limited repayment and carry guaranties that, in the aggregate, guarantee repayment of 10% of the principal debt, together with interest and operating expenses, which are to be released once the Gaylord Rockies joint venture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6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June 30, 2020, the Loan Parties entered into Amendment No. 1 (the “Loan Amendment”) to the Gaylord Rockies Loan, by and among the Loan Parties, Wells Fargo Bank, National Association, as administrative agent, and the lenders from time to time party thereto.</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339"/>
        <w:spacing w:after="0" w:line="279" w:lineRule="auto"/>
        <w:rPr>
          <w:sz w:val="20"/>
          <w:szCs w:val="20"/>
          <w:color w:val="auto"/>
        </w:rPr>
      </w:pPr>
      <w:r>
        <w:rPr>
          <w:rFonts w:ascii="Arial" w:cs="Arial" w:eastAsia="Arial" w:hAnsi="Arial"/>
          <w:sz w:val="17"/>
          <w:szCs w:val="17"/>
          <w:color w:val="auto"/>
        </w:rPr>
        <w:t>The Loan Amendment modified the Gaylord Rockies Loan to (i) provide for the ability to use cash for certain purposes, even during a Cash Sweep Period (as defined in the Loan Agreement), which the Gaylord Rockies joint venture was in beginning in July 2020, (ii) extend the deadline for Hotel Owner to commence construction of an expansion to Gaylord Rockies, and (iii) provide favorable changes to the debt service coverage ratio provisions.</w:t>
      </w:r>
    </w:p>
    <w:p>
      <w:pPr>
        <w:spacing w:after="0" w:line="171"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The Loan Amendment includes restrictions on distributions to the owners of the Gaylord Rockies joint venture and requires a certain level of equity financing for a Gaylord Rockies expansion.</w:t>
      </w:r>
    </w:p>
    <w:p>
      <w:pPr>
        <w:spacing w:after="0" w:line="170"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i w:val="1"/>
          <w:iCs w:val="1"/>
          <w:color w:val="auto"/>
        </w:rPr>
        <w:t>Additional Debt Limitations</w:t>
      </w:r>
      <w:r>
        <w:rPr>
          <w:rFonts w:ascii="Arial" w:cs="Arial" w:eastAsia="Arial" w:hAnsi="Arial"/>
          <w:sz w:val="18"/>
          <w:szCs w:val="18"/>
          <w:color w:val="auto"/>
        </w:rPr>
        <w:t>. Pursuant to the terms of the four wholly-owned Gaylord Hotels management agreements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pooling agreement with Marriott, we are subject to certain debt limitations described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225" w:lineRule="exact"/>
        <w:rPr>
          <w:sz w:val="20"/>
          <w:szCs w:val="20"/>
          <w:color w:val="auto"/>
        </w:rPr>
      </w:pPr>
    </w:p>
    <w:p>
      <w:pPr>
        <w:ind w:left="720" w:right="359" w:hanging="319"/>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170"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225" w:lineRule="exact"/>
        <w:rPr>
          <w:sz w:val="20"/>
          <w:szCs w:val="20"/>
          <w:color w:val="auto"/>
        </w:rPr>
      </w:pPr>
    </w:p>
    <w:p>
      <w:pPr>
        <w:ind w:left="720" w:right="199" w:hanging="319"/>
        <w:spacing w:after="0" w:line="277"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ratio of (a) aggregate Operating Profit (as defined in the pooling agreement) of Pooled Hotels in the</w:t>
      </w:r>
    </w:p>
    <w:p>
      <w:pPr>
        <w:spacing w:after="0" w:line="34" w:lineRule="exact"/>
        <w:rPr>
          <w:rFonts w:ascii="Arial" w:cs="Arial" w:eastAsia="Arial" w:hAnsi="Arial"/>
          <w:sz w:val="17"/>
          <w:szCs w:val="17"/>
          <w:color w:val="auto"/>
        </w:rPr>
      </w:pPr>
    </w:p>
    <w:p>
      <w:pPr>
        <w:ind w:left="720" w:right="239"/>
        <w:spacing w:after="0" w:line="260" w:lineRule="auto"/>
        <w:rPr>
          <w:rFonts w:ascii="Arial" w:cs="Arial" w:eastAsia="Arial" w:hAnsi="Arial"/>
          <w:sz w:val="17"/>
          <w:szCs w:val="17"/>
          <w:color w:val="auto"/>
        </w:rPr>
      </w:pPr>
      <w:r>
        <w:rPr>
          <w:rFonts w:ascii="Arial" w:cs="Arial" w:eastAsia="Arial" w:hAnsi="Arial"/>
          <w:sz w:val="18"/>
          <w:szCs w:val="18"/>
          <w:color w:val="auto"/>
        </w:rPr>
        <w:t>12 months prior to closing on any mortgage or mezzanine debt, to (b) annual debt service for the Pooled Hotels, shall equal or exceed 1.2:1.</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Gaylord Rockies is not a Pooled Hotel for this purpose.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Estimated Interest on Principal Debt Agreements</w:t>
      </w:r>
    </w:p>
    <w:p>
      <w:pPr>
        <w:spacing w:after="0" w:line="225"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Based on the stated interest rates on our fixed-rate debt and the rates in effect at December 31, 2020 for our variable-rate date after considering interest rate swaps, our estimated interest obligations over the next five years are $353.9 million. These estimated obligations are $107.1 million in 2021, $104.0 million in 2022, $64.7 million in 2023, $43.2 million in 2024, and $34.9 million in 2025. Variable rates, as well as outstanding principal balances, could change in future periods. See “Principal Debt Agreements” above for a discussion of our outstanding long-term debt. See “Supplemental Cash Flow Information” in Note 1 to our consolidated financial statements included herein for a discussion of the interest we paid during 2020, 2019 and 2018.</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Supplemental Guarantor Financial Information</w:t>
      </w:r>
    </w:p>
    <w:p>
      <w:pPr>
        <w:spacing w:after="0" w:line="225"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color w:val="auto"/>
        </w:rPr>
        <w:t>On March 2, 2020, the SEC adopted final rules that amend the financial disclosure requirements for subsidiary issuers and guarantors of registered debt securities in Rule 3-10 of Regulation S-X. The amended rules are effective January 4, 2021, but earlier compliance is permitted.</w:t>
      </w:r>
    </w:p>
    <w:p>
      <w:pPr>
        <w:spacing w:after="0" w:line="184"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The Company’s $400 million 5% senior notes, $700 million 4.75% senior notes and $600 million 4.50% senior notes were each issued by the Operating Partnership and RHP Finance Corporation, a Delaware corporation (collectively, the “Issuers”), and are guaranteed on a senior unsecured basis by the Company (as the parent company), each of the Operating Partnership’s four wholly-owned subsidiaries that own the four wholly-owned Gaylord Hotels properties, and certain other of the Company’s subsidiaries, each of which also guarantees the Operating Partnership’s Credit Agreement, as amended (such subsidiary guarantors, together with the Company, the “Guarantors”). The Guarantors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 Company’s $400 million 5% senior notes, $700 million 4.75% senior notes and $600 million 4.50% senior notes, and the guarantees are structurally subordinated to all indebtedness and other obligations of such subsidiaries that have not guaranteed the Company’s $400 million 5% senior notes, $700 million 4.75% senior notes and $600 million 4.50% senior notes.</w:t>
      </w:r>
    </w:p>
    <w:p>
      <w:pPr>
        <w:spacing w:after="0" w:line="177" w:lineRule="exact"/>
        <w:rPr>
          <w:sz w:val="20"/>
          <w:szCs w:val="20"/>
          <w:color w:val="auto"/>
        </w:rPr>
      </w:pPr>
    </w:p>
    <w:p>
      <w:pPr>
        <w:jc w:val="both"/>
        <w:ind w:left="60" w:right="139"/>
        <w:spacing w:after="0" w:line="286" w:lineRule="auto"/>
        <w:rPr>
          <w:sz w:val="20"/>
          <w:szCs w:val="20"/>
          <w:color w:val="auto"/>
        </w:rPr>
      </w:pPr>
      <w:r>
        <w:rPr>
          <w:rFonts w:ascii="Arial" w:cs="Arial" w:eastAsia="Arial" w:hAnsi="Arial"/>
          <w:sz w:val="17"/>
          <w:szCs w:val="17"/>
          <w:color w:val="auto"/>
        </w:rPr>
        <w:t>The following tables present summarized financial information for the Issuers and the Guarantors on a combined basis and the intercompany balances and transactions between these parties, as well as any investments in or equity in earnings from non-guarantor subsidiaries, have been eliminated (amounts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receivables due from non-guarantor subsidiaries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138,241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35,231</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1,660,137</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1,845,704</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1,798,378</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1,880,935</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1,995,509</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1,943,325</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Total noncontrolling interest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14,516</w:t>
            </w:r>
          </w:p>
        </w:tc>
        <w:tc>
          <w:tcPr>
            <w:tcW w:w="40" w:type="dxa"/>
            <w:vAlign w:val="bottom"/>
            <w:tcBorders>
              <w:bottom w:val="single" w:sz="8" w:color="auto"/>
            </w:tcBorders>
          </w:tcPr>
          <w:p>
            <w:pPr>
              <w:spacing w:after="0"/>
              <w:rPr>
                <w:sz w:val="17"/>
                <w:szCs w:val="17"/>
                <w:color w:val="auto"/>
              </w:rPr>
            </w:pPr>
          </w:p>
        </w:tc>
        <w:tc>
          <w:tcPr>
            <w:tcW w:w="18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third-parties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Revenues from non-guarantor subsidiaries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121,869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expenses to non-guarantor subsidiaries)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112,630</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Expenses to non-guarantor subsidiaries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11,678</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(80,619)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available to common stockholders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(79,663)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Item 7, “Management’s Discussion and Analysis of Financial Condition and Results of Operations” discusses our consolidated financial statements, which have been prepared in accordance with U.S. generally accepted accounting principles. Accounting estimates are an integral part of the preparation of the consolidated financial statements and the financial reporting process and are based upon current judgments. 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Certain accounting estimates are particularly sensitive because of their complexity and the possibility that future events affecting them may differ materially from our current judgments and estimates.</w:t>
      </w:r>
    </w:p>
    <w:p>
      <w:pPr>
        <w:spacing w:after="0" w:line="181"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This listing of critical accounting policies is not intended to be a comprehensive list of all of our accounting policies. In many cases, the accounting treatment of a particular transaction is specifically dictated by generally accepted accounting principles, with no need for management’s judgment regarding accounting policy. We believe that of our significant accounting policies, which are discussed in Note 1 to the consolidated financial statements included herein, the following may involve a higher degree of judgment and complexity.</w:t>
      </w:r>
    </w:p>
    <w:p>
      <w:pPr>
        <w:spacing w:after="0" w:line="176" w:lineRule="exact"/>
        <w:rPr>
          <w:sz w:val="20"/>
          <w:szCs w:val="20"/>
          <w:color w:val="auto"/>
        </w:rPr>
      </w:pPr>
    </w:p>
    <w:p>
      <w:pPr>
        <w:ind w:left="60" w:right="199"/>
        <w:spacing w:after="0" w:line="296"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Revenues from occupied hotel rooms are recognized over time as the daily hotel stay is provided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hotel groups and guests. Revenues from concessions, food and beverage sales, and group meeting services are recognized over the period or at the time those goods or services are delivered to the hotel group or guest. Revenues from ancillary services at our hotels, such as spa, parking, and transportation services, are generally recognized at the time the goods or services are provided. Cancellation fees and attrition fees, which are charged to groups when they do</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not fulfill the minimum number of room nights or minimum food and beverage spending requirements originally contracted for, are generally recognized as revenue in the period we determine it is probable that a significant reversal in the amount of revenue recognized will not occur, which is typically the period these fees are collected. We generally recognize revenues from the Entertainment segment at the point in time that services are provided or goods are delivered or shipped to the customer, as applicable.</w:t>
      </w:r>
    </w:p>
    <w:p>
      <w:pPr>
        <w:spacing w:after="0" w:line="188"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b w:val="1"/>
          <w:bCs w:val="1"/>
          <w:i w:val="1"/>
          <w:iCs w:val="1"/>
          <w:color w:val="auto"/>
        </w:rPr>
        <w:t xml:space="preserve">Impairment of long-lived and other assets. </w:t>
      </w:r>
      <w:r>
        <w:rPr>
          <w:rFonts w:ascii="Arial" w:cs="Arial" w:eastAsia="Arial" w:hAnsi="Arial"/>
          <w:sz w:val="18"/>
          <w:szCs w:val="18"/>
          <w:color w:val="auto"/>
        </w:rPr>
        <w:t>In accounting for our long-lived and other assets, we assess our long-lived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for impairment whenever events or changes in circumstances indicate that the carrying value of the assets or asset group may not be recoverable.</w:t>
      </w:r>
    </w:p>
    <w:p>
      <w:pPr>
        <w:spacing w:after="0" w:line="184"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Recoverability of property and equipment and definite-lived intangible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difference between the assets’ carrying amount and their fair value, which is estimated using discounted cash flow analyses that utilize comprehensive cash flow projections, as well as observable market data to the extent available.</w:t>
      </w:r>
    </w:p>
    <w:p>
      <w:pPr>
        <w:spacing w:after="0" w:line="192"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b w:val="1"/>
          <w:bCs w:val="1"/>
          <w:i w:val="1"/>
          <w:iCs w:val="1"/>
          <w:color w:val="auto"/>
        </w:rPr>
        <w:t xml:space="preserve">Credit losses on financial assets. </w:t>
      </w:r>
      <w:r>
        <w:rPr>
          <w:rFonts w:ascii="Arial" w:cs="Arial" w:eastAsia="Arial" w:hAnsi="Arial"/>
          <w:sz w:val="18"/>
          <w:szCs w:val="18"/>
          <w:color w:val="auto"/>
        </w:rPr>
        <w:t>We assess our financial assets, including the bonds we received in 2008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Gaylord National construction (“Gaylord National Bonds”), and our accounts receivable for credit losses utilizing the expected loss model prescribed by ASC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and record a reserve, in the form of an allowance for credit losses, against the amortized cost basis for the portion of the financial asset that will not be recovered due to credit losses.</w:t>
      </w:r>
    </w:p>
    <w:p>
      <w:pPr>
        <w:spacing w:after="0" w:line="188"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We provide credit loss reserves for the Gaylord National Bonds by comparing the amortized cost basis to their fair value. If the amortized cost basis exceeds the fair value, an expected credit loss exists and the allowance for credit losses is measured as the difference between the bonds’ amortized cost basis and fair value, which is estimated using discounted cash flow analyses that utilize comprehensive cash flow projections over the contractual life of the bonds, as well as observable market data to the extent available. Our estimate of the fair value of the Gaylord National Bonds is sensitive to the significant assumptions of the discounted cash flow analysis, which include the projections of hotel taxes (which are based on expected hotel rooms revenues) and property taxes, both of which are affected by expectations about future market and economic conditions, particularly those in the Washington D.C. market. Further, such assumptions are judgmental as the Gaylord National Bonds and related projected cash flows continue for an extended period of time through 2037 and include the uncertainty of the impact of the COVID-19 pandemic.</w:t>
      </w:r>
    </w:p>
    <w:p>
      <w:pPr>
        <w:spacing w:after="0" w:line="168"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We provide for credit loss reserves for trade receivables based upon a percentage of accounts receivable that considers historical write-offs, current economic conditions, and management’s expectations about future economic conditions, as well as periodic evaluations of the aging of accounts receivable.</w:t>
      </w:r>
    </w:p>
    <w:p>
      <w:pPr>
        <w:spacing w:after="0" w:line="184"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color w:val="auto"/>
        </w:rPr>
        <w:t>For awards of restricted stock and restricted stock units, we measure compensation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on the fair value of the awards on the date of grant. The fair value of time-based awards is determined based on the closing trading price of our common shares on the measurement date, which is generally the date of grant. The fair value of performance-based awards based on a market condition is determined using a Monte Carlo simulation. A Monte Carlo simulation requires the use of a number of assumptions, including historical volatility and correlation of the price of our common shares and the price of the common shares of a peer group, a risk-free rate of return, and an expected term. For each award, compensation expense is recognized on a straight-line basis over the vesting period. For both time-based awards and performance-based awards, once the total amount of compensation expense is determined on the date of the grant, no adjustments are made to the amount recognized each period, unless there is a change to a non-market condition assumption. No compensation expense is recognized for awards for which employees do not render the requisite service.</w:t>
      </w:r>
    </w:p>
    <w:p>
      <w:pPr>
        <w:spacing w:after="0" w:line="164" w:lineRule="exact"/>
        <w:rPr>
          <w:sz w:val="20"/>
          <w:szCs w:val="20"/>
          <w:color w:val="auto"/>
        </w:rPr>
      </w:pPr>
    </w:p>
    <w:p>
      <w:pPr>
        <w:ind w:left="60" w:right="179"/>
        <w:spacing w:after="0" w:line="314" w:lineRule="auto"/>
        <w:rPr>
          <w:sz w:val="20"/>
          <w:szCs w:val="20"/>
          <w:color w:val="auto"/>
        </w:rPr>
      </w:pPr>
      <w:r>
        <w:rPr>
          <w:rFonts w:ascii="Arial" w:cs="Arial" w:eastAsia="Arial" w:hAnsi="Arial"/>
          <w:sz w:val="16"/>
          <w:szCs w:val="16"/>
          <w:b w:val="1"/>
          <w:bCs w:val="1"/>
          <w:i w:val="1"/>
          <w:iCs w:val="1"/>
          <w:color w:val="auto"/>
        </w:rPr>
        <w:t>Derivative financial instruments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entered into and may in the future enter into additional interest rate swap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to hedge against interest rate fluctuations. Neither the Company nor the Gaylord Rockies joint venture use derivatives for trading or speculative purposes and currently do not hold any derivatives that are not designated as hedges.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For derivatives designated as and that qualify as cash flow hedges of interest rate risk, the gain or loss on the derivative resulting from recording each instrument at estimated fair value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w:t>
      </w:r>
    </w:p>
    <w:p>
      <w:pPr>
        <w:spacing w:after="0" w:line="134"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We or the Gaylord Rockies joint venture, as applicable, determine the fair values of our interest rate swap contracts based on a widely accepted valuation methodology of netting the discounted future fixed cash flows and the discounted expected variable cash flow, using interest rates derived from observable market interest rate curves and volatilities, with appropriate adjustments for any significant impact of non-performance risk of the parties to the swap contracts. We believe it is unlikely that materially different estimates for the fair value of financial derivative instruments would be made or reported based on other reasonable assumptions or conditions suggested by actual historical experience and other data available at the time the estimates were made.</w:t>
      </w:r>
    </w:p>
    <w:p>
      <w:pPr>
        <w:spacing w:after="0" w:line="123" w:lineRule="exact"/>
        <w:rPr>
          <w:sz w:val="20"/>
          <w:szCs w:val="20"/>
          <w:color w:val="auto"/>
        </w:rPr>
      </w:pPr>
    </w:p>
    <w:p>
      <w:pPr>
        <w:ind w:left="60" w:right="279"/>
        <w:spacing w:after="0" w:line="272"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expense is based on the estimated useful life of our fixed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Amortization expense for leasehold improvements is based on the shorter of the lease term or the estimated useful life of the related assets, and amortization expense for intangibles acquired as part of a business combination is based on the specific circumstances of each intangible asset. The lives of the assets are based on a number of assumptions, including cost and timing of capital expenditures to maintain and refurbish the assets, as well as specific market and economic conditions. While management believes its estimates are reasonable, a change in the estimated lives could affect our depreciation expense in future periods.</w:t>
      </w:r>
    </w:p>
    <w:p>
      <w:pPr>
        <w:spacing w:after="0" w:line="123"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As a REIT, generally we will not be subject to federal corporate income taxes on ordinary taxable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capital gains income from real estate investments that we distribute to our stockholders. We will continue to be required to pay federal and state corporate income taxes on earnings of our TRSs.</w:t>
      </w:r>
    </w:p>
    <w:p>
      <w:pPr>
        <w:spacing w:after="0" w:line="130"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Our deferred tax assets and liabilities are recognized for the future tax consequences attributable to differences between the financial statement carrying amounts of existing assets and liabilities and their respective tax bases, using enacted tax rates expected to apply to taxable income in the years in which those temporary differences are expected to be recovered or settled.</w:t>
      </w:r>
    </w:p>
    <w:p>
      <w:pPr>
        <w:spacing w:after="0" w:line="133"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We must assess the likelihood that we will be able to recover our deferred tax assets. If recovery is not likely, the provision for taxes is increased by recording a reserve, in the form of a valuation allowance, against the estimated deferred tax assets that will not ultimately be recoverable.</w:t>
      </w:r>
    </w:p>
    <w:p>
      <w:pPr>
        <w:spacing w:after="0" w:line="130"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In addition, we must evaluate uncertainties in the application of complex tax regulations in the calculation of tax liabilities. We provide for uncertain tax positions and the related interest and penalties based upon management’s assessment of whether a tax benefit is more likely than not to be sustained upon examination by tax authorities. We make this assessment based on only the technical merits of the tax position. At December 31, 2020 and 2019, we had no accruals for unrecognized tax benefits. We recognize interest and penalties related to uncertain tax positions, if any, in income tax expense. At December 31, 2020 and 2019, we have accrued no interest or penalties related to uncertain tax positions.</w:t>
      </w:r>
    </w:p>
    <w:p>
      <w:pPr>
        <w:spacing w:after="0" w:line="164"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b w:val="1"/>
          <w:bCs w:val="1"/>
          <w:i w:val="1"/>
          <w:iCs w:val="1"/>
          <w:color w:val="auto"/>
        </w:rPr>
        <w:t xml:space="preserve">Pension plans. </w:t>
      </w:r>
      <w:r>
        <w:rPr>
          <w:rFonts w:ascii="Arial" w:cs="Arial" w:eastAsia="Arial" w:hAnsi="Arial"/>
          <w:sz w:val="17"/>
          <w:szCs w:val="17"/>
          <w:color w:val="auto"/>
        </w:rPr>
        <w:t>The costs and obligations of our pension plans recognized in our consolidated financial statements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determined from actuarial valuations, which are dependent on significant assumptions, judgments, and estimates. These assumptions, judgments, and estimates, which include discount rates at which the liabilities could be settled at the measurement date, expected return on plan assets and mortality rates, are evaluated at each annual measurement date. In accordance with generally accepted accounting principles, actual results that differ from these assumptions, judgments, and estimates are accumulated and amortized over future periods and, therefore, affect expense recognized and obligations recorded in future periods.</w:t>
      </w:r>
    </w:p>
    <w:p>
      <w:pPr>
        <w:spacing w:after="0" w:line="177"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The discount rate utilized for determining future benefit obligations is based on the market rate of a broad-based index of high-quality bonds receiving an AA- or better rating from a recognized rating agency on our annual measurement date that is matched to the future expected cash flows of the benefit plans by annual periods. The resulting discount rate decreased from 2.85% for the pension plan and 2.70% for the postretirement benefits other than pension plans at December 31, 2019 to 1.95% and 1.70%, respectively, at December 31, 2020.</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We determine the overall expected long-term return on plan assets based on our estimate of the return that plan assets will provide over the period that benefits are expected to be paid out. In preparing this estimate, we assess the rates of return on each allocation of plan assets and advice by our third-party actuary and investment consultants. The expected return on plan assets is a long-term assumption that is determined at the beginning of each year and generally does not significantly change annually. While historical returns are considered, the rate of return assumption is primarily based on projections of expected returns, using economic data and financial models to estimate the probability of returns. The probability distribution of annualized returns for the portfolio using current asset allocations is used to determine the expected range of returns for a ten-to-twenty-year horizon. While management believes that the assumptions used are appropriate, differences in actual experience or changes in assumptions may affect our pension expense. The expected return on plan assets assumption used for determining net periodic pension expense for 2020 and 2019 was 6.5%. Actual return on plan assets for 2020 and 2019 was 16.8% and 22.1%, respectively. Our historical actual return averaged 9.1% for the ten-year period ended December 31, 2020. In the future, we may make additional discretionary contributions to the plan or we could be required to make mandatory cash funding payments.</w:t>
      </w:r>
    </w:p>
    <w:p>
      <w:pPr>
        <w:spacing w:after="0" w:line="174"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The mortality rate assumption used for determining future benefit obligations as of December 31, 2020 and 2019 was based on the Pri-2012 Total Dataset Mortality Table.</w:t>
      </w:r>
    </w:p>
    <w:p>
      <w:pPr>
        <w:spacing w:after="0" w:line="170"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While management believes that the assumptions used are appropriate, differences in actual experience or changes in assumptions may affect our pension obligations and expense. For example, holding all other assumptions constant, a 1% increase or decrease in the assumed discount rate related to the retirement plan would increase (decrease) 2020 net periodic pension expense by approximately $0.1 million and $(0.2) million, respectively. Likewise, a 1% increase or decrease in the assumed rate of return on plan assets would (decrease) increase 2020 net periodic pension expense by approximately $(0.7) million and $0.6 million, respectively.</w:t>
      </w:r>
    </w:p>
    <w:p>
      <w:pPr>
        <w:spacing w:after="0" w:line="178"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b w:val="1"/>
          <w:bCs w:val="1"/>
          <w:i w:val="1"/>
          <w:iCs w:val="1"/>
          <w:color w:val="auto"/>
        </w:rPr>
        <w:t xml:space="preserve">Acquisitions and Purchase Price Allocations. </w:t>
      </w:r>
      <w:r>
        <w:rPr>
          <w:rFonts w:ascii="Arial" w:cs="Arial" w:eastAsia="Arial" w:hAnsi="Arial"/>
          <w:sz w:val="16"/>
          <w:szCs w:val="16"/>
          <w:color w:val="auto"/>
        </w:rPr>
        <w:t>Accounting for the acquisition of a hotel property or other entity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combination, or becoming the primary beneficiary of a previously unconsolidated variable interest entity, requires an allocation of the purchase price to the assets acquired and the liabilities assumed in the transaction at their respective estimated fair values. The most difficult estimations of individual fair values are those involving long-lived assets, such as property, equipment, and intangible assets, that are assumed as part of the transaction, as well as any noncontrolling interests. We use all available information to make these fair value determinations, including market data for similar assets, expected cash flows discounted at risk-adjusted rates, and replacement cost for assets, among others. We may engage third parties to provide valuation services to assist in the fair value determinations of the long-lived assets acquired and the liabilities assumed. Acquisition-related costs, such as due diligence, legal and accounting fees, are expensed as incurred.</w:t>
      </w:r>
    </w:p>
    <w:p>
      <w:pPr>
        <w:spacing w:after="0" w:line="16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b w:val="1"/>
          <w:bCs w:val="1"/>
          <w:i w:val="1"/>
          <w:iCs w:val="1"/>
          <w:color w:val="auto"/>
        </w:rPr>
        <w:t xml:space="preserve">Legal Contingencies. </w:t>
      </w:r>
      <w:r>
        <w:rPr>
          <w:rFonts w:ascii="Arial" w:cs="Arial" w:eastAsia="Arial" w:hAnsi="Arial"/>
          <w:sz w:val="18"/>
          <w:szCs w:val="18"/>
          <w:color w:val="auto"/>
        </w:rPr>
        <w:t>We are subject to various legal proceedings and claims, the outcomes of which are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uncertainty. We record an accrual for loss contingencies when a loss is probable and the amount of the loss can be reasonably estimated. We review these accruals each reporting period and make revisions based on changes in facts and circumstances.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For a discussion of recently issued accounting standards, see Note 1 to our consolidated financial statements included herein.</w:t>
      </w:r>
    </w:p>
    <w:p>
      <w:pPr>
        <w:spacing w:after="0" w:line="166"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Our primary exposures to market risk are from changes in interest rates and changes in asset values of investments that fund our pension plan. See Item 7, “Management’s Discussion and Analysis of Financial Condition and Results of Operations,” and Item 1A, “Risk Factors,” in this Annual Report on Form 10-K for more discussion on how interest rate increases affect our operations and financial condition.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Related to Changes in Interest Rates</w:t>
      </w:r>
    </w:p>
    <w:p>
      <w:pPr>
        <w:spacing w:after="0" w:line="229"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At December 31, 2020, borrowings outstanding under our Revolver bore interest at an annual rate of LIBOR plus 1.95%, subject to adjustment as defined in the agreement. If LIBOR were to increase by 100 basis points, our annual interest cost on the $106.0 million in borrowings outstanding under the Revolver at December 31, 2020 would increase by approximately $1.1 million.</w:t>
      </w:r>
    </w:p>
    <w:p>
      <w:pPr>
        <w:spacing w:after="0" w:line="187"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At December 31, 2020, borrowings outstanding under our Term Loan A bore interest at an annual rate of LIBOR plus 1.90%, subject to adjustment as defined in the agreement. If LIBOR were to increase by 100 basis points, our annual interest cost on the $300.0 million in borrowings outstanding under the Term Loan A at December 31, 2020 would increase by approximately $3.0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At December 31, 2020, borrowings outstanding under our Term Loan B bore interest at an annual rate of LIBOR plus</w:t>
      </w:r>
    </w:p>
    <w:p>
      <w:pPr>
        <w:spacing w:after="0" w:line="35"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2.00%, subject to adjustment as defined in the agreement. We have hedged our interest rate exposure on $350.0 million of borrowings under the Term Loan B with interest rate swaps that fix the LIBOR portion of interest payments through May 2023. If LIBOR were to increase by 100 basis points, our annual interest cost on the $31.3 million in borrowings outstanding under the Term Loan B that are not hedged at December 31, 2020 would increase by approximately $0.3 million.</w:t>
      </w:r>
    </w:p>
    <w:p>
      <w:pPr>
        <w:spacing w:after="0" w:line="191"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At December 31, 2020, borrowings outstanding under the Gaylord Rockies Loan bore interest at an annual rate of LIBOR plus 2.50%. The Gaylord Rockies joint venture has hedged its interest rate exposure with an interest rate swap that fixes the LIBOR portion of interest payments through August 2022. If the Gaylord Rockies joint venture does not enter into an additional interest rate swap, the joint venture will be subject to interest rate risk from August 2022 through the maturity date of July 2023.</w:t>
      </w:r>
    </w:p>
    <w:p>
      <w:pPr>
        <w:spacing w:after="0" w:line="188" w:lineRule="exact"/>
        <w:rPr>
          <w:sz w:val="20"/>
          <w:szCs w:val="20"/>
          <w:color w:val="auto"/>
        </w:rPr>
      </w:pPr>
    </w:p>
    <w:p>
      <w:pPr>
        <w:ind w:left="60" w:right="159"/>
        <w:spacing w:after="0" w:line="286" w:lineRule="auto"/>
        <w:rPr>
          <w:sz w:val="20"/>
          <w:szCs w:val="20"/>
          <w:color w:val="auto"/>
        </w:rPr>
      </w:pPr>
      <w:r>
        <w:rPr>
          <w:rFonts w:ascii="Arial" w:cs="Arial" w:eastAsia="Arial" w:hAnsi="Arial"/>
          <w:sz w:val="17"/>
          <w:szCs w:val="17"/>
          <w:color w:val="auto"/>
        </w:rPr>
        <w:t>Certain of our outstanding cash balances are occasionally invested overnight with high credit quality financial institutions. We do not have significant exposure to changing interest rates on invested cash at December 31, 2020. As a result, the interest rate market risk implicit in these investments at December 31, 2020, if any, is low.</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Related to Changes in Asset Values that Fund our Pension Plans</w:t>
      </w:r>
    </w:p>
    <w:p>
      <w:pPr>
        <w:spacing w:after="0" w:line="229"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December 31, 2020, the value of the investments in the pension fund was $71.2 million, and an immediate ten percent decrease in the value of the investments in the fund would have reduced the value of the fund by approximately $7.1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Based upon our overall market risk exposures at December 31, 2020, we believe that the effects of changes in interest rates related to our borrowings and asset values of investments that fund our pension plan could be material to our consolidated financial position, results of operations or cash flows.</w:t>
      </w:r>
    </w:p>
    <w:p>
      <w:pPr>
        <w:spacing w:after="0" w:line="180"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9" w:lineRule="exact"/>
        <w:rPr>
          <w:sz w:val="20"/>
          <w:szCs w:val="20"/>
          <w:color w:val="auto"/>
        </w:rPr>
      </w:pPr>
    </w:p>
    <w:p>
      <w:pPr>
        <w:jc w:val="both"/>
        <w:ind w:left="60" w:right="99"/>
        <w:spacing w:after="0" w:line="277" w:lineRule="auto"/>
        <w:rPr>
          <w:sz w:val="20"/>
          <w:szCs w:val="20"/>
          <w:color w:val="auto"/>
        </w:rPr>
      </w:pPr>
      <w:r>
        <w:rPr>
          <w:rFonts w:ascii="Arial" w:cs="Arial" w:eastAsia="Arial" w:hAnsi="Arial"/>
          <w:sz w:val="18"/>
          <w:szCs w:val="18"/>
          <w:color w:val="auto"/>
        </w:rPr>
        <w:t>Information with respect to this Item is contained in the Company’s consolidated financial statements included in the Index beginning on page 80 of this Annual Report on Form 10-K and incorporated by reference herein.</w:t>
      </w:r>
    </w:p>
    <w:p>
      <w:pPr>
        <w:spacing w:after="0" w:line="166"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and Rule 15d-15(e) promulgated under the Securities Exchange Act of 1934, as amended (the “Exchange Act”), as of the end of the period covered by this Annual Report. Based on this evaluation, our principal executive officer and our principal financial officer concluded that our disclosure controls and procedures were effective, as of the end of the period covered by this Annual Report.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176" w:lineRule="exact"/>
        <w:rPr>
          <w:sz w:val="20"/>
          <w:szCs w:val="20"/>
          <w:color w:val="auto"/>
        </w:rPr>
      </w:pPr>
    </w:p>
    <w:p>
      <w:pPr>
        <w:ind w:left="720" w:right="279" w:hanging="319"/>
        <w:spacing w:after="0" w:line="277"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ind w:left="720" w:right="159" w:hanging="319"/>
        <w:spacing w:after="0" w:line="259"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720" w:right="699" w:hanging="319"/>
        <w:spacing w:after="0" w:line="342" w:lineRule="auto"/>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ind w:left="60" w:right="1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left="60" w:right="159"/>
        <w:spacing w:after="0" w:line="286" w:lineRule="auto"/>
        <w:rPr>
          <w:sz w:val="20"/>
          <w:szCs w:val="20"/>
          <w:color w:val="auto"/>
        </w:rPr>
      </w:pPr>
      <w:r>
        <w:rPr>
          <w:rFonts w:ascii="Arial" w:cs="Arial" w:eastAsia="Arial" w:hAnsi="Arial"/>
          <w:sz w:val="17"/>
          <w:szCs w:val="17"/>
          <w:color w:val="auto"/>
        </w:rPr>
        <w:t>Management assessed the effectiveness of the Company’s internal control over financial reporting as of December 31, 2020. In making this assessment, management used the criteria set forth by the Committee of Sponsoring Organizations of the Treadway Commission (2013 framework) in Internal Control - Integrated Framework.</w:t>
      </w:r>
    </w:p>
    <w:p>
      <w:pPr>
        <w:spacing w:after="0" w:line="16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Based on management’s assessment and those criteria, management believes that, as of December 31, 2020, the Company’s internal control over financial reporting was effective.</w:t>
      </w:r>
    </w:p>
    <w:p>
      <w:pPr>
        <w:spacing w:after="0" w:line="170"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 Company’s independent registered public accounting firm, Ernst &amp; Young LLP, has issued an attestation report on the Company’s internal control over financial reporting, which is included herein.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419"/>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2020 that have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ind w:left="60" w:right="279"/>
        <w:spacing w:after="0" w:line="293" w:lineRule="auto"/>
        <w:rPr>
          <w:sz w:val="20"/>
          <w:szCs w:val="20"/>
          <w:color w:val="auto"/>
        </w:rPr>
      </w:pPr>
      <w:r>
        <w:rPr>
          <w:rFonts w:ascii="Arial" w:cs="Arial" w:eastAsia="Arial" w:hAnsi="Arial"/>
          <w:sz w:val="16"/>
          <w:szCs w:val="16"/>
          <w:color w:val="auto"/>
        </w:rPr>
        <w:t>Information about our Board of Directors required by Item 401 of Regulation S-K is incorporated herein by reference to the discussion under the heading “Election of the Seven (7) Nominees for Director Identified in this Proxy Statement” in our Proxy Statement for the 2021 Annual Meeting of Stockholders, to be filed with the SEC. Information regarding procedures for stockholder nominations to our Board of Directors required by Item 407(c)(3) of Regulation S-K is incorporated by reference to the discussion under the heading “Submitting Stockholder Proposals and Nominations for 2022 Annual Meeting” in our Proxy Statement for the 2021 Annual Meeting of Stockholders to be filed with the SEC.</w:t>
      </w:r>
    </w:p>
    <w:p>
      <w:pPr>
        <w:spacing w:after="0" w:line="164"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color w:val="auto"/>
        </w:rPr>
        <w:t>Certain other information concerning executive officers and certain other officers of the Company is included in Item 1 of Part I of this Annual Report on Form 10-K under the caption “Information about our Executive Officers.”</w:t>
      </w:r>
    </w:p>
    <w:p>
      <w:pPr>
        <w:spacing w:after="0" w:line="146"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The Company has a separately designated audit committee of the Board of Directors established in accordance with the Exchange Act. Alvin Bowles, Fazal Merchant, Christine Pantoya and Robert S. Prather, Jr. currently serve as members of the Audit Committee, and Mr. Prather serves as its chairman. Our Board of Directors has determined that Mr. Prather and Mr. Merchant are “audit committee financial experts” as defined by the SEC and are independent, as that term is defined in the Exchange Act and the listing standards of the New York Stock Exchange.</w:t>
      </w:r>
    </w:p>
    <w:p>
      <w:pPr>
        <w:spacing w:after="0" w:line="176"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Our Board of Directors has adopted a Code of Business Conduct and Ethics applicable to the members of our Board of Directors and our officers, including our Principal Executive Officer, Principal Financial Officer and Principal Accounting Officer. In addition, the Board of Directors has adopted Corporate Governance Guidelines and restated charters for our Audit Committee, Human Resources Committee, and Nominating and Corporate Governance Committee. You can access our Code of Business Conduct and Ethics, Corporate Governance Guidelines and current committee charters on our website at www.rymanhp.com or request a copy of any of the foregoing by writing to the following address: Ryman Hospitality Properties, Inc., Attention: Secretary, One Gaylord Drive, Nashville, Tennessee 37214. The Company will make any legally required disclosures regarding amendments to, or waivers of, provisions of the Code of Business Conduct and Ethics, Corporate Governance Guidelines or current committee charters on its website. In accordance with the corporate governance listing standards of the New York Stock Exchange, the Company has designated Mr. Michael I. Roth as the lead director at all meetings of non-management directors, which meetings will be held on a regular basis. Stockholders, employees and other interested parties may communicate with Mr. Roth, individual non-management directors, or the non-management directors as a group, by email at boardofdirectors@rymanhp.com.</w:t>
      </w:r>
    </w:p>
    <w:p>
      <w:pPr>
        <w:spacing w:after="0" w:line="170"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The information required by this Item is incorporated herein by reference to the discussions under the headings “Director Compensation,” “Compensation Discussion and Analysis,” “Executive Compensation – 2020 Summary Compensation Table,” “2020 Grants of Plan-Based Awards,” “Outstanding Equity Awards at 2020 Fiscal Year End,” “2020 Option Exercises and Stock Vested,” “Other Compensation Information – Pension Benefits,” “Other Compensation Information – Nonqualified Deferred Compensation,” “Other Compensation Information – 2020 Nonqualified Deferred Compensation Table,” “Potential Payments on Termination or Change of Control,” “Committees of the Board – Compensation Committee Interlocks and Insider Participation,” and “Human Resources Committee Report” in our Proxy Statement for the 2021 Annual Meeting of Stockholders, to be filed with the SEC.</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left="60" w:right="439"/>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discussions under the headings “Stock Ownership” and “Equity Compensation Plan Information” in our Proxy Statement for the 2021 Annual Meeting of Stockholders, to be filed with the SEC.</w:t>
      </w:r>
    </w:p>
    <w:p>
      <w:pPr>
        <w:spacing w:after="0" w:line="180"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discussions under the headings “Company Information – Corporate Governance – Independence of Directors” and “Certain Transactions” in our Proxy Statement for the 2021 Annual Meeting of Stockholders, to be filed with the SEC.</w:t>
      </w:r>
    </w:p>
    <w:p>
      <w:pPr>
        <w:spacing w:after="0" w:line="180"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29"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discussion under the heading “Our Independent Registered Public Accounting Firm” in our Proxy Statement for the 2021 Annual Meeting of Stockholders, to be filed with the SEC.</w:t>
      </w:r>
    </w:p>
    <w:p>
      <w:pPr>
        <w:spacing w:after="0" w:line="18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29"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accompanying index to financial statements on page 80 of this Annual Report on Form 10-K is provided in response to this Item.</w:t>
      </w:r>
    </w:p>
    <w:p>
      <w:pPr>
        <w:spacing w:after="0" w:line="170"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following financial statement schedules are filed as a part of this report and are included herein beginning on page 124 of this Annual Report on Form 10-K:</w:t>
      </w:r>
    </w:p>
    <w:p>
      <w:pPr>
        <w:spacing w:after="0" w:line="170" w:lineRule="exact"/>
        <w:rPr>
          <w:sz w:val="20"/>
          <w:szCs w:val="20"/>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Schedule III – Real Estate and Accumulated Depreciation</w:t>
      </w:r>
    </w:p>
    <w:p>
      <w:pPr>
        <w:spacing w:after="0" w:line="225"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All other financial statement schedules for which provision is made in the applicable accounting regulations of the SEC are not required under the related instructions or are inapplicable and, therefore, have been omitted.</w:t>
      </w:r>
    </w:p>
    <w:p>
      <w:pPr>
        <w:spacing w:after="0" w:line="170"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i w:val="1"/>
          <w:iCs w:val="1"/>
          <w:color w:val="auto"/>
        </w:rPr>
        <w:t>Exhibits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with this Annual Report on Form 10-K or are incorporated herein by reference:</w:t>
      </w:r>
    </w:p>
    <w:p>
      <w:pPr>
        <w:spacing w:after="0" w:line="200" w:lineRule="exact"/>
        <w:rPr>
          <w:sz w:val="20"/>
          <w:szCs w:val="20"/>
          <w:color w:val="auto"/>
        </w:rPr>
      </w:pP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7820" w:type="dxa"/>
            <w:vAlign w:val="bottom"/>
            <w:gridSpan w:val="7"/>
            <w:vMerge w:val="restart"/>
          </w:tcPr>
          <w:p>
            <w:pPr>
              <w:ind w:left="3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78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360" w:type="dxa"/>
            <w:vAlign w:val="bottom"/>
          </w:tcPr>
          <w:p>
            <w:pPr>
              <w:spacing w:after="0"/>
              <w:rPr>
                <w:sz w:val="14"/>
                <w:szCs w:val="14"/>
                <w:color w:val="auto"/>
              </w:rPr>
            </w:pPr>
          </w:p>
        </w:tc>
        <w:tc>
          <w:tcPr>
            <w:tcW w:w="7600" w:type="dxa"/>
            <w:vAlign w:val="bottom"/>
            <w:tcBorders>
              <w:top w:val="single" w:sz="8" w:color="auto"/>
              <w:bottom w:val="single" w:sz="8" w:color="0000EE"/>
            </w:tcBorders>
            <w:gridSpan w:val="5"/>
          </w:tcPr>
          <w:p>
            <w:pPr>
              <w:spacing w:after="0" w:line="169"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Amended and Restated Certificate of Incorporation of the Company (incorporated by reference to Exhibit</w:t>
              </w:r>
            </w:hyperlink>
          </w:p>
        </w:tc>
        <w:tc>
          <w:tcPr>
            <w:tcW w:w="220" w:type="dxa"/>
            <w:vAlign w:val="bottom"/>
            <w:tcBorders>
              <w:top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7"/>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filed October 1, 2012).</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360" w:type="dxa"/>
            <w:vAlign w:val="bottom"/>
          </w:tcPr>
          <w:p>
            <w:pPr>
              <w:spacing w:after="0"/>
              <w:rPr>
                <w:sz w:val="17"/>
                <w:szCs w:val="17"/>
                <w:color w:val="auto"/>
              </w:rPr>
            </w:pPr>
          </w:p>
        </w:tc>
        <w:tc>
          <w:tcPr>
            <w:tcW w:w="77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Amended and Restated Bylaws of the Company (incorporated by reference to Exhibit 3.2 to the Company’s</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4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Current Report on Form 8-K filed October 1, 2012).</w:t>
              </w:r>
            </w:hyperlink>
          </w:p>
        </w:tc>
        <w:tc>
          <w:tcPr>
            <w:tcW w:w="40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4.1</w:t>
            </w:r>
          </w:p>
        </w:tc>
        <w:tc>
          <w:tcPr>
            <w:tcW w:w="360" w:type="dxa"/>
            <w:vAlign w:val="bottom"/>
          </w:tcPr>
          <w:p>
            <w:pPr>
              <w:spacing w:after="0"/>
              <w:rPr>
                <w:sz w:val="17"/>
                <w:szCs w:val="17"/>
                <w:color w:val="auto"/>
              </w:rPr>
            </w:pPr>
          </w:p>
        </w:tc>
        <w:tc>
          <w:tcPr>
            <w:tcW w:w="74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Specimen of Common Stock certificate of the Company (incorporated by reference to Exhibit 4.1 to the</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7"/>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Company’s Current Report on Form 8-K filed September 24, 2012).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80" w:type="dxa"/>
            <w:vAlign w:val="bottom"/>
          </w:tcPr>
          <w:p>
            <w:pPr>
              <w:ind w:left="20"/>
              <w:spacing w:after="0"/>
              <w:rPr>
                <w:sz w:val="20"/>
                <w:szCs w:val="20"/>
                <w:color w:val="auto"/>
              </w:rPr>
            </w:pPr>
            <w:r>
              <w:rPr>
                <w:rFonts w:ascii="Arial" w:cs="Arial" w:eastAsia="Arial" w:hAnsi="Arial"/>
                <w:sz w:val="18"/>
                <w:szCs w:val="18"/>
                <w:color w:val="auto"/>
              </w:rPr>
              <w:t>4.2</w:t>
            </w:r>
          </w:p>
        </w:tc>
        <w:tc>
          <w:tcPr>
            <w:tcW w:w="7840" w:type="dxa"/>
            <w:vAlign w:val="bottom"/>
            <w:gridSpan w:val="24"/>
          </w:tcPr>
          <w:p>
            <w:pPr>
              <w:spacing w:after="0"/>
              <w:rPr>
                <w:sz w:val="20"/>
                <w:szCs w:val="20"/>
                <w:color w:val="auto"/>
              </w:rPr>
            </w:pPr>
            <w:r>
              <w:rPr>
                <w:rFonts w:ascii="Arial" w:cs="Arial" w:eastAsia="Arial" w:hAnsi="Arial"/>
                <w:sz w:val="18"/>
                <w:szCs w:val="18"/>
                <w:color w:val="auto"/>
              </w:rPr>
              <w:t>Reference is made to Exhibits 3.1 and 3.2 hereof for instruments defining the rights of common</w:t>
            </w:r>
          </w:p>
        </w:tc>
      </w:tr>
      <w:tr>
        <w:trPr>
          <w:trHeight w:val="216"/>
        </w:trPr>
        <w:tc>
          <w:tcPr>
            <w:tcW w:w="1080" w:type="dxa"/>
            <w:vAlign w:val="bottom"/>
          </w:tcPr>
          <w:p>
            <w:pPr>
              <w:spacing w:after="0"/>
              <w:rPr>
                <w:sz w:val="18"/>
                <w:szCs w:val="18"/>
                <w:color w:val="auto"/>
              </w:rPr>
            </w:pPr>
          </w:p>
        </w:tc>
        <w:tc>
          <w:tcPr>
            <w:tcW w:w="7840" w:type="dxa"/>
            <w:vAlign w:val="bottom"/>
            <w:gridSpan w:val="24"/>
          </w:tcPr>
          <w:p>
            <w:pPr>
              <w:spacing w:after="0"/>
              <w:rPr>
                <w:sz w:val="20"/>
                <w:szCs w:val="20"/>
                <w:color w:val="auto"/>
              </w:rPr>
            </w:pPr>
            <w:r>
              <w:rPr>
                <w:rFonts w:ascii="Arial" w:cs="Arial" w:eastAsia="Arial" w:hAnsi="Arial"/>
                <w:sz w:val="18"/>
                <w:szCs w:val="18"/>
                <w:color w:val="auto"/>
              </w:rPr>
              <w:t>stockholders of the Company.</w:t>
            </w:r>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4.3</w:t>
            </w:r>
          </w:p>
        </w:tc>
        <w:tc>
          <w:tcPr>
            <w:tcW w:w="7840" w:type="dxa"/>
            <w:vAlign w:val="bottom"/>
            <w:gridSpan w:val="24"/>
          </w:tcPr>
          <w:p>
            <w:pPr>
              <w:spacing w:after="0" w:line="190" w:lineRule="exact"/>
              <w:rPr>
                <w:rFonts w:ascii="Arial" w:cs="Arial" w:eastAsia="Arial" w:hAnsi="Arial"/>
                <w:sz w:val="18"/>
                <w:szCs w:val="18"/>
                <w:color w:val="0000EE"/>
                <w:w w:val="96"/>
              </w:rPr>
            </w:pPr>
            <w:hyperlink r:id="rId94">
              <w:r>
                <w:rPr>
                  <w:rFonts w:ascii="Arial" w:cs="Arial" w:eastAsia="Arial" w:hAnsi="Arial"/>
                  <w:sz w:val="18"/>
                  <w:szCs w:val="18"/>
                  <w:color w:val="0000EE"/>
                  <w:w w:val="96"/>
                </w:rPr>
                <w:t>Description of Securities (incorporated by reference to Exhibit 4.3 to the Company’s Annual Report on</w:t>
              </w:r>
            </w:hyperlink>
          </w:p>
        </w:tc>
      </w:tr>
      <w:tr>
        <w:trPr>
          <w:trHeight w:val="196"/>
        </w:trPr>
        <w:tc>
          <w:tcPr>
            <w:tcW w:w="1080" w:type="dxa"/>
            <w:vAlign w:val="bottom"/>
          </w:tcPr>
          <w:p>
            <w:pPr>
              <w:spacing w:after="0"/>
              <w:rPr>
                <w:sz w:val="17"/>
                <w:szCs w:val="17"/>
                <w:color w:val="auto"/>
              </w:rPr>
            </w:pPr>
          </w:p>
        </w:tc>
        <w:tc>
          <w:tcPr>
            <w:tcW w:w="2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Form 10-K filed February 25, 2020).</w:t>
              </w:r>
            </w:hyperlink>
          </w:p>
        </w:tc>
        <w:tc>
          <w:tcPr>
            <w:tcW w:w="4760" w:type="dxa"/>
            <w:vAlign w:val="bottom"/>
            <w:tcBorders>
              <w:top w:val="single" w:sz="8" w:color="0000EE"/>
            </w:tcBorders>
            <w:gridSpan w:val="11"/>
          </w:tcPr>
          <w:p>
            <w:pPr>
              <w:spacing w:after="0"/>
              <w:rPr>
                <w:sz w:val="17"/>
                <w:szCs w:val="17"/>
                <w:color w:val="auto"/>
              </w:rPr>
            </w:pPr>
          </w:p>
        </w:tc>
        <w:tc>
          <w:tcPr>
            <w:tcW w:w="420" w:type="dxa"/>
            <w:vAlign w:val="bottom"/>
            <w:gridSpan w:val="12"/>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4.4</w:t>
            </w:r>
          </w:p>
        </w:tc>
        <w:tc>
          <w:tcPr>
            <w:tcW w:w="77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Indenture, dated as of April 14, 2015, among RHP Hotel Properties, LP, RHP Finance Corporation, Ryman</w:t>
              </w:r>
            </w:hyperlink>
          </w:p>
        </w:tc>
        <w:tc>
          <w:tcPr>
            <w:tcW w:w="12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24"/>
          </w:tcPr>
          <w:p>
            <w:pPr>
              <w:spacing w:after="0" w:line="196" w:lineRule="exact"/>
              <w:rPr>
                <w:rFonts w:ascii="Arial" w:cs="Arial" w:eastAsia="Arial" w:hAnsi="Arial"/>
                <w:sz w:val="18"/>
                <w:szCs w:val="18"/>
                <w:color w:val="0000EE"/>
                <w:w w:val="93"/>
              </w:rPr>
            </w:pPr>
            <w:hyperlink r:id="rId95">
              <w:r>
                <w:rPr>
                  <w:rFonts w:ascii="Arial" w:cs="Arial" w:eastAsia="Arial" w:hAnsi="Arial"/>
                  <w:sz w:val="18"/>
                  <w:szCs w:val="18"/>
                  <w:color w:val="0000EE"/>
                  <w:w w:val="93"/>
                </w:rPr>
                <w:t>Hospitality Properties, Inc., each of the guarantors named therein and U.S. Bank National Association, as</w:t>
              </w:r>
            </w:hyperlink>
          </w:p>
        </w:tc>
      </w:tr>
      <w:tr>
        <w:trPr>
          <w:trHeight w:val="196"/>
        </w:trPr>
        <w:tc>
          <w:tcPr>
            <w:tcW w:w="1080" w:type="dxa"/>
            <w:vAlign w:val="bottom"/>
          </w:tcPr>
          <w:p>
            <w:pPr>
              <w:spacing w:after="0"/>
              <w:rPr>
                <w:sz w:val="17"/>
                <w:szCs w:val="17"/>
                <w:color w:val="auto"/>
              </w:rPr>
            </w:pPr>
          </w:p>
        </w:tc>
        <w:tc>
          <w:tcPr>
            <w:tcW w:w="7580" w:type="dxa"/>
            <w:vAlign w:val="bottom"/>
            <w:tcBorders>
              <w:top w:val="single" w:sz="8" w:color="0000EE"/>
            </w:tcBorders>
            <w:gridSpan w:val="16"/>
          </w:tcPr>
          <w:p>
            <w:pPr>
              <w:spacing w:after="0" w:line="196" w:lineRule="exact"/>
              <w:rPr>
                <w:rFonts w:ascii="Arial" w:cs="Arial" w:eastAsia="Arial" w:hAnsi="Arial"/>
                <w:sz w:val="18"/>
                <w:szCs w:val="18"/>
                <w:color w:val="0000EE"/>
                <w:w w:val="95"/>
              </w:rPr>
            </w:pPr>
            <w:hyperlink r:id="rId95">
              <w:r>
                <w:rPr>
                  <w:rFonts w:ascii="Arial" w:cs="Arial" w:eastAsia="Arial" w:hAnsi="Arial"/>
                  <w:sz w:val="18"/>
                  <w:szCs w:val="18"/>
                  <w:color w:val="0000EE"/>
                  <w:w w:val="95"/>
                </w:rPr>
                <w:t>trustee, relating to the 5.00% Senior Notes due 2023 (incorporated by reference to Exhibit 4.1 to the</w:t>
              </w:r>
            </w:hyperlink>
          </w:p>
        </w:tc>
        <w:tc>
          <w:tcPr>
            <w:tcW w:w="26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Company’s Current Report on Form 8-K filed April 14, 2015).</w:t>
              </w:r>
            </w:hyperlink>
          </w:p>
        </w:tc>
        <w:tc>
          <w:tcPr>
            <w:tcW w:w="2680" w:type="dxa"/>
            <w:vAlign w:val="bottom"/>
            <w:tcBorders>
              <w:top w:val="single" w:sz="8" w:color="0000EE"/>
            </w:tcBorders>
            <w:gridSpan w:val="4"/>
          </w:tcPr>
          <w:p>
            <w:pPr>
              <w:spacing w:after="0"/>
              <w:rPr>
                <w:sz w:val="17"/>
                <w:szCs w:val="17"/>
                <w:color w:val="auto"/>
              </w:rPr>
            </w:pPr>
          </w:p>
        </w:tc>
        <w:tc>
          <w:tcPr>
            <w:tcW w:w="640" w:type="dxa"/>
            <w:vAlign w:val="bottom"/>
            <w:gridSpan w:val="15"/>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4.5</w:t>
            </w:r>
          </w:p>
        </w:tc>
        <w:tc>
          <w:tcPr>
            <w:tcW w:w="76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Form of 5.00% Senior Note due 2023 (incorporated by reference to Exhibit 4.2 to the Company’s Current</w:t>
              </w:r>
            </w:hyperlink>
          </w:p>
        </w:tc>
        <w:tc>
          <w:tcPr>
            <w:tcW w:w="20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0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95">
              <w:r>
                <w:rPr>
                  <w:rFonts w:ascii="Arial" w:cs="Arial" w:eastAsia="Arial" w:hAnsi="Arial"/>
                  <w:sz w:val="18"/>
                  <w:szCs w:val="18"/>
                  <w:color w:val="0000EE"/>
                  <w:w w:val="93"/>
                </w:rPr>
                <w:t>Report on Form 8-K filed April 14, 2015).</w:t>
              </w:r>
            </w:hyperlink>
          </w:p>
        </w:tc>
        <w:tc>
          <w:tcPr>
            <w:tcW w:w="4780" w:type="dxa"/>
            <w:vAlign w:val="bottom"/>
            <w:gridSpan w:val="22"/>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4.6</w:t>
            </w:r>
          </w:p>
        </w:tc>
        <w:tc>
          <w:tcPr>
            <w:tcW w:w="78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Indenture, dated as of September 19, 2019, among RHP Hotel Properties, LP and RHP Finance Corporation,</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as the issuers, Ryman Hospitality Properties, Inc., as a guarantor, each of the subsidiary guarantors named</w:t>
              </w:r>
            </w:hyperlink>
          </w:p>
        </w:tc>
        <w:tc>
          <w:tcPr>
            <w:tcW w:w="20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3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therein and U.S. Bank National Association, as trustee, relating to the 4.750% Senior Notes due 2027</w:t>
              </w:r>
            </w:hyperlink>
          </w:p>
        </w:tc>
        <w:tc>
          <w:tcPr>
            <w:tcW w:w="540" w:type="dxa"/>
            <w:vAlign w:val="bottom"/>
            <w:gridSpan w:val="13"/>
          </w:tcPr>
          <w:p>
            <w:pPr>
              <w:spacing w:after="0"/>
              <w:rPr>
                <w:sz w:val="17"/>
                <w:szCs w:val="17"/>
                <w:color w:val="auto"/>
              </w:rPr>
            </w:pPr>
          </w:p>
        </w:tc>
      </w:tr>
      <w:tr>
        <w:trPr>
          <w:trHeight w:val="222"/>
        </w:trPr>
        <w:tc>
          <w:tcPr>
            <w:tcW w:w="1080" w:type="dxa"/>
            <w:vAlign w:val="bottom"/>
          </w:tcPr>
          <w:p>
            <w:pPr>
              <w:spacing w:after="0"/>
              <w:rPr>
                <w:sz w:val="19"/>
                <w:szCs w:val="19"/>
                <w:color w:val="auto"/>
              </w:rPr>
            </w:pPr>
          </w:p>
        </w:tc>
        <w:tc>
          <w:tcPr>
            <w:tcW w:w="7840" w:type="dxa"/>
            <w:vAlign w:val="bottom"/>
            <w:gridSpan w:val="24"/>
          </w:tcPr>
          <w:p>
            <w:pPr>
              <w:spacing w:after="0"/>
              <w:rPr>
                <w:rFonts w:ascii="Arial" w:cs="Arial" w:eastAsia="Arial" w:hAnsi="Arial"/>
                <w:sz w:val="18"/>
                <w:szCs w:val="18"/>
                <w:u w:val="single" w:color="auto"/>
                <w:color w:val="0000EE"/>
                <w:w w:val="91"/>
              </w:rPr>
            </w:pPr>
            <w:hyperlink r:id="rId96">
              <w:r>
                <w:rPr>
                  <w:rFonts w:ascii="Arial" w:cs="Arial" w:eastAsia="Arial" w:hAnsi="Arial"/>
                  <w:sz w:val="18"/>
                  <w:szCs w:val="18"/>
                  <w:u w:val="single" w:color="auto"/>
                  <w:color w:val="0000EE"/>
                  <w:w w:val="91"/>
                </w:rPr>
                <w:t>(incorporated by reference to Exhibit 4.1 to the Company’s Current Report on Form 8-K filed September 19,</w:t>
              </w:r>
            </w:hyperlink>
          </w:p>
        </w:tc>
      </w:tr>
      <w:tr>
        <w:trPr>
          <w:trHeight w:val="216"/>
        </w:trPr>
        <w:tc>
          <w:tcPr>
            <w:tcW w:w="1080" w:type="dxa"/>
            <w:vAlign w:val="bottom"/>
          </w:tcPr>
          <w:p>
            <w:pPr>
              <w:spacing w:after="0"/>
              <w:rPr>
                <w:sz w:val="18"/>
                <w:szCs w:val="18"/>
                <w:color w:val="auto"/>
              </w:rPr>
            </w:pPr>
          </w:p>
        </w:tc>
        <w:tc>
          <w:tcPr>
            <w:tcW w:w="2660" w:type="dxa"/>
            <w:vAlign w:val="bottom"/>
          </w:tcPr>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2019).</w:t>
              </w:r>
            </w:hyperlink>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4.7</w:t>
            </w:r>
          </w:p>
        </w:tc>
        <w:tc>
          <w:tcPr>
            <w:tcW w:w="7720" w:type="dxa"/>
            <w:vAlign w:val="bottom"/>
            <w:tcBorders>
              <w:bottom w:val="single" w:sz="8" w:color="0000EE"/>
            </w:tcBorders>
            <w:gridSpan w:val="21"/>
          </w:tcPr>
          <w:p>
            <w:pPr>
              <w:spacing w:after="0" w:line="190"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Form of 4.750% Senior Note due 2027 (incorporated by reference to Exhibit 4.2 to the Company’s Current</w:t>
              </w:r>
            </w:hyperlink>
          </w:p>
        </w:tc>
        <w:tc>
          <w:tcPr>
            <w:tcW w:w="120" w:type="dxa"/>
            <w:vAlign w:val="bottom"/>
            <w:gridSpan w:val="3"/>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7840" w:type="dxa"/>
            <w:vAlign w:val="bottom"/>
            <w:gridSpan w:val="24"/>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Report on Form 8-K filed September 19, 2019).</w:t>
              </w:r>
            </w:hyperlink>
          </w:p>
        </w:tc>
      </w:tr>
      <w:tr>
        <w:trPr>
          <w:trHeight w:val="20"/>
        </w:trPr>
        <w:tc>
          <w:tcPr>
            <w:tcW w:w="1080" w:type="dxa"/>
            <w:vAlign w:val="bottom"/>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4.8</w:t>
            </w:r>
          </w:p>
        </w:tc>
        <w:tc>
          <w:tcPr>
            <w:tcW w:w="76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Supplemental Indenture No. 1, dated as of October 8, 2019, by and among RHP Hotel Properties, LP, and</w:t>
              </w:r>
            </w:hyperlink>
          </w:p>
        </w:tc>
        <w:tc>
          <w:tcPr>
            <w:tcW w:w="22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4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RHP Finance Corporation, as the issuers, Ryman Hospitality Properties, Inc., as a guarantor, each of the</w:t>
              </w:r>
            </w:hyperlink>
          </w:p>
        </w:tc>
        <w:tc>
          <w:tcPr>
            <w:tcW w:w="36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24"/>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subsidiary guarantors named therein and U.S. Bank National Association, as trustee, relating to the 4.750%</w:t>
              </w:r>
            </w:hyperlink>
          </w:p>
        </w:tc>
      </w:tr>
      <w:tr>
        <w:trPr>
          <w:trHeight w:val="20"/>
        </w:trPr>
        <w:tc>
          <w:tcPr>
            <w:tcW w:w="1080" w:type="dxa"/>
            <w:vAlign w:val="bottom"/>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080" w:type="dxa"/>
            <w:vAlign w:val="bottom"/>
          </w:tcPr>
          <w:p>
            <w:pPr>
              <w:spacing w:after="0"/>
              <w:rPr>
                <w:sz w:val="19"/>
                <w:szCs w:val="19"/>
                <w:color w:val="auto"/>
              </w:rPr>
            </w:pPr>
          </w:p>
        </w:tc>
        <w:tc>
          <w:tcPr>
            <w:tcW w:w="7840" w:type="dxa"/>
            <w:vAlign w:val="bottom"/>
            <w:gridSpan w:val="24"/>
          </w:tcPr>
          <w:p>
            <w:pPr>
              <w:spacing w:after="0"/>
              <w:rPr>
                <w:rFonts w:ascii="Arial" w:cs="Arial" w:eastAsia="Arial" w:hAnsi="Arial"/>
                <w:sz w:val="18"/>
                <w:szCs w:val="18"/>
                <w:u w:val="single" w:color="auto"/>
                <w:color w:val="0000EE"/>
                <w:w w:val="91"/>
              </w:rPr>
            </w:pPr>
            <w:hyperlink r:id="rId97">
              <w:r>
                <w:rPr>
                  <w:rFonts w:ascii="Arial" w:cs="Arial" w:eastAsia="Arial" w:hAnsi="Arial"/>
                  <w:sz w:val="18"/>
                  <w:szCs w:val="18"/>
                  <w:u w:val="single" w:color="auto"/>
                  <w:color w:val="0000EE"/>
                  <w:w w:val="91"/>
                </w:rPr>
                <w:t>Senior Notes due 2027 (incorporated by reference to Exhibit 4.3 to the Company’s Current Report on Form</w:t>
              </w:r>
            </w:hyperlink>
          </w:p>
        </w:tc>
      </w:tr>
      <w:tr>
        <w:trPr>
          <w:trHeight w:val="216"/>
        </w:trPr>
        <w:tc>
          <w:tcPr>
            <w:tcW w:w="1080" w:type="dxa"/>
            <w:vAlign w:val="bottom"/>
          </w:tcPr>
          <w:p>
            <w:pPr>
              <w:spacing w:after="0"/>
              <w:rPr>
                <w:sz w:val="18"/>
                <w:szCs w:val="18"/>
                <w:color w:val="auto"/>
              </w:rPr>
            </w:pPr>
          </w:p>
        </w:tc>
        <w:tc>
          <w:tcPr>
            <w:tcW w:w="7840" w:type="dxa"/>
            <w:vAlign w:val="bottom"/>
            <w:gridSpan w:val="24"/>
          </w:tcPr>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8-K filed October 8, 2019).</w:t>
              </w:r>
            </w:hyperlink>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4.9</w:t>
            </w:r>
          </w:p>
        </w:tc>
        <w:tc>
          <w:tcPr>
            <w:tcW w:w="7840" w:type="dxa"/>
            <w:vAlign w:val="bottom"/>
            <w:gridSpan w:val="24"/>
          </w:tcPr>
          <w:p>
            <w:pPr>
              <w:spacing w:after="0" w:line="190"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Indenture, dated as of February 17, 2021, among RHP Hotel Properties, LP, and RHP Finance Corporation,</w:t>
              </w:r>
            </w:hyperlink>
          </w:p>
        </w:tc>
      </w:tr>
      <w:tr>
        <w:trPr>
          <w:trHeight w:val="196"/>
        </w:trPr>
        <w:tc>
          <w:tcPr>
            <w:tcW w:w="1080" w:type="dxa"/>
            <w:vAlign w:val="bottom"/>
          </w:tcPr>
          <w:p>
            <w:pPr>
              <w:spacing w:after="0"/>
              <w:rPr>
                <w:sz w:val="17"/>
                <w:szCs w:val="17"/>
                <w:color w:val="auto"/>
              </w:rPr>
            </w:pPr>
          </w:p>
        </w:tc>
        <w:tc>
          <w:tcPr>
            <w:tcW w:w="7720" w:type="dxa"/>
            <w:vAlign w:val="bottom"/>
            <w:tcBorders>
              <w:top w:val="single" w:sz="8" w:color="0000EE"/>
            </w:tcBorders>
            <w:gridSpan w:val="21"/>
          </w:tcPr>
          <w:p>
            <w:pPr>
              <w:spacing w:after="0" w:line="196"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as the issuers, Ryman Hospitality Properties, Inc., as a guarantor, each of the guarantors named therein and</w:t>
              </w:r>
            </w:hyperlink>
          </w:p>
        </w:tc>
        <w:tc>
          <w:tcPr>
            <w:tcW w:w="12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24"/>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U.S. Bank National Association, as trustee, relating to the 4.500% Senior Notes due 2029 (incorporated by</w:t>
              </w:r>
            </w:hyperlink>
          </w:p>
        </w:tc>
      </w:tr>
      <w:tr>
        <w:trPr>
          <w:trHeight w:val="222"/>
        </w:trPr>
        <w:tc>
          <w:tcPr>
            <w:tcW w:w="1080" w:type="dxa"/>
            <w:vAlign w:val="bottom"/>
          </w:tcPr>
          <w:p>
            <w:pPr>
              <w:spacing w:after="0"/>
              <w:rPr>
                <w:sz w:val="19"/>
                <w:szCs w:val="19"/>
                <w:color w:val="auto"/>
              </w:rPr>
            </w:pPr>
          </w:p>
        </w:tc>
        <w:tc>
          <w:tcPr>
            <w:tcW w:w="7680" w:type="dxa"/>
            <w:vAlign w:val="bottom"/>
            <w:tcBorders>
              <w:top w:val="single" w:sz="8" w:color="0000EE"/>
            </w:tcBorders>
            <w:gridSpan w:val="20"/>
          </w:tcPr>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reference to Exhibit 4.1 to the Company’s Current Report on Form 8-K filed February 17, 2021).</w:t>
              </w:r>
            </w:hyperlink>
          </w:p>
        </w:tc>
        <w:tc>
          <w:tcPr>
            <w:tcW w:w="160" w:type="dxa"/>
            <w:vAlign w:val="bottom"/>
            <w:gridSpan w:val="4"/>
          </w:tcPr>
          <w:p>
            <w:pPr>
              <w:spacing w:after="0"/>
              <w:rPr>
                <w:sz w:val="19"/>
                <w:szCs w:val="19"/>
                <w:color w:val="auto"/>
              </w:rPr>
            </w:pPr>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4.10</w:t>
            </w:r>
          </w:p>
        </w:tc>
        <w:tc>
          <w:tcPr>
            <w:tcW w:w="7720" w:type="dxa"/>
            <w:vAlign w:val="bottom"/>
            <w:tcBorders>
              <w:bottom w:val="single" w:sz="8" w:color="0000EE"/>
            </w:tcBorders>
            <w:gridSpan w:val="21"/>
          </w:tcPr>
          <w:p>
            <w:pPr>
              <w:spacing w:after="0" w:line="190"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Form of 4.500% Senior Note due 2029 (incorporated by reference to Exhibit 4.2 to the Company’s Current</w:t>
              </w:r>
            </w:hyperlink>
          </w:p>
        </w:tc>
        <w:tc>
          <w:tcPr>
            <w:tcW w:w="120" w:type="dxa"/>
            <w:vAlign w:val="bottom"/>
            <w:gridSpan w:val="3"/>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7840" w:type="dxa"/>
            <w:vAlign w:val="bottom"/>
            <w:gridSpan w:val="24"/>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Report on Form 8-K filed February 17, 2021).</w:t>
              </w:r>
            </w:hyperlink>
          </w:p>
        </w:tc>
      </w:tr>
      <w:tr>
        <w:trPr>
          <w:trHeight w:val="20"/>
        </w:trPr>
        <w:tc>
          <w:tcPr>
            <w:tcW w:w="1080" w:type="dxa"/>
            <w:vAlign w:val="bottom"/>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7840" w:type="dxa"/>
            <w:vAlign w:val="bottom"/>
            <w:gridSpan w:val="24"/>
          </w:tcPr>
          <w:p>
            <w:pPr>
              <w:spacing w:after="0" w:line="196" w:lineRule="exact"/>
              <w:rPr>
                <w:rFonts w:ascii="Arial" w:cs="Arial" w:eastAsia="Arial" w:hAnsi="Arial"/>
                <w:sz w:val="18"/>
                <w:szCs w:val="18"/>
                <w:color w:val="0000EE"/>
                <w:w w:val="93"/>
              </w:rPr>
            </w:pPr>
            <w:hyperlink r:id="rId99">
              <w:r>
                <w:rPr>
                  <w:rFonts w:ascii="Arial" w:cs="Arial" w:eastAsia="Arial" w:hAnsi="Arial"/>
                  <w:sz w:val="18"/>
                  <w:szCs w:val="18"/>
                  <w:color w:val="0000EE"/>
                  <w:w w:val="93"/>
                </w:rPr>
                <w:t>Sixth Amended and Restated Credit Agreement dated as of October 31, 2019, among Ryman Hospitality</w:t>
              </w:r>
            </w:hyperlink>
          </w:p>
        </w:tc>
      </w:tr>
      <w:tr>
        <w:trPr>
          <w:trHeight w:val="20"/>
        </w:trPr>
        <w:tc>
          <w:tcPr>
            <w:tcW w:w="1080" w:type="dxa"/>
            <w:vAlign w:val="bottom"/>
          </w:tcPr>
          <w:p>
            <w:pPr>
              <w:spacing w:after="0" w:line="20" w:lineRule="exact"/>
              <w:rPr>
                <w:sz w:val="1"/>
                <w:szCs w:val="1"/>
                <w:color w:val="auto"/>
              </w:rPr>
            </w:pPr>
          </w:p>
        </w:tc>
        <w:tc>
          <w:tcPr>
            <w:tcW w:w="69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24"/>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Properties, Inc., as a guarantor, RHP Hotel Properties, LP, as borrower, certain other subsidiaries of Ryman</w:t>
              </w:r>
            </w:hyperlink>
          </w:p>
        </w:tc>
      </w:tr>
      <w:tr>
        <w:trPr>
          <w:trHeight w:val="196"/>
        </w:trPr>
        <w:tc>
          <w:tcPr>
            <w:tcW w:w="108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Hospitality Properties, Inc. party thereto, as guarantors, certain subsidiaries of Ryman Hospitality</w:t>
              </w:r>
            </w:hyperlink>
          </w:p>
        </w:tc>
        <w:tc>
          <w:tcPr>
            <w:tcW w:w="700" w:type="dxa"/>
            <w:vAlign w:val="bottom"/>
            <w:tcBorders>
              <w:top w:val="single" w:sz="8" w:color="0000EE"/>
            </w:tcBorders>
            <w:gridSpan w:val="14"/>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1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Properties, Inc. party thereto, as pledgors, the lenders party thereto and Wells Fargo Bank National</w:t>
              </w:r>
            </w:hyperlink>
          </w:p>
        </w:tc>
        <w:tc>
          <w:tcPr>
            <w:tcW w:w="740" w:type="dxa"/>
            <w:vAlign w:val="bottom"/>
            <w:gridSpan w:val="16"/>
          </w:tcPr>
          <w:p>
            <w:pPr>
              <w:spacing w:after="0"/>
              <w:rPr>
                <w:sz w:val="17"/>
                <w:szCs w:val="17"/>
                <w:color w:val="auto"/>
              </w:rPr>
            </w:pPr>
          </w:p>
        </w:tc>
      </w:tr>
      <w:tr>
        <w:trPr>
          <w:trHeight w:val="222"/>
        </w:trPr>
        <w:tc>
          <w:tcPr>
            <w:tcW w:w="1080" w:type="dxa"/>
            <w:vAlign w:val="bottom"/>
          </w:tcPr>
          <w:p>
            <w:pPr>
              <w:spacing w:after="0"/>
              <w:rPr>
                <w:sz w:val="19"/>
                <w:szCs w:val="19"/>
                <w:color w:val="auto"/>
              </w:rPr>
            </w:pPr>
          </w:p>
        </w:tc>
        <w:tc>
          <w:tcPr>
            <w:tcW w:w="7840" w:type="dxa"/>
            <w:vAlign w:val="bottom"/>
            <w:gridSpan w:val="24"/>
          </w:tcPr>
          <w:p>
            <w:pPr>
              <w:spacing w:after="0"/>
              <w:rPr>
                <w:rFonts w:ascii="Arial" w:cs="Arial" w:eastAsia="Arial" w:hAnsi="Arial"/>
                <w:sz w:val="18"/>
                <w:szCs w:val="18"/>
                <w:u w:val="single" w:color="auto"/>
                <w:color w:val="0000EE"/>
                <w:w w:val="93"/>
              </w:rPr>
            </w:pPr>
            <w:hyperlink r:id="rId99">
              <w:r>
                <w:rPr>
                  <w:rFonts w:ascii="Arial" w:cs="Arial" w:eastAsia="Arial" w:hAnsi="Arial"/>
                  <w:sz w:val="18"/>
                  <w:szCs w:val="18"/>
                  <w:u w:val="single" w:color="auto"/>
                  <w:color w:val="0000EE"/>
                  <w:w w:val="93"/>
                </w:rPr>
                <w:t>Association, as administrative agent (incorporated by reference to Exhibit 10.1 to the Company’s Current</w:t>
              </w:r>
            </w:hyperlink>
          </w:p>
        </w:tc>
      </w:tr>
      <w:tr>
        <w:trPr>
          <w:trHeight w:val="216"/>
        </w:trPr>
        <w:tc>
          <w:tcPr>
            <w:tcW w:w="1080" w:type="dxa"/>
            <w:vAlign w:val="bottom"/>
          </w:tcPr>
          <w:p>
            <w:pPr>
              <w:spacing w:after="0"/>
              <w:rPr>
                <w:sz w:val="18"/>
                <w:szCs w:val="18"/>
                <w:color w:val="auto"/>
              </w:rPr>
            </w:pPr>
          </w:p>
        </w:tc>
        <w:tc>
          <w:tcPr>
            <w:tcW w:w="7840" w:type="dxa"/>
            <w:vAlign w:val="bottom"/>
            <w:gridSpan w:val="24"/>
          </w:tcPr>
          <w:p>
            <w:pPr>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Report on Form 8-K filed November 1, 2019).</w:t>
              </w:r>
            </w:hyperlink>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10.2</w:t>
            </w:r>
          </w:p>
        </w:tc>
        <w:tc>
          <w:tcPr>
            <w:tcW w:w="7600" w:type="dxa"/>
            <w:vAlign w:val="bottom"/>
            <w:tcBorders>
              <w:bottom w:val="single" w:sz="8" w:color="0000EE"/>
            </w:tcBorders>
            <w:gridSpan w:val="17"/>
          </w:tcPr>
          <w:p>
            <w:pPr>
              <w:spacing w:after="0" w:line="190"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Amendment No. 1 to Sixth Amended Credit Agreement, dated April 23, 2020, among Ryman Hospitality</w:t>
              </w:r>
            </w:hyperlink>
          </w:p>
        </w:tc>
        <w:tc>
          <w:tcPr>
            <w:tcW w:w="240" w:type="dxa"/>
            <w:vAlign w:val="bottom"/>
            <w:gridSpan w:val="7"/>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7840" w:type="dxa"/>
            <w:vAlign w:val="bottom"/>
            <w:gridSpan w:val="24"/>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Properties, Inc., as a guarantor, RHP Hotel Properties, LP, as borrower, certain other subsidiaries of Ryman</w:t>
              </w:r>
            </w:hyperlink>
          </w:p>
        </w:tc>
      </w:tr>
      <w:tr>
        <w:trPr>
          <w:trHeight w:val="196"/>
        </w:trPr>
        <w:tc>
          <w:tcPr>
            <w:tcW w:w="108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Hospitality Properties, Inc. party thereto, as guarantors, certain subsidiaries of Ryman Hospitality</w:t>
              </w:r>
            </w:hyperlink>
          </w:p>
        </w:tc>
        <w:tc>
          <w:tcPr>
            <w:tcW w:w="700" w:type="dxa"/>
            <w:vAlign w:val="bottom"/>
            <w:tcBorders>
              <w:top w:val="single" w:sz="8" w:color="0000EE"/>
            </w:tcBorders>
            <w:gridSpan w:val="14"/>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1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00">
              <w:r>
                <w:rPr>
                  <w:rFonts w:ascii="Arial" w:cs="Arial" w:eastAsia="Arial" w:hAnsi="Arial"/>
                  <w:sz w:val="18"/>
                  <w:szCs w:val="18"/>
                  <w:color w:val="0000EE"/>
                  <w:w w:val="89"/>
                </w:rPr>
                <w:t>Properties, Inc. party thereto, as pledgors, the lenders party thereto and Wells Fargo Bank National</w:t>
              </w:r>
            </w:hyperlink>
          </w:p>
        </w:tc>
        <w:tc>
          <w:tcPr>
            <w:tcW w:w="740" w:type="dxa"/>
            <w:vAlign w:val="bottom"/>
            <w:gridSpan w:val="16"/>
          </w:tcPr>
          <w:p>
            <w:pPr>
              <w:spacing w:after="0"/>
              <w:rPr>
                <w:sz w:val="17"/>
                <w:szCs w:val="17"/>
                <w:color w:val="auto"/>
              </w:rPr>
            </w:pPr>
          </w:p>
        </w:tc>
      </w:tr>
      <w:tr>
        <w:trPr>
          <w:trHeight w:val="222"/>
        </w:trPr>
        <w:tc>
          <w:tcPr>
            <w:tcW w:w="1080" w:type="dxa"/>
            <w:vAlign w:val="bottom"/>
          </w:tcPr>
          <w:p>
            <w:pPr>
              <w:spacing w:after="0"/>
              <w:rPr>
                <w:sz w:val="19"/>
                <w:szCs w:val="19"/>
                <w:color w:val="auto"/>
              </w:rPr>
            </w:pPr>
          </w:p>
        </w:tc>
        <w:tc>
          <w:tcPr>
            <w:tcW w:w="7840" w:type="dxa"/>
            <w:vAlign w:val="bottom"/>
            <w:gridSpan w:val="24"/>
          </w:tcPr>
          <w:p>
            <w:pPr>
              <w:spacing w:after="0"/>
              <w:rPr>
                <w:rFonts w:ascii="Arial" w:cs="Arial" w:eastAsia="Arial" w:hAnsi="Arial"/>
                <w:sz w:val="18"/>
                <w:szCs w:val="18"/>
                <w:u w:val="single" w:color="auto"/>
                <w:color w:val="0000EE"/>
                <w:w w:val="93"/>
              </w:rPr>
            </w:pPr>
            <w:hyperlink r:id="rId100">
              <w:r>
                <w:rPr>
                  <w:rFonts w:ascii="Arial" w:cs="Arial" w:eastAsia="Arial" w:hAnsi="Arial"/>
                  <w:sz w:val="18"/>
                  <w:szCs w:val="18"/>
                  <w:u w:val="single" w:color="auto"/>
                  <w:color w:val="0000EE"/>
                  <w:w w:val="93"/>
                </w:rPr>
                <w:t>Association, as administrative agent (incorporated by reference to Exhibit 10.1 to the Company’s Current</w:t>
              </w:r>
            </w:hyperlink>
          </w:p>
        </w:tc>
      </w:tr>
      <w:tr>
        <w:trPr>
          <w:trHeight w:val="216"/>
        </w:trPr>
        <w:tc>
          <w:tcPr>
            <w:tcW w:w="1080" w:type="dxa"/>
            <w:vAlign w:val="bottom"/>
          </w:tcPr>
          <w:p>
            <w:pPr>
              <w:spacing w:after="0"/>
              <w:rPr>
                <w:sz w:val="18"/>
                <w:szCs w:val="18"/>
                <w:color w:val="auto"/>
              </w:rPr>
            </w:pPr>
          </w:p>
        </w:tc>
        <w:tc>
          <w:tcPr>
            <w:tcW w:w="7840" w:type="dxa"/>
            <w:vAlign w:val="bottom"/>
            <w:gridSpan w:val="24"/>
          </w:tcPr>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Report on Form 8-K filed April 24, 2020).</w:t>
              </w:r>
            </w:hyperlink>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10.3</w:t>
            </w:r>
          </w:p>
        </w:tc>
        <w:tc>
          <w:tcPr>
            <w:tcW w:w="7540" w:type="dxa"/>
            <w:vAlign w:val="bottom"/>
            <w:tcBorders>
              <w:bottom w:val="single" w:sz="8" w:color="0000EE"/>
            </w:tcBorders>
            <w:gridSpan w:val="15"/>
          </w:tcPr>
          <w:p>
            <w:pPr>
              <w:spacing w:after="0" w:line="190"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Amendment No. 2 to Sixth Amended and Restated Credit Agreement, dated December 22, 2020, among</w:t>
              </w:r>
            </w:hyperlink>
          </w:p>
        </w:tc>
        <w:tc>
          <w:tcPr>
            <w:tcW w:w="300" w:type="dxa"/>
            <w:vAlign w:val="bottom"/>
            <w:gridSpan w:val="9"/>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7840" w:type="dxa"/>
            <w:vAlign w:val="bottom"/>
            <w:gridSpan w:val="24"/>
          </w:tcPr>
          <w:p>
            <w:pPr>
              <w:spacing w:after="0" w:line="196" w:lineRule="exact"/>
              <w:rPr>
                <w:rFonts w:ascii="Arial" w:cs="Arial" w:eastAsia="Arial" w:hAnsi="Arial"/>
                <w:sz w:val="18"/>
                <w:szCs w:val="18"/>
                <w:color w:val="0000EE"/>
                <w:w w:val="94"/>
              </w:rPr>
            </w:pPr>
            <w:hyperlink r:id="rId101">
              <w:r>
                <w:rPr>
                  <w:rFonts w:ascii="Arial" w:cs="Arial" w:eastAsia="Arial" w:hAnsi="Arial"/>
                  <w:sz w:val="18"/>
                  <w:szCs w:val="18"/>
                  <w:color w:val="0000EE"/>
                  <w:w w:val="94"/>
                </w:rPr>
                <w:t>Ryman Hospitality Properties, Inc., as a guarantor, RHP Hotel Properties, LP, as borrower, certain other</w:t>
              </w:r>
            </w:hyperlink>
          </w:p>
        </w:tc>
      </w:tr>
      <w:tr>
        <w:trPr>
          <w:trHeight w:val="20"/>
        </w:trPr>
        <w:tc>
          <w:tcPr>
            <w:tcW w:w="1080" w:type="dxa"/>
            <w:vAlign w:val="bottom"/>
          </w:tcPr>
          <w:p>
            <w:pPr>
              <w:spacing w:after="0" w:line="20" w:lineRule="exact"/>
              <w:rPr>
                <w:sz w:val="1"/>
                <w:szCs w:val="1"/>
                <w:color w:val="auto"/>
              </w:rPr>
            </w:pPr>
          </w:p>
        </w:tc>
        <w:tc>
          <w:tcPr>
            <w:tcW w:w="6940" w:type="dxa"/>
            <w:vAlign w:val="bottom"/>
            <w:gridSpan w:val="6"/>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subsidiaries of Ryman Hospitality Properties, Inc. party thereto, as guarantors, certain subsidiaries of Ryman</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2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Hospitality Properties, Inc. party thereto, as pledgors, the lenders party thereto and Wells Fargo Bank</w:t>
              </w:r>
            </w:hyperlink>
          </w:p>
        </w:tc>
        <w:tc>
          <w:tcPr>
            <w:tcW w:w="560" w:type="dxa"/>
            <w:vAlign w:val="bottom"/>
            <w:gridSpan w:val="14"/>
          </w:tcPr>
          <w:p>
            <w:pPr>
              <w:spacing w:after="0"/>
              <w:rPr>
                <w:sz w:val="17"/>
                <w:szCs w:val="17"/>
                <w:color w:val="auto"/>
              </w:rPr>
            </w:pPr>
          </w:p>
        </w:tc>
      </w:tr>
      <w:tr>
        <w:trPr>
          <w:trHeight w:val="222"/>
        </w:trPr>
        <w:tc>
          <w:tcPr>
            <w:tcW w:w="1080" w:type="dxa"/>
            <w:vAlign w:val="bottom"/>
          </w:tcPr>
          <w:p>
            <w:pPr>
              <w:spacing w:after="0"/>
              <w:rPr>
                <w:sz w:val="19"/>
                <w:szCs w:val="19"/>
                <w:color w:val="auto"/>
              </w:rPr>
            </w:pPr>
          </w:p>
        </w:tc>
        <w:tc>
          <w:tcPr>
            <w:tcW w:w="7840" w:type="dxa"/>
            <w:vAlign w:val="bottom"/>
            <w:gridSpan w:val="24"/>
          </w:tcPr>
          <w:p>
            <w:pPr>
              <w:spacing w:after="0"/>
              <w:rPr>
                <w:rFonts w:ascii="Arial" w:cs="Arial" w:eastAsia="Arial" w:hAnsi="Arial"/>
                <w:sz w:val="18"/>
                <w:szCs w:val="18"/>
                <w:u w:val="single" w:color="auto"/>
                <w:color w:val="0000EE"/>
                <w:w w:val="93"/>
              </w:rPr>
            </w:pPr>
            <w:hyperlink r:id="rId101">
              <w:r>
                <w:rPr>
                  <w:rFonts w:ascii="Arial" w:cs="Arial" w:eastAsia="Arial" w:hAnsi="Arial"/>
                  <w:sz w:val="18"/>
                  <w:szCs w:val="18"/>
                  <w:u w:val="single" w:color="auto"/>
                  <w:color w:val="0000EE"/>
                  <w:w w:val="93"/>
                </w:rPr>
                <w:t>National Association, as administrative agent (incorporated by reference to Exhibit 10.1 to the Company’s</w:t>
              </w:r>
            </w:hyperlink>
          </w:p>
        </w:tc>
      </w:tr>
      <w:tr>
        <w:trPr>
          <w:trHeight w:val="216"/>
        </w:trPr>
        <w:tc>
          <w:tcPr>
            <w:tcW w:w="1080" w:type="dxa"/>
            <w:vAlign w:val="bottom"/>
          </w:tcPr>
          <w:p>
            <w:pPr>
              <w:spacing w:after="0"/>
              <w:rPr>
                <w:sz w:val="18"/>
                <w:szCs w:val="18"/>
                <w:color w:val="auto"/>
              </w:rPr>
            </w:pPr>
          </w:p>
        </w:tc>
        <w:tc>
          <w:tcPr>
            <w:tcW w:w="7840" w:type="dxa"/>
            <w:vAlign w:val="bottom"/>
            <w:gridSpan w:val="24"/>
          </w:tcPr>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Current Report on Form 8-K filed December 22, 2020).</w:t>
              </w:r>
            </w:hyperlink>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10.4</w:t>
            </w:r>
          </w:p>
        </w:tc>
        <w:tc>
          <w:tcPr>
            <w:tcW w:w="7840" w:type="dxa"/>
            <w:vAlign w:val="bottom"/>
            <w:gridSpan w:val="24"/>
          </w:tcPr>
          <w:p>
            <w:pPr>
              <w:spacing w:after="0" w:line="190" w:lineRule="exact"/>
              <w:rPr>
                <w:rFonts w:ascii="Arial" w:cs="Arial" w:eastAsia="Arial" w:hAnsi="Arial"/>
                <w:sz w:val="18"/>
                <w:szCs w:val="18"/>
                <w:color w:val="0000EE"/>
              </w:rPr>
            </w:pPr>
            <w:hyperlink r:id="rId102">
              <w:r>
                <w:rPr>
                  <w:rFonts w:ascii="Arial" w:cs="Arial" w:eastAsia="Arial" w:hAnsi="Arial"/>
                  <w:sz w:val="18"/>
                  <w:szCs w:val="18"/>
                  <w:color w:val="0000EE"/>
                </w:rPr>
                <w:t>Opryland Hotel-Florida Ground Lease, dated as of March 3, 1999, by and between Xentury City</w:t>
              </w:r>
            </w:hyperlink>
          </w:p>
        </w:tc>
      </w:tr>
      <w:tr>
        <w:trPr>
          <w:trHeight w:val="20"/>
        </w:trPr>
        <w:tc>
          <w:tcPr>
            <w:tcW w:w="1080" w:type="dxa"/>
            <w:vAlign w:val="bottom"/>
          </w:tcPr>
          <w:p>
            <w:pPr>
              <w:spacing w:after="0" w:line="20" w:lineRule="exact"/>
              <w:rPr>
                <w:sz w:val="1"/>
                <w:szCs w:val="1"/>
                <w:color w:val="auto"/>
              </w:rPr>
            </w:pPr>
          </w:p>
        </w:tc>
        <w:tc>
          <w:tcPr>
            <w:tcW w:w="6940" w:type="dxa"/>
            <w:vAlign w:val="bottom"/>
            <w:gridSpan w:val="6"/>
            <w:shd w:val="clear" w:color="auto" w:fill="0000EE"/>
          </w:tcPr>
          <w:p>
            <w:pPr>
              <w:spacing w:after="0" w:line="20" w:lineRule="exact"/>
              <w:rPr>
                <w:sz w:val="1"/>
                <w:szCs w:val="1"/>
                <w:color w:val="auto"/>
              </w:rPr>
            </w:pPr>
          </w:p>
        </w:tc>
        <w:tc>
          <w:tcPr>
            <w:tcW w:w="86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24"/>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Development Company, L.L.C., and Opryland Hotel-Florida Limited Partnership (incorporated by reference</w:t>
              </w:r>
            </w:hyperlink>
          </w:p>
        </w:tc>
      </w:tr>
      <w:tr>
        <w:trPr>
          <w:trHeight w:val="236"/>
        </w:trPr>
        <w:tc>
          <w:tcPr>
            <w:tcW w:w="1080" w:type="dxa"/>
            <w:vAlign w:val="bottom"/>
          </w:tcPr>
          <w:p>
            <w:pPr>
              <w:spacing w:after="0"/>
              <w:rPr>
                <w:sz w:val="20"/>
                <w:szCs w:val="20"/>
                <w:color w:val="auto"/>
              </w:rPr>
            </w:pPr>
          </w:p>
        </w:tc>
        <w:tc>
          <w:tcPr>
            <w:tcW w:w="7800" w:type="dxa"/>
            <w:vAlign w:val="bottom"/>
            <w:tcBorders>
              <w:top w:val="single" w:sz="8" w:color="0000EE"/>
            </w:tcBorders>
            <w:gridSpan w:val="22"/>
          </w:tcPr>
          <w:p>
            <w:pPr>
              <w:spacing w:after="0"/>
              <w:rPr>
                <w:rFonts w:ascii="Arial" w:cs="Arial" w:eastAsia="Arial" w:hAnsi="Arial"/>
                <w:sz w:val="18"/>
                <w:szCs w:val="18"/>
                <w:u w:val="single" w:color="auto"/>
                <w:color w:val="0000EE"/>
                <w:w w:val="93"/>
              </w:rPr>
            </w:pPr>
            <w:hyperlink r:id="rId102">
              <w:r>
                <w:rPr>
                  <w:rFonts w:ascii="Arial" w:cs="Arial" w:eastAsia="Arial" w:hAnsi="Arial"/>
                  <w:sz w:val="18"/>
                  <w:szCs w:val="18"/>
                  <w:u w:val="single" w:color="auto"/>
                  <w:color w:val="0000EE"/>
                  <w:w w:val="93"/>
                </w:rPr>
                <w:t>to Exhibit 10.11 to the Company’s Annual Report on Form 10-K for the year ended December 31, 1999).</w:t>
              </w:r>
            </w:hyperlink>
          </w:p>
        </w:tc>
        <w:tc>
          <w:tcPr>
            <w:tcW w:w="40" w:type="dxa"/>
            <w:vAlign w:val="bottom"/>
            <w:gridSpan w:val="2"/>
          </w:tcPr>
          <w:p>
            <w:pPr>
              <w:spacing w:after="0"/>
              <w:rPr>
                <w:sz w:val="20"/>
                <w:szCs w:val="20"/>
                <w:color w:val="auto"/>
              </w:rPr>
            </w:pPr>
          </w:p>
        </w:tc>
      </w:tr>
      <w:tr>
        <w:trPr>
          <w:trHeight w:val="648"/>
        </w:trPr>
        <w:tc>
          <w:tcPr>
            <w:tcW w:w="1080" w:type="dxa"/>
            <w:vAlign w:val="bottom"/>
          </w:tcPr>
          <w:p>
            <w:pPr>
              <w:spacing w:after="0"/>
              <w:rPr>
                <w:sz w:val="24"/>
                <w:szCs w:val="24"/>
                <w:color w:val="auto"/>
              </w:rPr>
            </w:pPr>
          </w:p>
        </w:tc>
        <w:tc>
          <w:tcPr>
            <w:tcW w:w="4520" w:type="dxa"/>
            <w:vAlign w:val="bottom"/>
            <w:gridSpan w:val="5"/>
          </w:tcPr>
          <w:p>
            <w:pPr>
              <w:ind w:left="3300"/>
              <w:spacing w:after="0"/>
              <w:rPr>
                <w:sz w:val="20"/>
                <w:szCs w:val="20"/>
                <w:color w:val="auto"/>
              </w:rPr>
            </w:pPr>
            <w:r>
              <w:rPr>
                <w:rFonts w:ascii="Arial" w:cs="Arial" w:eastAsia="Arial" w:hAnsi="Arial"/>
                <w:sz w:val="18"/>
                <w:szCs w:val="18"/>
                <w:color w:val="auto"/>
              </w:rPr>
              <w:t>75</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10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tcPr>
          <w:p>
            <w:pPr>
              <w:ind w:left="20"/>
              <w:spacing w:after="0"/>
              <w:rPr>
                <w:sz w:val="20"/>
                <w:szCs w:val="20"/>
                <w:color w:val="auto"/>
              </w:rPr>
            </w:pPr>
            <w:r>
              <w:rPr>
                <w:rFonts w:ascii="Arial" w:cs="Arial" w:eastAsia="Arial" w:hAnsi="Arial"/>
                <w:sz w:val="18"/>
                <w:szCs w:val="18"/>
                <w:color w:val="auto"/>
              </w:rPr>
              <w:t>10.5</w:t>
            </w:r>
          </w:p>
        </w:tc>
        <w:tc>
          <w:tcPr>
            <w:tcW w:w="7840" w:type="dxa"/>
            <w:vAlign w:val="bottom"/>
            <w:gridSpan w:val="35"/>
          </w:tcPr>
          <w:p>
            <w:pPr>
              <w:spacing w:after="0"/>
              <w:rPr>
                <w:rFonts w:ascii="Arial" w:cs="Arial" w:eastAsia="Arial" w:hAnsi="Arial"/>
                <w:sz w:val="18"/>
                <w:szCs w:val="18"/>
                <w:color w:val="0000EE"/>
                <w:w w:val="96"/>
              </w:rPr>
            </w:pPr>
            <w:hyperlink r:id="rId103">
              <w:r>
                <w:rPr>
                  <w:rFonts w:ascii="Arial" w:cs="Arial" w:eastAsia="Arial" w:hAnsi="Arial"/>
                  <w:sz w:val="18"/>
                  <w:szCs w:val="18"/>
                  <w:color w:val="0000EE"/>
                  <w:w w:val="96"/>
                </w:rPr>
                <w:t>Hotel/ Convention Center Sublease Agreement, dated as of May 16, 2000, by and between the City of</w:t>
              </w:r>
            </w:hyperlink>
          </w:p>
        </w:tc>
      </w:tr>
      <w:tr>
        <w:trPr>
          <w:trHeight w:val="20"/>
        </w:trPr>
        <w:tc>
          <w:tcPr>
            <w:tcW w:w="108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4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Grapevine, Texas and Opryland Hotel-Texas Limited Partnership (incorporated by reference to Exhibit</w:t>
              </w:r>
            </w:hyperlink>
          </w:p>
        </w:tc>
        <w:tc>
          <w:tcPr>
            <w:tcW w:w="420" w:type="dxa"/>
            <w:vAlign w:val="bottom"/>
            <w:gridSpan w:val="16"/>
          </w:tcPr>
          <w:p>
            <w:pPr>
              <w:spacing w:after="0"/>
              <w:rPr>
                <w:sz w:val="17"/>
                <w:szCs w:val="17"/>
                <w:color w:val="auto"/>
              </w:rPr>
            </w:pPr>
          </w:p>
        </w:tc>
      </w:tr>
      <w:tr>
        <w:trPr>
          <w:trHeight w:val="222"/>
        </w:trPr>
        <w:tc>
          <w:tcPr>
            <w:tcW w:w="1080" w:type="dxa"/>
            <w:vAlign w:val="bottom"/>
          </w:tcPr>
          <w:p>
            <w:pPr>
              <w:spacing w:after="0"/>
              <w:rPr>
                <w:sz w:val="19"/>
                <w:szCs w:val="19"/>
                <w:color w:val="auto"/>
              </w:rPr>
            </w:pPr>
          </w:p>
        </w:tc>
        <w:tc>
          <w:tcPr>
            <w:tcW w:w="7840" w:type="dxa"/>
            <w:vAlign w:val="bottom"/>
            <w:gridSpan w:val="35"/>
          </w:tcPr>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10.21 to the Company’s Annual Report on Form 10-K for the year ended December 31, 2002).</w:t>
              </w:r>
            </w:hyperlink>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10.6</w:t>
            </w:r>
          </w:p>
        </w:tc>
        <w:tc>
          <w:tcPr>
            <w:tcW w:w="7400" w:type="dxa"/>
            <w:vAlign w:val="bottom"/>
            <w:tcBorders>
              <w:bottom w:val="single" w:sz="8" w:color="0000EE"/>
            </w:tcBorders>
            <w:gridSpan w:val="18"/>
          </w:tcPr>
          <w:p>
            <w:pPr>
              <w:spacing w:after="0" w:line="190" w:lineRule="exact"/>
              <w:rPr>
                <w:rFonts w:ascii="Arial" w:cs="Arial" w:eastAsia="Arial" w:hAnsi="Arial"/>
                <w:sz w:val="18"/>
                <w:szCs w:val="18"/>
                <w:color w:val="0000EE"/>
                <w:w w:val="89"/>
              </w:rPr>
            </w:pPr>
            <w:hyperlink r:id="rId104">
              <w:r>
                <w:rPr>
                  <w:rFonts w:ascii="Arial" w:cs="Arial" w:eastAsia="Arial" w:hAnsi="Arial"/>
                  <w:sz w:val="18"/>
                  <w:szCs w:val="18"/>
                  <w:color w:val="0000EE"/>
                  <w:w w:val="89"/>
                </w:rPr>
                <w:t>Sublease Addendum Number 1, dated July 28, 2000, by and between the City of Grapevine, Texas and</w:t>
              </w:r>
            </w:hyperlink>
          </w:p>
        </w:tc>
        <w:tc>
          <w:tcPr>
            <w:tcW w:w="440" w:type="dxa"/>
            <w:vAlign w:val="bottom"/>
            <w:gridSpan w:val="17"/>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75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Opryland Hotel-Texas Limited Partnership (incorporated by reference to Exhibit 10.22 to the Company’s</w:t>
              </w:r>
            </w:hyperlink>
          </w:p>
        </w:tc>
        <w:tc>
          <w:tcPr>
            <w:tcW w:w="26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Annual Report on Form 10-K for the year ended December 31, 2002).</w:t>
              </w:r>
            </w:hyperlink>
          </w:p>
        </w:tc>
        <w:tc>
          <w:tcPr>
            <w:tcW w:w="2780" w:type="dxa"/>
            <w:vAlign w:val="bottom"/>
            <w:gridSpan w:val="25"/>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10.7</w:t>
            </w:r>
          </w:p>
        </w:tc>
        <w:tc>
          <w:tcPr>
            <w:tcW w:w="71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First Amended and Restated Agreement of Limited Partnership of RHP Hotel Properties, LP, dated</w:t>
              </w:r>
            </w:hyperlink>
          </w:p>
        </w:tc>
        <w:tc>
          <w:tcPr>
            <w:tcW w:w="700" w:type="dxa"/>
            <w:vAlign w:val="bottom"/>
            <w:gridSpan w:val="2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0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December 31, 2018 (incorporated by reference to Exhibit 10.1 to the Company’s Current Report on Form 8-</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5"/>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K filed January 7, 2019.</w:t>
              </w:r>
            </w:hyperlink>
          </w:p>
        </w:tc>
      </w:tr>
      <w:tr>
        <w:trPr>
          <w:trHeight w:val="20"/>
        </w:trPr>
        <w:tc>
          <w:tcPr>
            <w:tcW w:w="108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10.8†</w:t>
            </w:r>
          </w:p>
        </w:tc>
        <w:tc>
          <w:tcPr>
            <w:tcW w:w="77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Second Amended and Restated Loan Agreement entered into as of July 2, 2019, among Aurora Convention</w:t>
              </w:r>
            </w:hyperlink>
          </w:p>
        </w:tc>
        <w:tc>
          <w:tcPr>
            <w:tcW w:w="8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5"/>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Center Hotel, LLC, Aurora Convention Center Hotel Lessee, LLC, Wells Fargo Bank, National Association,</w:t>
              </w:r>
            </w:hyperlink>
          </w:p>
        </w:tc>
      </w:tr>
      <w:tr>
        <w:trPr>
          <w:trHeight w:val="196"/>
        </w:trPr>
        <w:tc>
          <w:tcPr>
            <w:tcW w:w="1080" w:type="dxa"/>
            <w:vAlign w:val="bottom"/>
          </w:tcPr>
          <w:p>
            <w:pPr>
              <w:spacing w:after="0"/>
              <w:rPr>
                <w:sz w:val="17"/>
                <w:szCs w:val="17"/>
                <w:color w:val="auto"/>
              </w:rPr>
            </w:pPr>
          </w:p>
        </w:tc>
        <w:tc>
          <w:tcPr>
            <w:tcW w:w="7800" w:type="dxa"/>
            <w:vAlign w:val="bottom"/>
            <w:tcBorders>
              <w:top w:val="single" w:sz="8" w:color="0000EE"/>
            </w:tcBorders>
            <w:gridSpan w:val="33"/>
          </w:tcPr>
          <w:p>
            <w:pPr>
              <w:spacing w:after="0" w:line="196" w:lineRule="exact"/>
              <w:rPr>
                <w:rFonts w:ascii="Arial" w:cs="Arial" w:eastAsia="Arial" w:hAnsi="Arial"/>
                <w:sz w:val="18"/>
                <w:szCs w:val="18"/>
                <w:color w:val="0000EE"/>
                <w:w w:val="97"/>
              </w:rPr>
            </w:pPr>
            <w:hyperlink r:id="rId106">
              <w:r>
                <w:rPr>
                  <w:rFonts w:ascii="Arial" w:cs="Arial" w:eastAsia="Arial" w:hAnsi="Arial"/>
                  <w:sz w:val="18"/>
                  <w:szCs w:val="18"/>
                  <w:color w:val="0000EE"/>
                  <w:w w:val="97"/>
                </w:rPr>
                <w:t>as administrative agent, and the financial institutions from time to time party thereto (incorporated by</w:t>
              </w:r>
            </w:hyperlink>
          </w:p>
        </w:tc>
        <w:tc>
          <w:tcPr>
            <w:tcW w:w="40" w:type="dxa"/>
            <w:vAlign w:val="bottom"/>
            <w:gridSpan w:val="2"/>
          </w:tcPr>
          <w:p>
            <w:pPr>
              <w:spacing w:after="0"/>
              <w:rPr>
                <w:sz w:val="17"/>
                <w:szCs w:val="17"/>
                <w:color w:val="auto"/>
              </w:rPr>
            </w:pPr>
          </w:p>
        </w:tc>
      </w:tr>
      <w:tr>
        <w:trPr>
          <w:trHeight w:val="222"/>
        </w:trPr>
        <w:tc>
          <w:tcPr>
            <w:tcW w:w="1080" w:type="dxa"/>
            <w:vAlign w:val="bottom"/>
          </w:tcPr>
          <w:p>
            <w:pPr>
              <w:spacing w:after="0"/>
              <w:rPr>
                <w:sz w:val="19"/>
                <w:szCs w:val="19"/>
                <w:color w:val="auto"/>
              </w:rPr>
            </w:pPr>
          </w:p>
        </w:tc>
        <w:tc>
          <w:tcPr>
            <w:tcW w:w="7340" w:type="dxa"/>
            <w:vAlign w:val="bottom"/>
            <w:tcBorders>
              <w:top w:val="single" w:sz="8" w:color="0000EE"/>
            </w:tcBorders>
            <w:gridSpan w:val="16"/>
          </w:tcPr>
          <w:p>
            <w:pPr>
              <w:spacing w:after="0"/>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reference to Exhibit 10.1 to the Company’s Current Report on Form 8-K filed July 5, 2019).</w:t>
              </w:r>
            </w:hyperlink>
          </w:p>
        </w:tc>
        <w:tc>
          <w:tcPr>
            <w:tcW w:w="500" w:type="dxa"/>
            <w:vAlign w:val="bottom"/>
            <w:gridSpan w:val="19"/>
          </w:tcPr>
          <w:p>
            <w:pPr>
              <w:spacing w:after="0"/>
              <w:rPr>
                <w:sz w:val="19"/>
                <w:szCs w:val="19"/>
                <w:color w:val="auto"/>
              </w:rPr>
            </w:pPr>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10.9</w:t>
            </w:r>
          </w:p>
        </w:tc>
        <w:tc>
          <w:tcPr>
            <w:tcW w:w="6960" w:type="dxa"/>
            <w:vAlign w:val="bottom"/>
            <w:tcBorders>
              <w:bottom w:val="single" w:sz="8" w:color="0000EE"/>
            </w:tcBorders>
            <w:gridSpan w:val="11"/>
          </w:tcPr>
          <w:p>
            <w:pPr>
              <w:spacing w:after="0" w:line="190"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Amendment No. 1 to Second Amended and Restated Loan Agreement and Modification to Loan</w:t>
              </w:r>
            </w:hyperlink>
          </w:p>
        </w:tc>
        <w:tc>
          <w:tcPr>
            <w:tcW w:w="880" w:type="dxa"/>
            <w:vAlign w:val="bottom"/>
            <w:gridSpan w:val="24"/>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5"/>
          </w:tcPr>
          <w:p>
            <w:pPr>
              <w:spacing w:after="0" w:line="196" w:lineRule="exact"/>
              <w:rPr>
                <w:rFonts w:ascii="Arial" w:cs="Arial" w:eastAsia="Arial" w:hAnsi="Arial"/>
                <w:sz w:val="18"/>
                <w:szCs w:val="18"/>
                <w:color w:val="0000EE"/>
                <w:w w:val="97"/>
              </w:rPr>
            </w:pPr>
            <w:hyperlink r:id="rId107">
              <w:r>
                <w:rPr>
                  <w:rFonts w:ascii="Arial" w:cs="Arial" w:eastAsia="Arial" w:hAnsi="Arial"/>
                  <w:sz w:val="18"/>
                  <w:szCs w:val="18"/>
                  <w:color w:val="0000EE"/>
                  <w:w w:val="97"/>
                </w:rPr>
                <w:t>Documents, dated as of June 30, 2020, by and among Aurora Convention Center Hotel, LLC, Aurora</w:t>
              </w:r>
            </w:hyperlink>
          </w:p>
        </w:tc>
      </w:tr>
      <w:tr>
        <w:trPr>
          <w:trHeight w:val="20"/>
        </w:trPr>
        <w:tc>
          <w:tcPr>
            <w:tcW w:w="10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2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Convention Center Hotel Lessee, LLC, Wells Fargo Bank National Association, as administrative agent, and</w:t>
              </w:r>
            </w:hyperlink>
          </w:p>
        </w:tc>
        <w:tc>
          <w:tcPr>
            <w:tcW w:w="20" w:type="dxa"/>
            <w:vAlign w:val="bottom"/>
          </w:tcPr>
          <w:p>
            <w:pPr>
              <w:spacing w:after="0"/>
              <w:rPr>
                <w:sz w:val="17"/>
                <w:szCs w:val="17"/>
                <w:color w:val="auto"/>
              </w:rPr>
            </w:pPr>
          </w:p>
        </w:tc>
      </w:tr>
      <w:tr>
        <w:trPr>
          <w:trHeight w:val="222"/>
        </w:trPr>
        <w:tc>
          <w:tcPr>
            <w:tcW w:w="1080" w:type="dxa"/>
            <w:vAlign w:val="bottom"/>
          </w:tcPr>
          <w:p>
            <w:pPr>
              <w:spacing w:after="0"/>
              <w:rPr>
                <w:sz w:val="19"/>
                <w:szCs w:val="19"/>
                <w:color w:val="auto"/>
              </w:rPr>
            </w:pPr>
          </w:p>
        </w:tc>
        <w:tc>
          <w:tcPr>
            <w:tcW w:w="7840" w:type="dxa"/>
            <w:vAlign w:val="bottom"/>
            <w:gridSpan w:val="35"/>
          </w:tcPr>
          <w:p>
            <w:pPr>
              <w:spacing w:after="0"/>
              <w:rPr>
                <w:rFonts w:ascii="Arial" w:cs="Arial" w:eastAsia="Arial" w:hAnsi="Arial"/>
                <w:sz w:val="18"/>
                <w:szCs w:val="18"/>
                <w:u w:val="single" w:color="auto"/>
                <w:color w:val="0000EE"/>
                <w:w w:val="96"/>
              </w:rPr>
            </w:pPr>
            <w:hyperlink r:id="rId107">
              <w:r>
                <w:rPr>
                  <w:rFonts w:ascii="Arial" w:cs="Arial" w:eastAsia="Arial" w:hAnsi="Arial"/>
                  <w:sz w:val="18"/>
                  <w:szCs w:val="18"/>
                  <w:u w:val="single" w:color="auto"/>
                  <w:color w:val="0000EE"/>
                  <w:w w:val="96"/>
                </w:rPr>
                <w:t>the lenders from time to time party thereto (incorporated by reference to Exhibit 10.2 to the Company’s</w:t>
              </w:r>
            </w:hyperlink>
          </w:p>
        </w:tc>
      </w:tr>
      <w:tr>
        <w:trPr>
          <w:trHeight w:val="216"/>
        </w:trPr>
        <w:tc>
          <w:tcPr>
            <w:tcW w:w="1080" w:type="dxa"/>
            <w:vAlign w:val="bottom"/>
          </w:tcPr>
          <w:p>
            <w:pPr>
              <w:spacing w:after="0"/>
              <w:rPr>
                <w:sz w:val="18"/>
                <w:szCs w:val="18"/>
                <w:color w:val="auto"/>
              </w:rPr>
            </w:pPr>
          </w:p>
        </w:tc>
        <w:tc>
          <w:tcPr>
            <w:tcW w:w="7840" w:type="dxa"/>
            <w:vAlign w:val="bottom"/>
            <w:gridSpan w:val="35"/>
          </w:tcPr>
          <w:p>
            <w:pPr>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Quarterly Report on Form 10-Q filed August 6, 2020).</w:t>
              </w:r>
            </w:hyperlink>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10.10#</w:t>
            </w:r>
          </w:p>
        </w:tc>
        <w:tc>
          <w:tcPr>
            <w:tcW w:w="7480" w:type="dxa"/>
            <w:vAlign w:val="bottom"/>
            <w:tcBorders>
              <w:bottom w:val="single" w:sz="8" w:color="0000EE"/>
            </w:tcBorders>
            <w:gridSpan w:val="22"/>
          </w:tcPr>
          <w:p>
            <w:pPr>
              <w:spacing w:after="0" w:line="190"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Form of Letter Agreement, dated May 13, 2020 (entered into by the Company with each of Colin Reed,</w:t>
              </w:r>
            </w:hyperlink>
          </w:p>
        </w:tc>
        <w:tc>
          <w:tcPr>
            <w:tcW w:w="360" w:type="dxa"/>
            <w:vAlign w:val="bottom"/>
            <w:gridSpan w:val="13"/>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73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Mark Fioravanti and Bennett Westbrook) (incorporated by reference to Exhibit 10.1 to the Company’s</w:t>
              </w:r>
            </w:hyperlink>
          </w:p>
        </w:tc>
        <w:tc>
          <w:tcPr>
            <w:tcW w:w="480" w:type="dxa"/>
            <w:vAlign w:val="bottom"/>
            <w:gridSpan w:val="1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5"/>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Current Report on Form 8-K filed May 15, 2020).</w:t>
              </w:r>
            </w:hyperlink>
          </w:p>
        </w:tc>
      </w:tr>
      <w:tr>
        <w:trPr>
          <w:trHeight w:val="20"/>
        </w:trPr>
        <w:tc>
          <w:tcPr>
            <w:tcW w:w="10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2"/>
        </w:trPr>
        <w:tc>
          <w:tcPr>
            <w:tcW w:w="1080" w:type="dxa"/>
            <w:vAlign w:val="bottom"/>
          </w:tcPr>
          <w:p>
            <w:pPr>
              <w:ind w:left="20"/>
              <w:spacing w:after="0"/>
              <w:rPr>
                <w:sz w:val="20"/>
                <w:szCs w:val="20"/>
                <w:color w:val="auto"/>
              </w:rPr>
            </w:pPr>
            <w:r>
              <w:rPr>
                <w:rFonts w:ascii="Arial" w:cs="Arial" w:eastAsia="Arial" w:hAnsi="Arial"/>
                <w:sz w:val="18"/>
                <w:szCs w:val="18"/>
                <w:color w:val="auto"/>
              </w:rPr>
              <w:t>10.11#</w:t>
            </w:r>
          </w:p>
        </w:tc>
        <w:tc>
          <w:tcPr>
            <w:tcW w:w="7840" w:type="dxa"/>
            <w:vAlign w:val="bottom"/>
            <w:gridSpan w:val="35"/>
          </w:tcPr>
          <w:p>
            <w:pPr>
              <w:spacing w:after="0"/>
              <w:rPr>
                <w:sz w:val="20"/>
                <w:szCs w:val="20"/>
                <w:color w:val="auto"/>
              </w:rPr>
            </w:pPr>
            <w:r>
              <w:rPr>
                <w:rFonts w:ascii="Arial" w:cs="Arial" w:eastAsia="Arial" w:hAnsi="Arial"/>
                <w:sz w:val="18"/>
                <w:szCs w:val="18"/>
                <w:color w:val="auto"/>
                <w:w w:val="93"/>
              </w:rPr>
              <w:t>The Opryland USA Inc. Supplemental Deferred Compensation Plan (incorporated by reference to Exhibit</w:t>
            </w:r>
          </w:p>
        </w:tc>
      </w:tr>
      <w:tr>
        <w:trPr>
          <w:trHeight w:val="216"/>
        </w:trPr>
        <w:tc>
          <w:tcPr>
            <w:tcW w:w="1080" w:type="dxa"/>
            <w:vAlign w:val="bottom"/>
          </w:tcPr>
          <w:p>
            <w:pPr>
              <w:spacing w:after="0"/>
              <w:rPr>
                <w:sz w:val="18"/>
                <w:szCs w:val="18"/>
                <w:color w:val="auto"/>
              </w:rPr>
            </w:pPr>
          </w:p>
        </w:tc>
        <w:tc>
          <w:tcPr>
            <w:tcW w:w="7840" w:type="dxa"/>
            <w:vAlign w:val="bottom"/>
            <w:gridSpan w:val="35"/>
          </w:tcPr>
          <w:p>
            <w:pPr>
              <w:spacing w:after="0"/>
              <w:rPr>
                <w:sz w:val="20"/>
                <w:szCs w:val="20"/>
                <w:color w:val="auto"/>
              </w:rPr>
            </w:pPr>
            <w:r>
              <w:rPr>
                <w:rFonts w:ascii="Arial" w:cs="Arial" w:eastAsia="Arial" w:hAnsi="Arial"/>
                <w:sz w:val="18"/>
                <w:szCs w:val="18"/>
                <w:color w:val="auto"/>
              </w:rPr>
              <w:t>10.11 to the former Gaylord Entertainment Company’s Registration Statement on Form S-1).</w:t>
            </w:r>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10.12#</w:t>
            </w:r>
          </w:p>
        </w:tc>
        <w:tc>
          <w:tcPr>
            <w:tcW w:w="7780" w:type="dxa"/>
            <w:vAlign w:val="bottom"/>
            <w:tcBorders>
              <w:bottom w:val="single" w:sz="8" w:color="0000EE"/>
            </w:tcBorders>
            <w:gridSpan w:val="32"/>
          </w:tcPr>
          <w:p>
            <w:pPr>
              <w:spacing w:after="0" w:line="190"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Gaylord Entertainment Company Retirement Benefit Restoration Plan (incorporated by reference to Exhibit</w:t>
              </w:r>
            </w:hyperlink>
          </w:p>
        </w:tc>
        <w:tc>
          <w:tcPr>
            <w:tcW w:w="60" w:type="dxa"/>
            <w:vAlign w:val="bottom"/>
            <w:gridSpan w:val="3"/>
          </w:tcPr>
          <w:p>
            <w:pPr>
              <w:spacing w:after="0"/>
              <w:rPr>
                <w:sz w:val="16"/>
                <w:szCs w:val="16"/>
                <w:color w:val="auto"/>
              </w:rPr>
            </w:pPr>
          </w:p>
        </w:tc>
      </w:tr>
      <w:tr>
        <w:trPr>
          <w:trHeight w:val="222"/>
        </w:trPr>
        <w:tc>
          <w:tcPr>
            <w:tcW w:w="1080" w:type="dxa"/>
            <w:vAlign w:val="bottom"/>
          </w:tcPr>
          <w:p>
            <w:pPr>
              <w:spacing w:after="0"/>
              <w:rPr>
                <w:sz w:val="19"/>
                <w:szCs w:val="19"/>
                <w:color w:val="auto"/>
              </w:rPr>
            </w:pPr>
          </w:p>
        </w:tc>
        <w:tc>
          <w:tcPr>
            <w:tcW w:w="7840" w:type="dxa"/>
            <w:vAlign w:val="bottom"/>
            <w:gridSpan w:val="35"/>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10.19 to the Company’s Annual Report on Form 10-K for the year ended December 31, 2000).</w:t>
              </w:r>
            </w:hyperlink>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10.13#</w:t>
            </w:r>
          </w:p>
        </w:tc>
        <w:tc>
          <w:tcPr>
            <w:tcW w:w="7060" w:type="dxa"/>
            <w:vAlign w:val="bottom"/>
            <w:tcBorders>
              <w:bottom w:val="single" w:sz="8" w:color="0000EE"/>
            </w:tcBorders>
            <w:gridSpan w:val="12"/>
          </w:tcPr>
          <w:p>
            <w:pPr>
              <w:spacing w:after="0" w:line="190"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Executive Employment Agreement of Colin V. Reed, dated February 25, 2008, with the Company</w:t>
              </w:r>
            </w:hyperlink>
          </w:p>
        </w:tc>
        <w:tc>
          <w:tcPr>
            <w:tcW w:w="780" w:type="dxa"/>
            <w:vAlign w:val="bottom"/>
            <w:gridSpan w:val="23"/>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5"/>
          </w:tcPr>
          <w:p>
            <w:pPr>
              <w:spacing w:after="0" w:line="196" w:lineRule="exact"/>
              <w:rPr>
                <w:rFonts w:ascii="Arial" w:cs="Arial" w:eastAsia="Arial" w:hAnsi="Arial"/>
                <w:sz w:val="18"/>
                <w:szCs w:val="18"/>
                <w:color w:val="0000EE"/>
                <w:w w:val="96"/>
              </w:rPr>
            </w:pPr>
            <w:hyperlink r:id="rId110">
              <w:r>
                <w:rPr>
                  <w:rFonts w:ascii="Arial" w:cs="Arial" w:eastAsia="Arial" w:hAnsi="Arial"/>
                  <w:sz w:val="18"/>
                  <w:szCs w:val="18"/>
                  <w:color w:val="0000EE"/>
                  <w:w w:val="96"/>
                </w:rPr>
                <w:t>(incorporated by reference to Exhibit 10.1 to the Company’s Current Report on Form 8-K filed with the</w:t>
              </w:r>
            </w:hyperlink>
          </w:p>
        </w:tc>
      </w:tr>
      <w:tr>
        <w:trPr>
          <w:trHeight w:val="196"/>
        </w:trPr>
        <w:tc>
          <w:tcPr>
            <w:tcW w:w="108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SEC on February 27, 2008).</w:t>
              </w:r>
            </w:hyperlink>
          </w:p>
        </w:tc>
        <w:tc>
          <w:tcPr>
            <w:tcW w:w="5420" w:type="dxa"/>
            <w:vAlign w:val="bottom"/>
            <w:tcBorders>
              <w:top w:val="single" w:sz="8" w:color="0000EE"/>
            </w:tcBorders>
            <w:gridSpan w:val="18"/>
          </w:tcPr>
          <w:p>
            <w:pPr>
              <w:spacing w:after="0"/>
              <w:rPr>
                <w:sz w:val="17"/>
                <w:szCs w:val="17"/>
                <w:color w:val="auto"/>
              </w:rPr>
            </w:pPr>
          </w:p>
        </w:tc>
        <w:tc>
          <w:tcPr>
            <w:tcW w:w="380" w:type="dxa"/>
            <w:vAlign w:val="bottom"/>
            <w:gridSpan w:val="14"/>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10.14#</w:t>
            </w:r>
          </w:p>
        </w:tc>
        <w:tc>
          <w:tcPr>
            <w:tcW w:w="764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First Amendment to Executive Employment Agreement of Colin V. Reed, dated December 18, 2008, with</w:t>
              </w:r>
            </w:hyperlink>
          </w:p>
        </w:tc>
        <w:tc>
          <w:tcPr>
            <w:tcW w:w="20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0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Company (incorporated by reference to Exhibit 10.3 of the Company’s Current Report on Form 8-K filed</w:t>
              </w:r>
            </w:hyperlink>
          </w:p>
        </w:tc>
        <w:tc>
          <w:tcPr>
            <w:tcW w:w="24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7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with the SEC on December 23, 2008).</w:t>
              </w:r>
            </w:hyperlink>
          </w:p>
        </w:tc>
        <w:tc>
          <w:tcPr>
            <w:tcW w:w="5080" w:type="dxa"/>
            <w:vAlign w:val="bottom"/>
            <w:gridSpan w:val="30"/>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10.15#</w:t>
            </w:r>
          </w:p>
        </w:tc>
        <w:tc>
          <w:tcPr>
            <w:tcW w:w="76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Second Amendment to Executive Employment Agreement, dated September 3, 2010, by and between the</w:t>
              </w:r>
            </w:hyperlink>
          </w:p>
        </w:tc>
        <w:tc>
          <w:tcPr>
            <w:tcW w:w="24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2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Company and Colin V. Reed (incorporated by reference to Exhibit 10.2 to the Company’s Quarterly Report</w:t>
              </w:r>
            </w:hyperlink>
          </w:p>
        </w:tc>
        <w:tc>
          <w:tcPr>
            <w:tcW w:w="12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1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on Form 10-Q for the quarter ended September 30, 2010).</w:t>
              </w:r>
            </w:hyperlink>
          </w:p>
        </w:tc>
        <w:tc>
          <w:tcPr>
            <w:tcW w:w="3660" w:type="dxa"/>
            <w:vAlign w:val="bottom"/>
            <w:gridSpan w:val="27"/>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10.16#</w:t>
            </w:r>
          </w:p>
        </w:tc>
        <w:tc>
          <w:tcPr>
            <w:tcW w:w="7840" w:type="dxa"/>
            <w:vAlign w:val="bottom"/>
            <w:gridSpan w:val="35"/>
          </w:tcPr>
          <w:p>
            <w:pPr>
              <w:spacing w:after="0" w:line="19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Third Amendment to Executive Employment Agreement, dated as of November 5, 2012, by and between</w:t>
              </w:r>
            </w:hyperlink>
          </w:p>
        </w:tc>
      </w:tr>
      <w:tr>
        <w:trPr>
          <w:trHeight w:val="196"/>
        </w:trPr>
        <w:tc>
          <w:tcPr>
            <w:tcW w:w="1080" w:type="dxa"/>
            <w:vAlign w:val="bottom"/>
          </w:tcPr>
          <w:p>
            <w:pPr>
              <w:spacing w:after="0"/>
              <w:rPr>
                <w:sz w:val="17"/>
                <w:szCs w:val="17"/>
                <w:color w:val="auto"/>
              </w:rPr>
            </w:pPr>
          </w:p>
        </w:tc>
        <w:tc>
          <w:tcPr>
            <w:tcW w:w="7580" w:type="dxa"/>
            <w:vAlign w:val="bottom"/>
            <w:tcBorders>
              <w:top w:val="single" w:sz="8" w:color="0000EE"/>
            </w:tcBorders>
            <w:gridSpan w:val="26"/>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the Company and Colin V. Reed (incorporated by reference to Exhibit 10.5 to the Company’s Quarterly</w:t>
              </w:r>
            </w:hyperlink>
          </w:p>
        </w:tc>
        <w:tc>
          <w:tcPr>
            <w:tcW w:w="26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4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Report on Form 10-Q for the quarter ended September 30, 2012).</w:t>
              </w:r>
            </w:hyperlink>
          </w:p>
        </w:tc>
        <w:tc>
          <w:tcPr>
            <w:tcW w:w="400" w:type="dxa"/>
            <w:vAlign w:val="bottom"/>
            <w:gridSpan w:val="15"/>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10.17*#</w:t>
            </w:r>
          </w:p>
        </w:tc>
        <w:tc>
          <w:tcPr>
            <w:tcW w:w="77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127">
              <w:r>
                <w:rPr>
                  <w:rFonts w:ascii="Arial" w:cs="Arial" w:eastAsia="Arial" w:hAnsi="Arial"/>
                  <w:sz w:val="18"/>
                  <w:szCs w:val="18"/>
                  <w:color w:val="0000EE"/>
                  <w:w w:val="90"/>
                </w:rPr>
                <w:t>Fourth Amendment to Executive Employment Agreement, dated as of December 31, 2020, by and between</w:t>
              </w:r>
            </w:hyperlink>
          </w:p>
        </w:tc>
        <w:tc>
          <w:tcPr>
            <w:tcW w:w="10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3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the Company and Colin V. Reed.</w:t>
              </w:r>
            </w:hyperlink>
          </w:p>
        </w:tc>
        <w:tc>
          <w:tcPr>
            <w:tcW w:w="5460" w:type="dxa"/>
            <w:vAlign w:val="bottom"/>
            <w:gridSpan w:val="31"/>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10.18#</w:t>
            </w:r>
          </w:p>
        </w:tc>
        <w:tc>
          <w:tcPr>
            <w:tcW w:w="75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Indemnification Agreement, dated as of April 23, 2001, by and between the Company and Colin V. Reed</w:t>
              </w:r>
            </w:hyperlink>
          </w:p>
        </w:tc>
        <w:tc>
          <w:tcPr>
            <w:tcW w:w="28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(incorporated by reference to Exhibit 10.30 to the Company’s Annual Report on Form 10-K for the year</w:t>
              </w:r>
            </w:hyperlink>
          </w:p>
        </w:tc>
        <w:tc>
          <w:tcPr>
            <w:tcW w:w="340" w:type="dxa"/>
            <w:vAlign w:val="bottom"/>
            <w:gridSpan w:val="1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0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ended December 31, 2001).</w:t>
              </w:r>
            </w:hyperlink>
          </w:p>
        </w:tc>
        <w:tc>
          <w:tcPr>
            <w:tcW w:w="5840" w:type="dxa"/>
            <w:vAlign w:val="bottom"/>
            <w:gridSpan w:val="33"/>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10.19#</w:t>
            </w:r>
          </w:p>
        </w:tc>
        <w:tc>
          <w:tcPr>
            <w:tcW w:w="7840" w:type="dxa"/>
            <w:vAlign w:val="bottom"/>
            <w:gridSpan w:val="35"/>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Form of Employment Agreement of Mark Fioravanti, dated February 25, 2008, with the Company</w:t>
              </w:r>
            </w:hyperlink>
          </w:p>
        </w:tc>
      </w:tr>
      <w:tr>
        <w:trPr>
          <w:trHeight w:val="20"/>
        </w:trPr>
        <w:tc>
          <w:tcPr>
            <w:tcW w:w="1080" w:type="dxa"/>
            <w:vAlign w:val="bottom"/>
          </w:tcPr>
          <w:p>
            <w:pPr>
              <w:spacing w:after="0" w:line="20" w:lineRule="exact"/>
              <w:rPr>
                <w:sz w:val="1"/>
                <w:szCs w:val="1"/>
                <w:color w:val="auto"/>
              </w:rPr>
            </w:pPr>
          </w:p>
        </w:tc>
        <w:tc>
          <w:tcPr>
            <w:tcW w:w="3280" w:type="dxa"/>
            <w:vAlign w:val="bottom"/>
            <w:gridSpan w:val="6"/>
            <w:shd w:val="clear" w:color="auto" w:fill="0000EE"/>
          </w:tcPr>
          <w:p>
            <w:pPr>
              <w:spacing w:after="0" w:line="20" w:lineRule="exact"/>
              <w:rPr>
                <w:sz w:val="1"/>
                <w:szCs w:val="1"/>
                <w:color w:val="auto"/>
              </w:rPr>
            </w:pPr>
          </w:p>
        </w:tc>
        <w:tc>
          <w:tcPr>
            <w:tcW w:w="3800" w:type="dxa"/>
            <w:vAlign w:val="bottom"/>
            <w:gridSpan w:val="7"/>
            <w:shd w:val="clear" w:color="auto" w:fill="0000EE"/>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5"/>
          </w:tcPr>
          <w:p>
            <w:pPr>
              <w:spacing w:after="0" w:line="196" w:lineRule="exact"/>
              <w:rPr>
                <w:rFonts w:ascii="Arial" w:cs="Arial" w:eastAsia="Arial" w:hAnsi="Arial"/>
                <w:sz w:val="18"/>
                <w:szCs w:val="18"/>
                <w:color w:val="0000EE"/>
                <w:w w:val="96"/>
              </w:rPr>
            </w:pPr>
            <w:hyperlink r:id="rId115">
              <w:r>
                <w:rPr>
                  <w:rFonts w:ascii="Arial" w:cs="Arial" w:eastAsia="Arial" w:hAnsi="Arial"/>
                  <w:sz w:val="18"/>
                  <w:szCs w:val="18"/>
                  <w:color w:val="0000EE"/>
                  <w:w w:val="96"/>
                </w:rPr>
                <w:t>(incorporated by reference to Exhibit 10.3 to the Company’s Current Report on Form 8-K filed with the</w:t>
              </w:r>
            </w:hyperlink>
          </w:p>
        </w:tc>
      </w:tr>
      <w:tr>
        <w:trPr>
          <w:trHeight w:val="196"/>
        </w:trPr>
        <w:tc>
          <w:tcPr>
            <w:tcW w:w="108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SEC on February 27, 2008).</w:t>
              </w:r>
            </w:hyperlink>
          </w:p>
        </w:tc>
        <w:tc>
          <w:tcPr>
            <w:tcW w:w="5420" w:type="dxa"/>
            <w:vAlign w:val="bottom"/>
            <w:tcBorders>
              <w:top w:val="single" w:sz="8" w:color="0000EE"/>
            </w:tcBorders>
            <w:gridSpan w:val="18"/>
          </w:tcPr>
          <w:p>
            <w:pPr>
              <w:spacing w:after="0"/>
              <w:rPr>
                <w:sz w:val="17"/>
                <w:szCs w:val="17"/>
                <w:color w:val="auto"/>
              </w:rPr>
            </w:pPr>
          </w:p>
        </w:tc>
        <w:tc>
          <w:tcPr>
            <w:tcW w:w="380" w:type="dxa"/>
            <w:vAlign w:val="bottom"/>
            <w:gridSpan w:val="14"/>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10.20#</w:t>
            </w:r>
          </w:p>
        </w:tc>
        <w:tc>
          <w:tcPr>
            <w:tcW w:w="7840" w:type="dxa"/>
            <w:vAlign w:val="bottom"/>
            <w:gridSpan w:val="35"/>
          </w:tcPr>
          <w:p>
            <w:pPr>
              <w:spacing w:after="0" w:line="196" w:lineRule="exact"/>
              <w:rPr>
                <w:rFonts w:ascii="Arial" w:cs="Arial" w:eastAsia="Arial" w:hAnsi="Arial"/>
                <w:sz w:val="18"/>
                <w:szCs w:val="18"/>
                <w:color w:val="0000EE"/>
                <w:w w:val="95"/>
              </w:rPr>
            </w:pPr>
            <w:hyperlink r:id="rId116">
              <w:r>
                <w:rPr>
                  <w:rFonts w:ascii="Arial" w:cs="Arial" w:eastAsia="Arial" w:hAnsi="Arial"/>
                  <w:sz w:val="18"/>
                  <w:szCs w:val="18"/>
                  <w:color w:val="0000EE"/>
                  <w:w w:val="95"/>
                </w:rPr>
                <w:t>Form of Amendment No. 1 to Employment Agreement of Mark Fioravanti (incorporated by reference to</w:t>
              </w:r>
            </w:hyperlink>
          </w:p>
        </w:tc>
      </w:tr>
      <w:tr>
        <w:trPr>
          <w:trHeight w:val="222"/>
        </w:trPr>
        <w:tc>
          <w:tcPr>
            <w:tcW w:w="1080" w:type="dxa"/>
            <w:vAlign w:val="bottom"/>
          </w:tcPr>
          <w:p>
            <w:pPr>
              <w:spacing w:after="0"/>
              <w:rPr>
                <w:sz w:val="19"/>
                <w:szCs w:val="19"/>
                <w:color w:val="auto"/>
              </w:rPr>
            </w:pPr>
          </w:p>
        </w:tc>
        <w:tc>
          <w:tcPr>
            <w:tcW w:w="7520" w:type="dxa"/>
            <w:vAlign w:val="bottom"/>
            <w:tcBorders>
              <w:top w:val="single" w:sz="8" w:color="0000EE"/>
            </w:tcBorders>
            <w:gridSpan w:val="24"/>
          </w:tcPr>
          <w:p>
            <w:pPr>
              <w:spacing w:after="0"/>
              <w:rPr>
                <w:rFonts w:ascii="Arial" w:cs="Arial" w:eastAsia="Arial" w:hAnsi="Arial"/>
                <w:sz w:val="18"/>
                <w:szCs w:val="18"/>
                <w:u w:val="single" w:color="auto"/>
                <w:color w:val="0000EE"/>
                <w:w w:val="92"/>
              </w:rPr>
            </w:pPr>
            <w:hyperlink r:id="rId116">
              <w:r>
                <w:rPr>
                  <w:rFonts w:ascii="Arial" w:cs="Arial" w:eastAsia="Arial" w:hAnsi="Arial"/>
                  <w:sz w:val="18"/>
                  <w:szCs w:val="18"/>
                  <w:u w:val="single" w:color="auto"/>
                  <w:color w:val="0000EE"/>
                  <w:w w:val="92"/>
                </w:rPr>
                <w:t>Exhibit 10.38 to the Company’s Annual Report on Form 10-K for the year ended December 31, 2009).</w:t>
              </w:r>
            </w:hyperlink>
          </w:p>
        </w:tc>
        <w:tc>
          <w:tcPr>
            <w:tcW w:w="320" w:type="dxa"/>
            <w:vAlign w:val="bottom"/>
            <w:gridSpan w:val="11"/>
          </w:tcPr>
          <w:p>
            <w:pPr>
              <w:spacing w:after="0"/>
              <w:rPr>
                <w:sz w:val="19"/>
                <w:szCs w:val="19"/>
                <w:color w:val="auto"/>
              </w:rPr>
            </w:pPr>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10.21#</w:t>
            </w:r>
          </w:p>
        </w:tc>
        <w:tc>
          <w:tcPr>
            <w:tcW w:w="7760" w:type="dxa"/>
            <w:vAlign w:val="bottom"/>
            <w:tcBorders>
              <w:bottom w:val="single" w:sz="8" w:color="0000EE"/>
            </w:tcBorders>
            <w:gridSpan w:val="31"/>
          </w:tcPr>
          <w:p>
            <w:pPr>
              <w:spacing w:after="0" w:line="190"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Amendment No. 2 to Employment Agreement, dated September 3, 2010, by and between the Company and</w:t>
              </w:r>
            </w:hyperlink>
          </w:p>
        </w:tc>
        <w:tc>
          <w:tcPr>
            <w:tcW w:w="80" w:type="dxa"/>
            <w:vAlign w:val="bottom"/>
            <w:gridSpan w:val="4"/>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778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Mark Fioravanti (incorporated by reference to Exhibit 10.5 to the Company’s Quarterly Report on Form 10-</w:t>
              </w:r>
            </w:hyperlink>
          </w:p>
        </w:tc>
        <w:tc>
          <w:tcPr>
            <w:tcW w:w="6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2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Q for the quarter ended September 30, 2010).</w:t>
              </w:r>
            </w:hyperlink>
          </w:p>
        </w:tc>
        <w:tc>
          <w:tcPr>
            <w:tcW w:w="4560" w:type="dxa"/>
            <w:vAlign w:val="bottom"/>
            <w:gridSpan w:val="29"/>
          </w:tcPr>
          <w:p>
            <w:pPr>
              <w:spacing w:after="0"/>
              <w:rPr>
                <w:sz w:val="17"/>
                <w:szCs w:val="17"/>
                <w:color w:val="auto"/>
              </w:rPr>
            </w:pPr>
          </w:p>
        </w:tc>
      </w:tr>
      <w:tr>
        <w:trPr>
          <w:trHeight w:val="668"/>
        </w:trPr>
        <w:tc>
          <w:tcPr>
            <w:tcW w:w="1080" w:type="dxa"/>
            <w:vAlign w:val="bottom"/>
          </w:tcPr>
          <w:p>
            <w:pPr>
              <w:spacing w:after="0"/>
              <w:rPr>
                <w:sz w:val="24"/>
                <w:szCs w:val="24"/>
                <w:color w:val="auto"/>
              </w:rPr>
            </w:pPr>
          </w:p>
        </w:tc>
        <w:tc>
          <w:tcPr>
            <w:tcW w:w="3600" w:type="dxa"/>
            <w:vAlign w:val="bottom"/>
            <w:gridSpan w:val="7"/>
          </w:tcPr>
          <w:p>
            <w:pPr>
              <w:ind w:left="3300"/>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10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20" w:right="99" w:hanging="1065"/>
        <w:spacing w:after="0" w:line="255"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18">
        <w:r>
          <w:rPr>
            <w:rFonts w:ascii="Arial" w:cs="Arial" w:eastAsia="Arial" w:hAnsi="Arial"/>
            <w:sz w:val="18"/>
            <w:szCs w:val="18"/>
            <w:u w:val="single" w:color="auto"/>
            <w:color w:val="0000EE"/>
          </w:rPr>
          <w:t>Third Amendment to Executive Employment Agreement dated as of November 5, 2012, by and between the</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Company and Mark Fioravanti (incorporated by reference to Exhibit 10.6 to the Company’s Quarterly</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Report on Form 10-Q for the quarter ended September 30, 2012).</w:t>
        </w:r>
      </w:hyperlink>
    </w:p>
    <w:p>
      <w:pPr>
        <w:spacing w:after="0" w:line="3" w:lineRule="exact"/>
        <w:rPr>
          <w:rFonts w:ascii="Arial" w:cs="Arial" w:eastAsia="Arial" w:hAnsi="Arial"/>
          <w:sz w:val="18"/>
          <w:szCs w:val="18"/>
          <w:u w:val="single" w:color="auto"/>
          <w:color w:val="0000EE"/>
        </w:rPr>
      </w:pPr>
    </w:p>
    <w:p>
      <w:pPr>
        <w:ind w:left="1120" w:right="399" w:hanging="1065"/>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19">
        <w:r>
          <w:rPr>
            <w:rFonts w:ascii="Arial" w:cs="Arial" w:eastAsia="Arial" w:hAnsi="Arial"/>
            <w:sz w:val="18"/>
            <w:szCs w:val="18"/>
            <w:u w:val="single" w:color="auto"/>
            <w:color w:val="0000EE"/>
          </w:rPr>
          <w:t>Severance Agreement dated as of February 26, 2018 between the Company and Patrick Chaffin</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(incorporated by reference to Exhibit 10.21 to the Company’s Annual Report on Form 10-K for the year</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ended December 31, 2017).</w:t>
        </w:r>
      </w:hyperlink>
    </w:p>
    <w:p>
      <w:pPr>
        <w:spacing w:after="0" w:line="1" w:lineRule="exact"/>
        <w:rPr>
          <w:rFonts w:ascii="Arial" w:cs="Arial" w:eastAsia="Arial" w:hAnsi="Arial"/>
          <w:sz w:val="18"/>
          <w:szCs w:val="18"/>
          <w:u w:val="single" w:color="auto"/>
          <w:color w:val="0000EE"/>
        </w:rPr>
      </w:pPr>
    </w:p>
    <w:p>
      <w:pPr>
        <w:jc w:val="both"/>
        <w:ind w:left="1120" w:right="99" w:hanging="1065"/>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20">
        <w:r>
          <w:rPr>
            <w:rFonts w:ascii="Arial" w:cs="Arial" w:eastAsia="Arial" w:hAnsi="Arial"/>
            <w:sz w:val="18"/>
            <w:szCs w:val="18"/>
            <w:u w:val="single" w:color="auto"/>
            <w:color w:val="0000EE"/>
          </w:rPr>
          <w:t>Severance Agreement dated as of February 26, 2018 between the Company and Scott Lynn (incorporated by</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reference to Exhibit 10.22 to the Company’s Annual Report on Form 10-K for the year ended December 31,</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2017).</w:t>
        </w:r>
      </w:hyperlink>
    </w:p>
    <w:p>
      <w:pPr>
        <w:spacing w:after="0" w:line="1" w:lineRule="exact"/>
        <w:rPr>
          <w:rFonts w:ascii="Arial" w:cs="Arial" w:eastAsia="Arial" w:hAnsi="Arial"/>
          <w:sz w:val="18"/>
          <w:szCs w:val="18"/>
          <w:u w:val="single" w:color="auto"/>
          <w:color w:val="0000EE"/>
        </w:rPr>
      </w:pPr>
    </w:p>
    <w:p>
      <w:pPr>
        <w:ind w:left="1120" w:right="399" w:hanging="1065"/>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21">
        <w:r>
          <w:rPr>
            <w:rFonts w:ascii="Arial" w:cs="Arial" w:eastAsia="Arial" w:hAnsi="Arial"/>
            <w:sz w:val="18"/>
            <w:szCs w:val="18"/>
            <w:u w:val="single" w:color="auto"/>
            <w:color w:val="0000EE"/>
          </w:rPr>
          <w:t>Severance Agreement dated as of February 26, 2018 between the Company and Jennifer Hutcheson</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(incorporated by reference to Exhibit 10.23 to the Company’s Annual Report on Form 10-K for the year</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ended December 31, 2017).</w:t>
        </w:r>
      </w:hyperlink>
    </w:p>
    <w:p>
      <w:pPr>
        <w:spacing w:after="0" w:line="1" w:lineRule="exact"/>
        <w:rPr>
          <w:rFonts w:ascii="Arial" w:cs="Arial" w:eastAsia="Arial" w:hAnsi="Arial"/>
          <w:sz w:val="18"/>
          <w:szCs w:val="18"/>
          <w:u w:val="single" w:color="auto"/>
          <w:color w:val="0000EE"/>
        </w:rPr>
      </w:pPr>
    </w:p>
    <w:p>
      <w:pPr>
        <w:ind w:left="1120" w:right="399" w:hanging="1065"/>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22">
        <w:r>
          <w:rPr>
            <w:rFonts w:ascii="Arial" w:cs="Arial" w:eastAsia="Arial" w:hAnsi="Arial"/>
            <w:sz w:val="18"/>
            <w:szCs w:val="18"/>
            <w:u w:val="single" w:color="auto"/>
            <w:color w:val="0000EE"/>
          </w:rPr>
          <w:t>Form of Indemnification Agreement between the Company and each of its non-employee directors</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(incorporated by reference to Exhibit 10.36 to the Company’s Annual Report on Form 10-K for the year</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ended December 31, 2002).</w:t>
        </w:r>
      </w:hyperlink>
    </w:p>
    <w:p>
      <w:pPr>
        <w:spacing w:after="0" w:line="1" w:lineRule="exact"/>
        <w:rPr>
          <w:rFonts w:ascii="Arial" w:cs="Arial" w:eastAsia="Arial" w:hAnsi="Arial"/>
          <w:sz w:val="18"/>
          <w:szCs w:val="18"/>
          <w:u w:val="single" w:color="auto"/>
          <w:color w:val="0000EE"/>
        </w:rPr>
      </w:pPr>
    </w:p>
    <w:p>
      <w:pPr>
        <w:ind w:left="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10.27*#</w:t>
      </w:r>
      <w:r>
        <w:rPr>
          <w:sz w:val="20"/>
          <w:szCs w:val="20"/>
          <w:color w:val="auto"/>
        </w:rPr>
        <w:tab/>
      </w:r>
      <w:hyperlink w:anchor="page131">
        <w:r>
          <w:rPr>
            <w:rFonts w:ascii="Arial" w:cs="Arial" w:eastAsia="Arial" w:hAnsi="Arial"/>
            <w:sz w:val="16"/>
            <w:szCs w:val="16"/>
            <w:u w:val="single" w:color="auto"/>
            <w:color w:val="0000EE"/>
          </w:rPr>
          <w:t>Summary of Director and Executive Officer Compensation.</w:t>
        </w:r>
      </w:hyperlink>
    </w:p>
    <w:p>
      <w:pPr>
        <w:spacing w:after="0" w:line="9" w:lineRule="exact"/>
        <w:rPr>
          <w:rFonts w:ascii="Arial" w:cs="Arial" w:eastAsia="Arial" w:hAnsi="Arial"/>
          <w:sz w:val="18"/>
          <w:szCs w:val="18"/>
          <w:u w:val="single" w:color="auto"/>
          <w:color w:val="0000EE"/>
        </w:rPr>
      </w:pPr>
    </w:p>
    <w:p>
      <w:pPr>
        <w:ind w:left="1120" w:right="359" w:hanging="1065"/>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23">
        <w:r>
          <w:rPr>
            <w:rFonts w:ascii="Arial" w:cs="Arial" w:eastAsia="Arial" w:hAnsi="Arial"/>
            <w:sz w:val="18"/>
            <w:szCs w:val="18"/>
            <w:u w:val="single" w:color="auto"/>
            <w:color w:val="0000EE"/>
          </w:rPr>
          <w:t>Gaylord Entertainment Company Amended and Restated 2006 Omnibus Incentive Plan (incorporated by</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reference to Annex A to the Company’s Definitive Proxy Statement for the 2011 Annual Meeting of</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Stockholders filed with the SEC on April 1, 2011).</w:t>
        </w:r>
      </w:hyperlink>
    </w:p>
    <w:p>
      <w:pPr>
        <w:spacing w:after="0" w:line="1" w:lineRule="exact"/>
        <w:rPr>
          <w:rFonts w:ascii="Arial" w:cs="Arial" w:eastAsia="Arial" w:hAnsi="Arial"/>
          <w:sz w:val="18"/>
          <w:szCs w:val="18"/>
          <w:u w:val="single" w:color="auto"/>
          <w:color w:val="0000EE"/>
        </w:rPr>
      </w:pPr>
    </w:p>
    <w:p>
      <w:pPr>
        <w:jc w:val="both"/>
        <w:ind w:left="1120" w:right="99" w:hanging="1065"/>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24">
        <w:r>
          <w:rPr>
            <w:rFonts w:ascii="Arial" w:cs="Arial" w:eastAsia="Arial" w:hAnsi="Arial"/>
            <w:sz w:val="18"/>
            <w:szCs w:val="18"/>
            <w:u w:val="single" w:color="auto"/>
            <w:color w:val="0000EE"/>
          </w:rPr>
          <w:t>Amendment dated February 10, 2017 to Amended and Restated 2006 Omnibus Incentive Plan (incorporated</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by reference to Exhibit 10.30 to the Company’s Annual Report on Form 10-K for the year ended December</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31, 2016).</w:t>
        </w:r>
      </w:hyperlink>
    </w:p>
    <w:p>
      <w:pPr>
        <w:spacing w:after="0" w:line="1" w:lineRule="exact"/>
        <w:rPr>
          <w:rFonts w:ascii="Arial" w:cs="Arial" w:eastAsia="Arial" w:hAnsi="Arial"/>
          <w:sz w:val="18"/>
          <w:szCs w:val="18"/>
          <w:u w:val="single" w:color="auto"/>
          <w:color w:val="0000EE"/>
        </w:rPr>
      </w:pPr>
    </w:p>
    <w:p>
      <w:pPr>
        <w:ind w:left="1120" w:right="339" w:hanging="1065"/>
        <w:spacing w:after="0" w:line="265"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10.30#</w:t>
      </w:r>
      <w:r>
        <w:rPr>
          <w:sz w:val="20"/>
          <w:szCs w:val="20"/>
          <w:color w:val="auto"/>
        </w:rPr>
        <w:tab/>
      </w:r>
      <w:hyperlink r:id="rId125">
        <w:r>
          <w:rPr>
            <w:rFonts w:ascii="Arial" w:cs="Arial" w:eastAsia="Arial" w:hAnsi="Arial"/>
            <w:sz w:val="17"/>
            <w:szCs w:val="17"/>
            <w:u w:val="single" w:color="auto"/>
            <w:color w:val="0000EE"/>
          </w:rPr>
          <w:t>Form of Restricted Share Award Agreement with respect to restricted stock granted pursuant to the</w:t>
        </w:r>
      </w:hyperlink>
      <w:r>
        <w:rPr>
          <w:rFonts w:ascii="Arial" w:cs="Arial" w:eastAsia="Arial" w:hAnsi="Arial"/>
          <w:sz w:val="17"/>
          <w:szCs w:val="17"/>
          <w:u w:val="single" w:color="auto"/>
          <w:color w:val="0000EE"/>
        </w:rPr>
        <w:t xml:space="preserve"> </w:t>
      </w:r>
      <w:hyperlink r:id="rId125">
        <w:r>
          <w:rPr>
            <w:rFonts w:ascii="Arial" w:cs="Arial" w:eastAsia="Arial" w:hAnsi="Arial"/>
            <w:sz w:val="17"/>
            <w:szCs w:val="17"/>
            <w:u w:val="single" w:color="auto"/>
            <w:color w:val="0000EE"/>
          </w:rPr>
          <w:t>Company’s 2006 Omnibus Incentive Plan, as amended (incorporated by reference to Exhibit 10.40 to the</w:t>
        </w:r>
      </w:hyperlink>
      <w:r>
        <w:rPr>
          <w:rFonts w:ascii="Arial" w:cs="Arial" w:eastAsia="Arial" w:hAnsi="Arial"/>
          <w:sz w:val="17"/>
          <w:szCs w:val="17"/>
          <w:u w:val="single" w:color="auto"/>
          <w:color w:val="0000EE"/>
        </w:rPr>
        <w:t xml:space="preserve"> </w:t>
      </w:r>
      <w:hyperlink r:id="rId125">
        <w:r>
          <w:rPr>
            <w:rFonts w:ascii="Arial" w:cs="Arial" w:eastAsia="Arial" w:hAnsi="Arial"/>
            <w:sz w:val="17"/>
            <w:szCs w:val="17"/>
            <w:u w:val="single" w:color="auto"/>
            <w:color w:val="0000EE"/>
          </w:rPr>
          <w:t>Company’s Annual Report on Form 10-K for the year ended December 31, 2006).</w:t>
        </w:r>
      </w:hyperlink>
    </w:p>
    <w:p>
      <w:pPr>
        <w:ind w:left="1120" w:right="339" w:hanging="1065"/>
        <w:spacing w:after="0" w:line="265"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10.31#</w:t>
      </w:r>
      <w:r>
        <w:rPr>
          <w:sz w:val="20"/>
          <w:szCs w:val="20"/>
          <w:color w:val="auto"/>
        </w:rPr>
        <w:tab/>
      </w:r>
      <w:hyperlink r:id="rId126">
        <w:r>
          <w:rPr>
            <w:rFonts w:ascii="Arial" w:cs="Arial" w:eastAsia="Arial" w:hAnsi="Arial"/>
            <w:sz w:val="17"/>
            <w:szCs w:val="17"/>
            <w:u w:val="single" w:color="auto"/>
            <w:color w:val="0000EE"/>
          </w:rPr>
          <w:t>Form of Non-Qualified Stock Option Agreement with respect to stock options granted pursuant to the</w:t>
        </w:r>
      </w:hyperlink>
      <w:r>
        <w:rPr>
          <w:rFonts w:ascii="Arial" w:cs="Arial" w:eastAsia="Arial" w:hAnsi="Arial"/>
          <w:sz w:val="17"/>
          <w:szCs w:val="17"/>
          <w:u w:val="single" w:color="auto"/>
          <w:color w:val="0000EE"/>
        </w:rPr>
        <w:t xml:space="preserve"> </w:t>
      </w:r>
      <w:hyperlink r:id="rId126">
        <w:r>
          <w:rPr>
            <w:rFonts w:ascii="Arial" w:cs="Arial" w:eastAsia="Arial" w:hAnsi="Arial"/>
            <w:sz w:val="17"/>
            <w:szCs w:val="17"/>
            <w:u w:val="single" w:color="auto"/>
            <w:color w:val="0000EE"/>
          </w:rPr>
          <w:t>Company’s 2006 Omnibus Incentive Plan, as amended (incorporated by reference to Exhibit 10.41 to the</w:t>
        </w:r>
      </w:hyperlink>
      <w:r>
        <w:rPr>
          <w:rFonts w:ascii="Arial" w:cs="Arial" w:eastAsia="Arial" w:hAnsi="Arial"/>
          <w:sz w:val="17"/>
          <w:szCs w:val="17"/>
          <w:u w:val="single" w:color="auto"/>
          <w:color w:val="0000EE"/>
        </w:rPr>
        <w:t xml:space="preserve"> </w:t>
      </w:r>
      <w:hyperlink r:id="rId126">
        <w:r>
          <w:rPr>
            <w:rFonts w:ascii="Arial" w:cs="Arial" w:eastAsia="Arial" w:hAnsi="Arial"/>
            <w:sz w:val="17"/>
            <w:szCs w:val="17"/>
            <w:u w:val="single" w:color="auto"/>
            <w:color w:val="0000EE"/>
          </w:rPr>
          <w:t>Company’s Annual Report on Form 10-K for the year ended December 31, 2006).</w:t>
        </w:r>
      </w:hyperlink>
    </w:p>
    <w:p>
      <w:pPr>
        <w:jc w:val="both"/>
        <w:ind w:left="1120" w:right="139" w:hanging="1065"/>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27">
        <w:r>
          <w:rPr>
            <w:rFonts w:ascii="Arial" w:cs="Arial" w:eastAsia="Arial" w:hAnsi="Arial"/>
            <w:sz w:val="18"/>
            <w:szCs w:val="18"/>
            <w:u w:val="single" w:color="auto"/>
            <w:color w:val="0000EE"/>
          </w:rPr>
          <w:t>Form of Director Non-Qualified Stock Option Agreement with respect to stock options granted pursuant to</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the Company’s 2006 Omnibus Incentive Plan (incorporated by reference to Exhibit 10.42 to the Company’s</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Annual Report on Form 10-K for the year ended December 31, 2006).</w:t>
        </w:r>
      </w:hyperlink>
    </w:p>
    <w:p>
      <w:pPr>
        <w:spacing w:after="0" w:line="1" w:lineRule="exact"/>
        <w:rPr>
          <w:rFonts w:ascii="Arial" w:cs="Arial" w:eastAsia="Arial" w:hAnsi="Arial"/>
          <w:sz w:val="18"/>
          <w:szCs w:val="18"/>
          <w:u w:val="single" w:color="auto"/>
          <w:color w:val="0000EE"/>
        </w:rPr>
      </w:pPr>
    </w:p>
    <w:p>
      <w:pPr>
        <w:ind w:left="1120" w:right="159" w:hanging="1065"/>
        <w:spacing w:after="0" w:line="265"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10.33#</w:t>
      </w:r>
      <w:r>
        <w:rPr>
          <w:sz w:val="20"/>
          <w:szCs w:val="20"/>
          <w:color w:val="auto"/>
        </w:rPr>
        <w:tab/>
      </w:r>
      <w:hyperlink r:id="rId128">
        <w:r>
          <w:rPr>
            <w:rFonts w:ascii="Arial" w:cs="Arial" w:eastAsia="Arial" w:hAnsi="Arial"/>
            <w:sz w:val="17"/>
            <w:szCs w:val="17"/>
            <w:u w:val="single" w:color="auto"/>
            <w:color w:val="0000EE"/>
          </w:rPr>
          <w:t>Form of Director Restricted Stock Unit Award Agreement with respect to restricted stock units granted</w:t>
        </w:r>
      </w:hyperlink>
      <w:r>
        <w:rPr>
          <w:rFonts w:ascii="Arial" w:cs="Arial" w:eastAsia="Arial" w:hAnsi="Arial"/>
          <w:sz w:val="17"/>
          <w:szCs w:val="17"/>
          <w:u w:val="single" w:color="auto"/>
          <w:color w:val="0000EE"/>
        </w:rPr>
        <w:t xml:space="preserve"> </w:t>
      </w:r>
      <w:hyperlink r:id="rId128">
        <w:r>
          <w:rPr>
            <w:rFonts w:ascii="Arial" w:cs="Arial" w:eastAsia="Arial" w:hAnsi="Arial"/>
            <w:sz w:val="17"/>
            <w:szCs w:val="17"/>
            <w:u w:val="single" w:color="auto"/>
            <w:color w:val="0000EE"/>
          </w:rPr>
          <w:t>pursuant to the Company’s 2006 Omnibus Incentive Plan (incorporated by reference to Exhibit 10.43 to the</w:t>
        </w:r>
      </w:hyperlink>
      <w:r>
        <w:rPr>
          <w:rFonts w:ascii="Arial" w:cs="Arial" w:eastAsia="Arial" w:hAnsi="Arial"/>
          <w:sz w:val="17"/>
          <w:szCs w:val="17"/>
          <w:u w:val="single" w:color="auto"/>
          <w:color w:val="0000EE"/>
        </w:rPr>
        <w:t xml:space="preserve"> </w:t>
      </w:r>
      <w:hyperlink r:id="rId128">
        <w:r>
          <w:rPr>
            <w:rFonts w:ascii="Arial" w:cs="Arial" w:eastAsia="Arial" w:hAnsi="Arial"/>
            <w:sz w:val="17"/>
            <w:szCs w:val="17"/>
            <w:u w:val="single" w:color="auto"/>
            <w:color w:val="0000EE"/>
          </w:rPr>
          <w:t>Company’s Annual Report on Form 10-K for the year ended December 31, 2006).</w:t>
        </w:r>
      </w:hyperlink>
    </w:p>
    <w:p>
      <w:pPr>
        <w:ind w:left="1120" w:right="179" w:hanging="1065"/>
        <w:spacing w:after="0" w:line="281"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10.34#</w:t>
      </w:r>
      <w:r>
        <w:rPr>
          <w:sz w:val="20"/>
          <w:szCs w:val="20"/>
          <w:color w:val="auto"/>
        </w:rPr>
        <w:tab/>
      </w:r>
      <w:hyperlink r:id="rId129">
        <w:r>
          <w:rPr>
            <w:rFonts w:ascii="Arial" w:cs="Arial" w:eastAsia="Arial" w:hAnsi="Arial"/>
            <w:sz w:val="16"/>
            <w:szCs w:val="16"/>
            <w:u w:val="single" w:color="auto"/>
            <w:color w:val="0000EE"/>
          </w:rPr>
          <w:t>Form of Restricted Stock Unit Award Agreement with respect to performance-vesting restricted stock units</w:t>
        </w:r>
      </w:hyperlink>
      <w:r>
        <w:rPr>
          <w:rFonts w:ascii="Arial" w:cs="Arial" w:eastAsia="Arial" w:hAnsi="Arial"/>
          <w:sz w:val="16"/>
          <w:szCs w:val="16"/>
          <w:u w:val="single" w:color="auto"/>
          <w:color w:val="0000EE"/>
        </w:rPr>
        <w:t xml:space="preserve"> </w:t>
      </w:r>
      <w:hyperlink r:id="rId129">
        <w:r>
          <w:rPr>
            <w:rFonts w:ascii="Arial" w:cs="Arial" w:eastAsia="Arial" w:hAnsi="Arial"/>
            <w:sz w:val="16"/>
            <w:szCs w:val="16"/>
            <w:u w:val="single" w:color="auto"/>
            <w:color w:val="0000EE"/>
          </w:rPr>
          <w:t>granted pursuant to the Company’s 2006 Omnibus Incentive plan (incorporated by reference to Exhibit</w:t>
        </w:r>
      </w:hyperlink>
      <w:r>
        <w:rPr>
          <w:rFonts w:ascii="Arial" w:cs="Arial" w:eastAsia="Arial" w:hAnsi="Arial"/>
          <w:sz w:val="16"/>
          <w:szCs w:val="16"/>
          <w:u w:val="single" w:color="auto"/>
          <w:color w:val="0000EE"/>
        </w:rPr>
        <w:t xml:space="preserve"> </w:t>
      </w:r>
      <w:hyperlink r:id="rId129">
        <w:r>
          <w:rPr>
            <w:rFonts w:ascii="Arial" w:cs="Arial" w:eastAsia="Arial" w:hAnsi="Arial"/>
            <w:sz w:val="16"/>
            <w:szCs w:val="16"/>
            <w:u w:val="single" w:color="auto"/>
            <w:color w:val="0000EE"/>
          </w:rPr>
          <w:t>10.35 to the Company’s Annual Report on Form 10-K filed with the SEC on February 28, 2008).</w:t>
        </w:r>
      </w:hyperlink>
    </w:p>
    <w:p>
      <w:pPr>
        <w:spacing w:after="0" w:line="2" w:lineRule="exact"/>
        <w:rPr>
          <w:rFonts w:ascii="Arial" w:cs="Arial" w:eastAsia="Arial" w:hAnsi="Arial"/>
          <w:sz w:val="16"/>
          <w:szCs w:val="16"/>
          <w:u w:val="single" w:color="auto"/>
          <w:color w:val="0000EE"/>
        </w:rPr>
      </w:pPr>
    </w:p>
    <w:p>
      <w:pPr>
        <w:jc w:val="both"/>
        <w:ind w:left="1120" w:right="159" w:hanging="1065"/>
        <w:spacing w:after="0" w:line="265"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10.35#</w:t>
      </w:r>
      <w:r>
        <w:rPr>
          <w:sz w:val="20"/>
          <w:szCs w:val="20"/>
          <w:color w:val="auto"/>
        </w:rPr>
        <w:tab/>
      </w:r>
      <w:hyperlink r:id="rId130">
        <w:r>
          <w:rPr>
            <w:rFonts w:ascii="Arial" w:cs="Arial" w:eastAsia="Arial" w:hAnsi="Arial"/>
            <w:sz w:val="17"/>
            <w:szCs w:val="17"/>
            <w:u w:val="single" w:color="auto"/>
            <w:color w:val="0000EE"/>
          </w:rPr>
          <w:t>Form of Restricted Stock Unit Award Agreement with respect to time-vesting restricted stock units granted</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pursuant to the Company’s 2006 Omnibus Incentive Plan (incorporated by reference to Exhibit 10.52 to the</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Company’s Annual Report on Form 10-K for the year ended December 31, 2009).</w:t>
        </w:r>
      </w:hyperlink>
    </w:p>
    <w:p>
      <w:pPr>
        <w:ind w:left="1120" w:right="119" w:hanging="1065"/>
        <w:spacing w:after="0" w:line="265"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10.36#</w:t>
      </w:r>
      <w:r>
        <w:rPr>
          <w:sz w:val="20"/>
          <w:szCs w:val="20"/>
          <w:color w:val="auto"/>
        </w:rPr>
        <w:tab/>
      </w:r>
      <w:hyperlink r:id="rId131">
        <w:r>
          <w:rPr>
            <w:rFonts w:ascii="Arial" w:cs="Arial" w:eastAsia="Arial" w:hAnsi="Arial"/>
            <w:sz w:val="17"/>
            <w:szCs w:val="17"/>
            <w:u w:val="single" w:color="auto"/>
            <w:color w:val="0000EE"/>
          </w:rPr>
          <w:t>Form of Restricted Stock Unit Award Agreement with respect to performance-based restricted stock units</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granted pursuant to the Company’s 2006 Omnibus Incentive Plan (incorporated by reference to Exhibit 10.2</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to the Company’s Quarterly Report on Form 10-Q for the quarter ended March 31, 2012).</w:t>
        </w:r>
      </w:hyperlink>
    </w:p>
    <w:p>
      <w:pPr>
        <w:jc w:val="both"/>
        <w:ind w:left="1120" w:right="399" w:hanging="1065"/>
        <w:spacing w:after="0" w:line="265"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10.37#</w:t>
      </w:r>
      <w:r>
        <w:rPr>
          <w:sz w:val="20"/>
          <w:szCs w:val="20"/>
          <w:color w:val="auto"/>
        </w:rPr>
        <w:tab/>
      </w:r>
      <w:hyperlink r:id="rId132">
        <w:r>
          <w:rPr>
            <w:rFonts w:ascii="Arial" w:cs="Arial" w:eastAsia="Arial" w:hAnsi="Arial"/>
            <w:sz w:val="17"/>
            <w:szCs w:val="17"/>
            <w:u w:val="single" w:color="auto"/>
            <w:color w:val="0000EE"/>
          </w:rPr>
          <w:t>Form of 2013 Time-Based Restricted Stock Unit Award Agreement with respect to restricted stock units</w:t>
        </w:r>
      </w:hyperlink>
      <w:r>
        <w:rPr>
          <w:rFonts w:ascii="Arial" w:cs="Arial" w:eastAsia="Arial" w:hAnsi="Arial"/>
          <w:sz w:val="17"/>
          <w:szCs w:val="17"/>
          <w:u w:val="single" w:color="auto"/>
          <w:color w:val="0000EE"/>
        </w:rPr>
        <w:t xml:space="preserve"> </w:t>
      </w:r>
      <w:hyperlink r:id="rId132">
        <w:r>
          <w:rPr>
            <w:rFonts w:ascii="Arial" w:cs="Arial" w:eastAsia="Arial" w:hAnsi="Arial"/>
            <w:sz w:val="17"/>
            <w:szCs w:val="17"/>
            <w:u w:val="single" w:color="auto"/>
            <w:color w:val="0000EE"/>
          </w:rPr>
          <w:t>granted pursuant to the Company’s 2006 Omnibus Incentive Plan (incorporated by reference to Exhibit</w:t>
        </w:r>
      </w:hyperlink>
      <w:r>
        <w:rPr>
          <w:rFonts w:ascii="Arial" w:cs="Arial" w:eastAsia="Arial" w:hAnsi="Arial"/>
          <w:sz w:val="17"/>
          <w:szCs w:val="17"/>
          <w:u w:val="single" w:color="auto"/>
          <w:color w:val="0000EE"/>
        </w:rPr>
        <w:t xml:space="preserve"> </w:t>
      </w:r>
      <w:hyperlink r:id="rId132">
        <w:r>
          <w:rPr>
            <w:rFonts w:ascii="Arial" w:cs="Arial" w:eastAsia="Arial" w:hAnsi="Arial"/>
            <w:sz w:val="17"/>
            <w:szCs w:val="17"/>
            <w:u w:val="single" w:color="auto"/>
            <w:color w:val="0000EE"/>
          </w:rPr>
          <w:t>10.67 to the Company’s Annual Report on Form 10-K for the year December 31, 2012).</w:t>
        </w:r>
      </w:hyperlink>
    </w:p>
    <w:p>
      <w:pPr>
        <w:ind w:left="1120" w:right="79" w:hanging="1065"/>
        <w:spacing w:after="0" w:line="277"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10.38#</w:t>
      </w:r>
      <w:r>
        <w:rPr>
          <w:sz w:val="20"/>
          <w:szCs w:val="20"/>
          <w:color w:val="auto"/>
        </w:rPr>
        <w:tab/>
      </w:r>
      <w:hyperlink r:id="rId133">
        <w:r>
          <w:rPr>
            <w:rFonts w:ascii="Arial" w:cs="Arial" w:eastAsia="Arial" w:hAnsi="Arial"/>
            <w:sz w:val="17"/>
            <w:szCs w:val="17"/>
            <w:u w:val="single" w:color="auto"/>
            <w:color w:val="0000EE"/>
          </w:rPr>
          <w:t>Form of 2013 Performance-Based Restricted Stock Unit Award Agreement with respect to restricted stock</w:t>
        </w:r>
      </w:hyperlink>
      <w:r>
        <w:rPr>
          <w:rFonts w:ascii="Arial" w:cs="Arial" w:eastAsia="Arial" w:hAnsi="Arial"/>
          <w:sz w:val="17"/>
          <w:szCs w:val="17"/>
          <w:u w:val="single" w:color="auto"/>
          <w:color w:val="0000EE"/>
        </w:rPr>
        <w:t xml:space="preserve"> </w:t>
      </w:r>
      <w:hyperlink r:id="rId133">
        <w:r>
          <w:rPr>
            <w:rFonts w:ascii="Arial" w:cs="Arial" w:eastAsia="Arial" w:hAnsi="Arial"/>
            <w:sz w:val="17"/>
            <w:szCs w:val="17"/>
            <w:u w:val="single" w:color="auto"/>
            <w:color w:val="0000EE"/>
          </w:rPr>
          <w:t>units granted pursuant to the Company’s 2006 Omnibus Incentive Plan (incorporated by reference to Exhibit</w:t>
        </w:r>
      </w:hyperlink>
      <w:r>
        <w:rPr>
          <w:rFonts w:ascii="Arial" w:cs="Arial" w:eastAsia="Arial" w:hAnsi="Arial"/>
          <w:sz w:val="17"/>
          <w:szCs w:val="17"/>
          <w:u w:val="single" w:color="auto"/>
          <w:color w:val="0000EE"/>
        </w:rPr>
        <w:t xml:space="preserve"> </w:t>
      </w:r>
      <w:hyperlink r:id="rId133">
        <w:r>
          <w:rPr>
            <w:rFonts w:ascii="Arial" w:cs="Arial" w:eastAsia="Arial" w:hAnsi="Arial"/>
            <w:sz w:val="17"/>
            <w:szCs w:val="17"/>
            <w:u w:val="single" w:color="auto"/>
            <w:color w:val="0000EE"/>
          </w:rPr>
          <w:t>10.68 to the Company’s Annual Report on Form 10-K for the year December 31, 2012).</w:t>
        </w:r>
      </w:hyperlink>
    </w:p>
    <w:p>
      <w:pPr>
        <w:spacing w:after="0" w:line="389"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tcPr>
          <w:p>
            <w:pPr>
              <w:ind w:left="20"/>
              <w:spacing w:after="0"/>
              <w:rPr>
                <w:sz w:val="20"/>
                <w:szCs w:val="20"/>
                <w:color w:val="auto"/>
              </w:rPr>
            </w:pPr>
            <w:r>
              <w:rPr>
                <w:rFonts w:ascii="Arial" w:cs="Arial" w:eastAsia="Arial" w:hAnsi="Arial"/>
                <w:sz w:val="18"/>
                <w:szCs w:val="18"/>
                <w:color w:val="auto"/>
              </w:rPr>
              <w:t>10.39#</w:t>
            </w:r>
          </w:p>
        </w:tc>
        <w:tc>
          <w:tcPr>
            <w:tcW w:w="7420" w:type="dxa"/>
            <w:vAlign w:val="bottom"/>
            <w:tcBorders>
              <w:bottom w:val="single" w:sz="8" w:color="0000EE"/>
            </w:tcBorders>
            <w:gridSpan w:val="13"/>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Form of Director Restricted Stock Unit Award Agreement with respect to restricted stock units granted</w:t>
              </w:r>
            </w:hyperlink>
          </w:p>
        </w:tc>
        <w:tc>
          <w:tcPr>
            <w:tcW w:w="40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3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pursuant to the Company’s 2006 Omnibus Incentive Plan in lieu of cash retainer fees (incorporated by</w:t>
              </w:r>
            </w:hyperlink>
          </w:p>
        </w:tc>
        <w:tc>
          <w:tcPr>
            <w:tcW w:w="460" w:type="dxa"/>
            <w:vAlign w:val="bottom"/>
            <w:gridSpan w:val="10"/>
          </w:tcPr>
          <w:p>
            <w:pPr>
              <w:spacing w:after="0"/>
              <w:rPr>
                <w:sz w:val="17"/>
                <w:szCs w:val="17"/>
                <w:color w:val="auto"/>
              </w:rPr>
            </w:pPr>
          </w:p>
        </w:tc>
      </w:tr>
      <w:tr>
        <w:trPr>
          <w:trHeight w:val="222"/>
        </w:trPr>
        <w:tc>
          <w:tcPr>
            <w:tcW w:w="1080" w:type="dxa"/>
            <w:vAlign w:val="bottom"/>
          </w:tcPr>
          <w:p>
            <w:pPr>
              <w:spacing w:after="0"/>
              <w:rPr>
                <w:sz w:val="19"/>
                <w:szCs w:val="19"/>
                <w:color w:val="auto"/>
              </w:rPr>
            </w:pPr>
          </w:p>
        </w:tc>
        <w:tc>
          <w:tcPr>
            <w:tcW w:w="7820" w:type="dxa"/>
            <w:vAlign w:val="bottom"/>
            <w:gridSpan w:val="22"/>
          </w:tcPr>
          <w:p>
            <w:pPr>
              <w:spacing w:after="0"/>
              <w:rPr>
                <w:rFonts w:ascii="Arial" w:cs="Arial" w:eastAsia="Arial" w:hAnsi="Arial"/>
                <w:sz w:val="18"/>
                <w:szCs w:val="18"/>
                <w:color w:val="0000EE"/>
                <w:w w:val="91"/>
              </w:rPr>
            </w:pPr>
            <w:hyperlink r:id="rId135">
              <w:r>
                <w:rPr>
                  <w:rFonts w:ascii="Arial" w:cs="Arial" w:eastAsia="Arial" w:hAnsi="Arial"/>
                  <w:sz w:val="18"/>
                  <w:szCs w:val="18"/>
                  <w:u w:val="single" w:color="auto"/>
                  <w:color w:val="0000EE"/>
                  <w:w w:val="91"/>
                </w:rPr>
                <w:t>reference to Exhibit 10.68 to the Company’s Annual Report on Form 10-K for the year December 31, 2013)</w:t>
              </w:r>
              <w:r>
                <w:rPr>
                  <w:rFonts w:ascii="Arial" w:cs="Arial" w:eastAsia="Arial" w:hAnsi="Arial"/>
                  <w:sz w:val="18"/>
                  <w:szCs w:val="18"/>
                  <w:color w:val="0000EE"/>
                  <w:w w:val="91"/>
                </w:rPr>
                <w:t>.</w:t>
              </w:r>
            </w:hyperlink>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10.40#</w:t>
            </w:r>
          </w:p>
        </w:tc>
        <w:tc>
          <w:tcPr>
            <w:tcW w:w="7420" w:type="dxa"/>
            <w:vAlign w:val="bottom"/>
            <w:tcBorders>
              <w:bottom w:val="single" w:sz="8" w:color="0000EE"/>
            </w:tcBorders>
            <w:gridSpan w:val="13"/>
          </w:tcPr>
          <w:p>
            <w:pPr>
              <w:spacing w:after="0" w:line="190"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Form of Director Restricted Stock Unit Award Agreement with respect to restricted stock units granted</w:t>
              </w:r>
            </w:hyperlink>
          </w:p>
        </w:tc>
        <w:tc>
          <w:tcPr>
            <w:tcW w:w="400" w:type="dxa"/>
            <w:vAlign w:val="bottom"/>
            <w:gridSpan w:val="9"/>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76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pursuant to the Company’s 2006 Omnibus Incentive Plan to replace previously deferred cash retainer fees</w:t>
              </w:r>
            </w:hyperlink>
          </w:p>
        </w:tc>
        <w:tc>
          <w:tcPr>
            <w:tcW w:w="18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(incorporated by reference to Exhibit 10.69 to the Company’s Annual Report on Form 10-K for the year</w:t>
              </w:r>
            </w:hyperlink>
          </w:p>
        </w:tc>
        <w:tc>
          <w:tcPr>
            <w:tcW w:w="32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20" w:type="dxa"/>
            <w:vAlign w:val="bottom"/>
            <w:gridSpan w:val="22"/>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December 31, 2013).</w:t>
              </w:r>
            </w:hyperlink>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10.41#</w:t>
            </w:r>
          </w:p>
        </w:tc>
        <w:tc>
          <w:tcPr>
            <w:tcW w:w="7820" w:type="dxa"/>
            <w:vAlign w:val="bottom"/>
            <w:gridSpan w:val="22"/>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Ryman Hospitality Properties, Inc. 2016 Omnibus Incentive Plan (incorporated by reference to Exhibit 10.1</w:t>
              </w:r>
            </w:hyperlink>
          </w:p>
        </w:tc>
      </w:tr>
      <w:tr>
        <w:trPr>
          <w:trHeight w:val="196"/>
        </w:trPr>
        <w:tc>
          <w:tcPr>
            <w:tcW w:w="1080" w:type="dxa"/>
            <w:vAlign w:val="bottom"/>
          </w:tcPr>
          <w:p>
            <w:pPr>
              <w:spacing w:after="0"/>
              <w:rPr>
                <w:sz w:val="17"/>
                <w:szCs w:val="17"/>
                <w:color w:val="auto"/>
              </w:rPr>
            </w:pPr>
          </w:p>
        </w:tc>
        <w:tc>
          <w:tcPr>
            <w:tcW w:w="6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to the Company’s Current Report on Form 8-K filed with the SEC on May 6, 2016).</w:t>
              </w:r>
            </w:hyperlink>
          </w:p>
        </w:tc>
        <w:tc>
          <w:tcPr>
            <w:tcW w:w="1700" w:type="dxa"/>
            <w:vAlign w:val="bottom"/>
            <w:tcBorders>
              <w:top w:val="single" w:sz="8" w:color="0000EE"/>
            </w:tcBorders>
            <w:gridSpan w:val="12"/>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10.42#</w:t>
            </w:r>
          </w:p>
        </w:tc>
        <w:tc>
          <w:tcPr>
            <w:tcW w:w="76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Amendment dated February 10, 2017 to Ryman Hospitality Properties, Inc. 2016 Omnibus Incentive Plan</w:t>
              </w:r>
            </w:hyperlink>
          </w:p>
        </w:tc>
        <w:tc>
          <w:tcPr>
            <w:tcW w:w="20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(incorporated by reference to Exhibit 10.43 to the Company’s Annual Report on Form 10-K for the year</w:t>
              </w:r>
            </w:hyperlink>
          </w:p>
        </w:tc>
        <w:tc>
          <w:tcPr>
            <w:tcW w:w="32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0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38">
              <w:r>
                <w:rPr>
                  <w:rFonts w:ascii="Arial" w:cs="Arial" w:eastAsia="Arial" w:hAnsi="Arial"/>
                  <w:sz w:val="18"/>
                  <w:szCs w:val="18"/>
                  <w:color w:val="0000EE"/>
                  <w:w w:val="88"/>
                </w:rPr>
                <w:t>ended December 31, 2016).</w:t>
              </w:r>
            </w:hyperlink>
          </w:p>
        </w:tc>
        <w:tc>
          <w:tcPr>
            <w:tcW w:w="5820" w:type="dxa"/>
            <w:vAlign w:val="bottom"/>
            <w:gridSpan w:val="17"/>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10.43#</w:t>
            </w:r>
          </w:p>
        </w:tc>
        <w:tc>
          <w:tcPr>
            <w:tcW w:w="72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Form of Restricted Stock Unit Award Agreement granted pursuant to the Company’s 2016 Omnibus</w:t>
              </w:r>
            </w:hyperlink>
          </w:p>
        </w:tc>
        <w:tc>
          <w:tcPr>
            <w:tcW w:w="600" w:type="dxa"/>
            <w:vAlign w:val="bottom"/>
            <w:gridSpan w:val="1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20" w:type="dxa"/>
            <w:vAlign w:val="bottom"/>
            <w:gridSpan w:val="22"/>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Incentive Plan (incorporated by reference to Exhibit 10.1 to the Company’s Quarterly Report on Form 10-Q</w:t>
              </w:r>
            </w:hyperlink>
          </w:p>
        </w:tc>
      </w:tr>
      <w:tr>
        <w:trPr>
          <w:trHeight w:val="196"/>
        </w:trPr>
        <w:tc>
          <w:tcPr>
            <w:tcW w:w="1080" w:type="dxa"/>
            <w:vAlign w:val="bottom"/>
          </w:tcPr>
          <w:p>
            <w:pPr>
              <w:spacing w:after="0"/>
              <w:rPr>
                <w:sz w:val="17"/>
                <w:szCs w:val="17"/>
                <w:color w:val="auto"/>
              </w:rPr>
            </w:pPr>
          </w:p>
        </w:tc>
        <w:tc>
          <w:tcPr>
            <w:tcW w:w="77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for the quarter ended June 30, 2016).</w:t>
              </w:r>
            </w:hyperlink>
          </w:p>
        </w:tc>
        <w:tc>
          <w:tcPr>
            <w:tcW w:w="6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10.44#</w:t>
            </w:r>
          </w:p>
        </w:tc>
        <w:tc>
          <w:tcPr>
            <w:tcW w:w="7820" w:type="dxa"/>
            <w:vAlign w:val="bottom"/>
            <w:gridSpan w:val="22"/>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Form of Restricted Stock Unit Award Agreement with respect to time-based vesting restricted stock units</w:t>
              </w:r>
            </w:hyperlink>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8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granted pursuant to the Company’s 2016 Omnibus Incentive Plan (incorporated by reference to Exhibit 10.2</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3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to the Company’s Quarterly Report on Form 10-Q for the quarter ended June 30, 2016).</w:t>
              </w:r>
            </w:hyperlink>
          </w:p>
        </w:tc>
        <w:tc>
          <w:tcPr>
            <w:tcW w:w="1500" w:type="dxa"/>
            <w:vAlign w:val="bottom"/>
            <w:gridSpan w:val="14"/>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10.45#</w:t>
            </w:r>
          </w:p>
        </w:tc>
        <w:tc>
          <w:tcPr>
            <w:tcW w:w="77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Form of Restricted Stock Unit Award Agreement with respect to performance-based vesting restricted stock</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units granted pursuant to the Company’s 2016 Omnibus Incentive Plan (incorporated by reference to Exhibit</w:t>
              </w:r>
            </w:hyperlink>
          </w:p>
        </w:tc>
      </w:tr>
      <w:tr>
        <w:trPr>
          <w:trHeight w:val="222"/>
        </w:trPr>
        <w:tc>
          <w:tcPr>
            <w:tcW w:w="1080" w:type="dxa"/>
            <w:vAlign w:val="bottom"/>
          </w:tcPr>
          <w:p>
            <w:pPr>
              <w:spacing w:after="0"/>
              <w:rPr>
                <w:sz w:val="19"/>
                <w:szCs w:val="19"/>
                <w:color w:val="auto"/>
              </w:rPr>
            </w:pPr>
          </w:p>
        </w:tc>
        <w:tc>
          <w:tcPr>
            <w:tcW w:w="7820" w:type="dxa"/>
            <w:vAlign w:val="bottom"/>
            <w:gridSpan w:val="22"/>
          </w:tcPr>
          <w:p>
            <w:pPr>
              <w:spacing w:after="0"/>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10.3 to the Company’s Quarterly Report on Form 10-Q for the quarter ended June 30, 2016).</w:t>
              </w:r>
            </w:hyperlink>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10.46*#</w:t>
            </w:r>
          </w:p>
        </w:tc>
        <w:tc>
          <w:tcPr>
            <w:tcW w:w="7180" w:type="dxa"/>
            <w:vAlign w:val="bottom"/>
            <w:tcBorders>
              <w:bottom w:val="single" w:sz="8" w:color="0000EE"/>
            </w:tcBorders>
            <w:gridSpan w:val="10"/>
          </w:tcPr>
          <w:p>
            <w:pPr>
              <w:spacing w:after="0" w:line="190" w:lineRule="exact"/>
              <w:rPr>
                <w:rFonts w:ascii="Arial" w:cs="Arial" w:eastAsia="Arial" w:hAnsi="Arial"/>
                <w:sz w:val="18"/>
                <w:szCs w:val="18"/>
                <w:color w:val="0000EE"/>
                <w:w w:val="91"/>
              </w:rPr>
            </w:pPr>
            <w:hyperlink w:anchor="page134">
              <w:r>
                <w:rPr>
                  <w:rFonts w:ascii="Arial" w:cs="Arial" w:eastAsia="Arial" w:hAnsi="Arial"/>
                  <w:sz w:val="18"/>
                  <w:szCs w:val="18"/>
                  <w:color w:val="0000EE"/>
                  <w:w w:val="91"/>
                </w:rPr>
                <w:t>Form of Long-Term Stockholder Value Creation Restricted Stock Award Agreement with respect to</w:t>
              </w:r>
            </w:hyperlink>
          </w:p>
        </w:tc>
        <w:tc>
          <w:tcPr>
            <w:tcW w:w="640" w:type="dxa"/>
            <w:vAlign w:val="bottom"/>
            <w:gridSpan w:val="12"/>
          </w:tcPr>
          <w:p>
            <w:pPr>
              <w:spacing w:after="0"/>
              <w:rPr>
                <w:sz w:val="16"/>
                <w:szCs w:val="16"/>
                <w:color w:val="auto"/>
              </w:rPr>
            </w:pPr>
          </w:p>
        </w:tc>
      </w:tr>
      <w:tr>
        <w:trPr>
          <w:trHeight w:val="222"/>
        </w:trPr>
        <w:tc>
          <w:tcPr>
            <w:tcW w:w="1080" w:type="dxa"/>
            <w:vAlign w:val="bottom"/>
          </w:tcPr>
          <w:p>
            <w:pPr>
              <w:spacing w:after="0"/>
              <w:rPr>
                <w:sz w:val="19"/>
                <w:szCs w:val="19"/>
                <w:color w:val="auto"/>
              </w:rPr>
            </w:pPr>
          </w:p>
        </w:tc>
        <w:tc>
          <w:tcPr>
            <w:tcW w:w="7820" w:type="dxa"/>
            <w:vAlign w:val="bottom"/>
            <w:gridSpan w:val="22"/>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restricted stock units granted pursuant to the Company’s 2016 Omnibus Incentive Plan.</w:t>
              </w:r>
            </w:hyperlink>
          </w:p>
        </w:tc>
      </w:tr>
      <w:tr>
        <w:trPr>
          <w:trHeight w:val="216"/>
        </w:trPr>
        <w:tc>
          <w:tcPr>
            <w:tcW w:w="1080" w:type="dxa"/>
            <w:vAlign w:val="bottom"/>
          </w:tcPr>
          <w:p>
            <w:pPr>
              <w:ind w:left="20"/>
              <w:spacing w:after="0"/>
              <w:rPr>
                <w:sz w:val="20"/>
                <w:szCs w:val="20"/>
                <w:color w:val="auto"/>
              </w:rPr>
            </w:pPr>
            <w:r>
              <w:rPr>
                <w:rFonts w:ascii="Arial" w:cs="Arial" w:eastAsia="Arial" w:hAnsi="Arial"/>
                <w:sz w:val="18"/>
                <w:szCs w:val="18"/>
                <w:color w:val="auto"/>
              </w:rPr>
              <w:t>21*</w:t>
            </w:r>
          </w:p>
        </w:tc>
        <w:tc>
          <w:tcPr>
            <w:tcW w:w="7820" w:type="dxa"/>
            <w:vAlign w:val="bottom"/>
            <w:gridSpan w:val="22"/>
          </w:tcPr>
          <w:p>
            <w:pPr>
              <w:spacing w:after="0"/>
              <w:rPr>
                <w:rFonts w:ascii="Arial" w:cs="Arial" w:eastAsia="Arial" w:hAnsi="Arial"/>
                <w:sz w:val="18"/>
                <w:szCs w:val="18"/>
                <w:color w:val="0000EE"/>
              </w:rPr>
            </w:pPr>
            <w:hyperlink w:anchor="page141">
              <w:r>
                <w:rPr>
                  <w:rFonts w:ascii="Arial" w:cs="Arial" w:eastAsia="Arial" w:hAnsi="Arial"/>
                  <w:sz w:val="18"/>
                  <w:szCs w:val="18"/>
                  <w:u w:val="single" w:color="auto"/>
                  <w:color w:val="0000EE"/>
                </w:rPr>
                <w:t>Subsidiaries of the Company</w:t>
              </w:r>
              <w:r>
                <w:rPr>
                  <w:rFonts w:ascii="Arial" w:cs="Arial" w:eastAsia="Arial" w:hAnsi="Arial"/>
                  <w:sz w:val="18"/>
                  <w:szCs w:val="18"/>
                  <w:color w:val="0000EE"/>
                </w:rPr>
                <w:t>.</w:t>
              </w:r>
            </w:hyperlink>
          </w:p>
        </w:tc>
      </w:tr>
      <w:tr>
        <w:trPr>
          <w:trHeight w:val="216"/>
        </w:trPr>
        <w:tc>
          <w:tcPr>
            <w:tcW w:w="1080" w:type="dxa"/>
            <w:vAlign w:val="bottom"/>
          </w:tcPr>
          <w:p>
            <w:pPr>
              <w:ind w:left="20"/>
              <w:spacing w:after="0"/>
              <w:rPr>
                <w:sz w:val="20"/>
                <w:szCs w:val="20"/>
                <w:color w:val="auto"/>
              </w:rPr>
            </w:pPr>
            <w:r>
              <w:rPr>
                <w:rFonts w:ascii="Arial" w:cs="Arial" w:eastAsia="Arial" w:hAnsi="Arial"/>
                <w:sz w:val="18"/>
                <w:szCs w:val="18"/>
                <w:color w:val="auto"/>
              </w:rPr>
              <w:t>22*</w:t>
            </w:r>
          </w:p>
        </w:tc>
        <w:tc>
          <w:tcPr>
            <w:tcW w:w="7820" w:type="dxa"/>
            <w:vAlign w:val="bottom"/>
            <w:gridSpan w:val="22"/>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List of Parent and Subsidiary Guarantors.</w:t>
              </w:r>
            </w:hyperlink>
          </w:p>
        </w:tc>
      </w:tr>
      <w:tr>
        <w:trPr>
          <w:trHeight w:val="216"/>
        </w:trPr>
        <w:tc>
          <w:tcPr>
            <w:tcW w:w="1080" w:type="dxa"/>
            <w:vAlign w:val="bottom"/>
          </w:tcPr>
          <w:p>
            <w:pPr>
              <w:ind w:left="20"/>
              <w:spacing w:after="0"/>
              <w:rPr>
                <w:sz w:val="20"/>
                <w:szCs w:val="20"/>
                <w:color w:val="auto"/>
              </w:rPr>
            </w:pPr>
            <w:r>
              <w:rPr>
                <w:rFonts w:ascii="Arial" w:cs="Arial" w:eastAsia="Arial" w:hAnsi="Arial"/>
                <w:sz w:val="18"/>
                <w:szCs w:val="18"/>
                <w:color w:val="auto"/>
              </w:rPr>
              <w:t>23.1*</w:t>
            </w:r>
          </w:p>
        </w:tc>
        <w:tc>
          <w:tcPr>
            <w:tcW w:w="7820" w:type="dxa"/>
            <w:vAlign w:val="bottom"/>
            <w:gridSpan w:val="22"/>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Consent of Independent Registered Public Accounting Firm.</w:t>
              </w:r>
            </w:hyperlink>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31.1*</w:t>
            </w:r>
          </w:p>
        </w:tc>
        <w:tc>
          <w:tcPr>
            <w:tcW w:w="7440" w:type="dxa"/>
            <w:vAlign w:val="bottom"/>
            <w:tcBorders>
              <w:bottom w:val="single" w:sz="8" w:color="0000EE"/>
            </w:tcBorders>
            <w:gridSpan w:val="14"/>
          </w:tcPr>
          <w:p>
            <w:pPr>
              <w:spacing w:after="0" w:line="190" w:lineRule="exact"/>
              <w:rPr>
                <w:rFonts w:ascii="Arial" w:cs="Arial" w:eastAsia="Arial" w:hAnsi="Arial"/>
                <w:sz w:val="18"/>
                <w:szCs w:val="18"/>
                <w:color w:val="0000EE"/>
                <w:w w:val="91"/>
              </w:rPr>
            </w:pPr>
            <w:hyperlink w:anchor="page144">
              <w:r>
                <w:rPr>
                  <w:rFonts w:ascii="Arial" w:cs="Arial" w:eastAsia="Arial" w:hAnsi="Arial"/>
                  <w:sz w:val="18"/>
                  <w:szCs w:val="18"/>
                  <w:color w:val="0000EE"/>
                  <w:w w:val="91"/>
                </w:rPr>
                <w:t>Certification of Chief Executive Officer of Periodic Report Pursuant to Rule 13a - 14(a) and Rule 15d -</w:t>
              </w:r>
            </w:hyperlink>
          </w:p>
        </w:tc>
        <w:tc>
          <w:tcPr>
            <w:tcW w:w="380" w:type="dxa"/>
            <w:vAlign w:val="bottom"/>
            <w:gridSpan w:val="8"/>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7820" w:type="dxa"/>
            <w:vAlign w:val="bottom"/>
            <w:gridSpan w:val="22"/>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14(a).</w:t>
              </w:r>
            </w:hyperlink>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c>
          <w:tcPr>
            <w:tcW w:w="1240" w:type="dxa"/>
            <w:vAlign w:val="bottom"/>
            <w:gridSpan w:val="13"/>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7820" w:type="dxa"/>
            <w:vAlign w:val="bottom"/>
            <w:gridSpan w:val="22"/>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Certification of Chief Financial Officer of Periodic Report Pursuant to Rule 13a - 14(a) and</w:t>
              </w:r>
            </w:hyperlink>
          </w:p>
        </w:tc>
      </w:tr>
      <w:tr>
        <w:trPr>
          <w:trHeight w:val="196"/>
        </w:trPr>
        <w:tc>
          <w:tcPr>
            <w:tcW w:w="108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45">
              <w:r>
                <w:rPr>
                  <w:rFonts w:ascii="Arial" w:cs="Arial" w:eastAsia="Arial" w:hAnsi="Arial"/>
                  <w:sz w:val="18"/>
                  <w:szCs w:val="18"/>
                  <w:color w:val="0000EE"/>
                  <w:w w:val="90"/>
                </w:rPr>
                <w:t>Rule 15d - 14(a).</w:t>
              </w:r>
            </w:hyperlink>
          </w:p>
        </w:tc>
        <w:tc>
          <w:tcPr>
            <w:tcW w:w="5340" w:type="dxa"/>
            <w:vAlign w:val="bottom"/>
            <w:tcBorders>
              <w:top w:val="single" w:sz="8" w:color="0000EE"/>
            </w:tcBorders>
            <w:gridSpan w:val="6"/>
          </w:tcPr>
          <w:p>
            <w:pPr>
              <w:spacing w:after="0"/>
              <w:rPr>
                <w:sz w:val="17"/>
                <w:szCs w:val="17"/>
                <w:color w:val="auto"/>
              </w:rPr>
            </w:pPr>
          </w:p>
        </w:tc>
        <w:tc>
          <w:tcPr>
            <w:tcW w:w="1240" w:type="dxa"/>
            <w:vAlign w:val="bottom"/>
            <w:gridSpan w:val="13"/>
          </w:tcPr>
          <w:p>
            <w:pPr>
              <w:spacing w:after="0"/>
              <w:rPr>
                <w:sz w:val="17"/>
                <w:szCs w:val="17"/>
                <w:color w:val="auto"/>
              </w:rPr>
            </w:pPr>
          </w:p>
        </w:tc>
      </w:tr>
      <w:tr>
        <w:trPr>
          <w:trHeight w:val="222"/>
        </w:trPr>
        <w:tc>
          <w:tcPr>
            <w:tcW w:w="1080" w:type="dxa"/>
            <w:vAlign w:val="bottom"/>
          </w:tcPr>
          <w:p>
            <w:pPr>
              <w:ind w:left="20"/>
              <w:spacing w:after="0"/>
              <w:rPr>
                <w:sz w:val="20"/>
                <w:szCs w:val="20"/>
                <w:color w:val="auto"/>
              </w:rPr>
            </w:pPr>
            <w:r>
              <w:rPr>
                <w:rFonts w:ascii="Arial" w:cs="Arial" w:eastAsia="Arial" w:hAnsi="Arial"/>
                <w:sz w:val="18"/>
                <w:szCs w:val="18"/>
                <w:color w:val="auto"/>
              </w:rPr>
              <w:t>32.1*</w:t>
            </w:r>
          </w:p>
        </w:tc>
        <w:tc>
          <w:tcPr>
            <w:tcW w:w="7820" w:type="dxa"/>
            <w:vAlign w:val="bottom"/>
            <w:gridSpan w:val="22"/>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Certification of Chief Executive Officer Pursuant to 18 U.S.C. Section 1350.</w:t>
              </w:r>
            </w:hyperlink>
          </w:p>
        </w:tc>
      </w:tr>
      <w:tr>
        <w:trPr>
          <w:trHeight w:val="216"/>
        </w:trPr>
        <w:tc>
          <w:tcPr>
            <w:tcW w:w="1080" w:type="dxa"/>
            <w:vAlign w:val="bottom"/>
          </w:tcPr>
          <w:p>
            <w:pPr>
              <w:ind w:left="20"/>
              <w:spacing w:after="0"/>
              <w:rPr>
                <w:sz w:val="20"/>
                <w:szCs w:val="20"/>
                <w:color w:val="auto"/>
              </w:rPr>
            </w:pPr>
            <w:r>
              <w:rPr>
                <w:rFonts w:ascii="Arial" w:cs="Arial" w:eastAsia="Arial" w:hAnsi="Arial"/>
                <w:sz w:val="18"/>
                <w:szCs w:val="18"/>
                <w:color w:val="auto"/>
              </w:rPr>
              <w:t>32.2*</w:t>
            </w:r>
          </w:p>
        </w:tc>
        <w:tc>
          <w:tcPr>
            <w:tcW w:w="7820" w:type="dxa"/>
            <w:vAlign w:val="bottom"/>
            <w:gridSpan w:val="22"/>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Certification of Chief Financial Officer Pursuant to 18 U.S.C. Section 1350.</w:t>
              </w:r>
            </w:hyperlink>
          </w:p>
        </w:tc>
      </w:tr>
      <w:tr>
        <w:trPr>
          <w:trHeight w:val="216"/>
        </w:trPr>
        <w:tc>
          <w:tcPr>
            <w:tcW w:w="1080" w:type="dxa"/>
            <w:vAlign w:val="bottom"/>
          </w:tcPr>
          <w:p>
            <w:pPr>
              <w:ind w:left="20"/>
              <w:spacing w:after="0"/>
              <w:rPr>
                <w:sz w:val="20"/>
                <w:szCs w:val="20"/>
                <w:color w:val="auto"/>
              </w:rPr>
            </w:pPr>
            <w:r>
              <w:rPr>
                <w:rFonts w:ascii="Arial" w:cs="Arial" w:eastAsia="Arial" w:hAnsi="Arial"/>
                <w:sz w:val="18"/>
                <w:szCs w:val="18"/>
                <w:color w:val="auto"/>
              </w:rPr>
              <w:t>101*</w:t>
            </w:r>
          </w:p>
        </w:tc>
        <w:tc>
          <w:tcPr>
            <w:tcW w:w="7820" w:type="dxa"/>
            <w:vAlign w:val="bottom"/>
            <w:gridSpan w:val="22"/>
          </w:tcPr>
          <w:p>
            <w:pPr>
              <w:spacing w:after="0"/>
              <w:rPr>
                <w:sz w:val="20"/>
                <w:szCs w:val="20"/>
                <w:color w:val="auto"/>
              </w:rPr>
            </w:pPr>
            <w:r>
              <w:rPr>
                <w:rFonts w:ascii="Arial" w:cs="Arial" w:eastAsia="Arial" w:hAnsi="Arial"/>
                <w:sz w:val="18"/>
                <w:szCs w:val="18"/>
                <w:color w:val="auto"/>
                <w:w w:val="95"/>
              </w:rPr>
              <w:t>The following materials from Ryman Hospitality Property, Inc.’s Annual Form on Form 10-K for the year</w:t>
            </w:r>
          </w:p>
        </w:tc>
      </w:tr>
      <w:tr>
        <w:trPr>
          <w:trHeight w:val="216"/>
        </w:trPr>
        <w:tc>
          <w:tcPr>
            <w:tcW w:w="1080" w:type="dxa"/>
            <w:vAlign w:val="bottom"/>
          </w:tcPr>
          <w:p>
            <w:pPr>
              <w:spacing w:after="0"/>
              <w:rPr>
                <w:sz w:val="18"/>
                <w:szCs w:val="18"/>
                <w:color w:val="auto"/>
              </w:rPr>
            </w:pPr>
          </w:p>
        </w:tc>
        <w:tc>
          <w:tcPr>
            <w:tcW w:w="7820" w:type="dxa"/>
            <w:vAlign w:val="bottom"/>
            <w:gridSpan w:val="22"/>
          </w:tcPr>
          <w:p>
            <w:pPr>
              <w:spacing w:after="0"/>
              <w:rPr>
                <w:sz w:val="20"/>
                <w:szCs w:val="20"/>
                <w:color w:val="auto"/>
              </w:rPr>
            </w:pPr>
            <w:r>
              <w:rPr>
                <w:rFonts w:ascii="Arial" w:cs="Arial" w:eastAsia="Arial" w:hAnsi="Arial"/>
                <w:sz w:val="18"/>
                <w:szCs w:val="18"/>
                <w:color w:val="auto"/>
                <w:w w:val="98"/>
              </w:rPr>
              <w:t>ended December 31, 2020, formatted in Inline XBRL (eXtensible Business Reporting Language): (i)</w:t>
            </w:r>
          </w:p>
        </w:tc>
      </w:tr>
      <w:tr>
        <w:trPr>
          <w:trHeight w:val="216"/>
        </w:trPr>
        <w:tc>
          <w:tcPr>
            <w:tcW w:w="1080" w:type="dxa"/>
            <w:vAlign w:val="bottom"/>
          </w:tcPr>
          <w:p>
            <w:pPr>
              <w:spacing w:after="0"/>
              <w:rPr>
                <w:sz w:val="18"/>
                <w:szCs w:val="18"/>
                <w:color w:val="auto"/>
              </w:rPr>
            </w:pPr>
          </w:p>
        </w:tc>
        <w:tc>
          <w:tcPr>
            <w:tcW w:w="7820" w:type="dxa"/>
            <w:vAlign w:val="bottom"/>
            <w:gridSpan w:val="22"/>
          </w:tcPr>
          <w:p>
            <w:pPr>
              <w:spacing w:after="0"/>
              <w:rPr>
                <w:sz w:val="20"/>
                <w:szCs w:val="20"/>
                <w:color w:val="auto"/>
              </w:rPr>
            </w:pPr>
            <w:r>
              <w:rPr>
                <w:rFonts w:ascii="Arial" w:cs="Arial" w:eastAsia="Arial" w:hAnsi="Arial"/>
                <w:sz w:val="18"/>
                <w:szCs w:val="18"/>
                <w:color w:val="auto"/>
                <w:w w:val="91"/>
              </w:rPr>
              <w:t>Consolidated Balance Sheets at December 31, 2020 and 2019, (ii) Consolidated Statements of Operations</w:t>
            </w:r>
          </w:p>
        </w:tc>
      </w:tr>
      <w:tr>
        <w:trPr>
          <w:trHeight w:val="216"/>
        </w:trPr>
        <w:tc>
          <w:tcPr>
            <w:tcW w:w="1080" w:type="dxa"/>
            <w:vAlign w:val="bottom"/>
          </w:tcPr>
          <w:p>
            <w:pPr>
              <w:spacing w:after="0"/>
              <w:rPr>
                <w:sz w:val="18"/>
                <w:szCs w:val="18"/>
                <w:color w:val="auto"/>
              </w:rPr>
            </w:pPr>
          </w:p>
        </w:tc>
        <w:tc>
          <w:tcPr>
            <w:tcW w:w="7820" w:type="dxa"/>
            <w:vAlign w:val="bottom"/>
            <w:gridSpan w:val="22"/>
          </w:tcPr>
          <w:p>
            <w:pPr>
              <w:spacing w:after="0"/>
              <w:rPr>
                <w:sz w:val="20"/>
                <w:szCs w:val="20"/>
                <w:color w:val="auto"/>
              </w:rPr>
            </w:pPr>
            <w:r>
              <w:rPr>
                <w:rFonts w:ascii="Arial" w:cs="Arial" w:eastAsia="Arial" w:hAnsi="Arial"/>
                <w:sz w:val="18"/>
                <w:szCs w:val="18"/>
                <w:color w:val="auto"/>
                <w:w w:val="92"/>
              </w:rPr>
              <w:t>for the years ended December 31, 2020, 2019 and 2018, (iii) Consolidated Statements of Comprehensive</w:t>
            </w:r>
          </w:p>
        </w:tc>
      </w:tr>
      <w:tr>
        <w:trPr>
          <w:trHeight w:val="216"/>
        </w:trPr>
        <w:tc>
          <w:tcPr>
            <w:tcW w:w="1080" w:type="dxa"/>
            <w:vAlign w:val="bottom"/>
          </w:tcPr>
          <w:p>
            <w:pPr>
              <w:spacing w:after="0"/>
              <w:rPr>
                <w:sz w:val="18"/>
                <w:szCs w:val="18"/>
                <w:color w:val="auto"/>
              </w:rPr>
            </w:pPr>
          </w:p>
        </w:tc>
        <w:tc>
          <w:tcPr>
            <w:tcW w:w="7820" w:type="dxa"/>
            <w:vAlign w:val="bottom"/>
            <w:gridSpan w:val="22"/>
          </w:tcPr>
          <w:p>
            <w:pPr>
              <w:spacing w:after="0"/>
              <w:rPr>
                <w:sz w:val="20"/>
                <w:szCs w:val="20"/>
                <w:color w:val="auto"/>
              </w:rPr>
            </w:pPr>
            <w:r>
              <w:rPr>
                <w:rFonts w:ascii="Arial" w:cs="Arial" w:eastAsia="Arial" w:hAnsi="Arial"/>
                <w:sz w:val="18"/>
                <w:szCs w:val="18"/>
                <w:color w:val="auto"/>
                <w:w w:val="94"/>
              </w:rPr>
              <w:t>Income (Loss) for the years ended December 31, 2020, 2019 and 2018, (iv) Consolidated Statements of</w:t>
            </w:r>
          </w:p>
        </w:tc>
      </w:tr>
      <w:tr>
        <w:trPr>
          <w:trHeight w:val="216"/>
        </w:trPr>
        <w:tc>
          <w:tcPr>
            <w:tcW w:w="1080" w:type="dxa"/>
            <w:vAlign w:val="bottom"/>
          </w:tcPr>
          <w:p>
            <w:pPr>
              <w:spacing w:after="0"/>
              <w:rPr>
                <w:sz w:val="18"/>
                <w:szCs w:val="18"/>
                <w:color w:val="auto"/>
              </w:rPr>
            </w:pPr>
          </w:p>
        </w:tc>
        <w:tc>
          <w:tcPr>
            <w:tcW w:w="7820" w:type="dxa"/>
            <w:vAlign w:val="bottom"/>
            <w:gridSpan w:val="22"/>
          </w:tcPr>
          <w:p>
            <w:pPr>
              <w:spacing w:after="0"/>
              <w:rPr>
                <w:sz w:val="20"/>
                <w:szCs w:val="20"/>
                <w:color w:val="auto"/>
              </w:rPr>
            </w:pPr>
            <w:r>
              <w:rPr>
                <w:rFonts w:ascii="Arial" w:cs="Arial" w:eastAsia="Arial" w:hAnsi="Arial"/>
                <w:sz w:val="18"/>
                <w:szCs w:val="18"/>
                <w:color w:val="auto"/>
                <w:w w:val="89"/>
              </w:rPr>
              <w:t>Cash Flows for the years ended December 31, 2020, 2019 and 2018, (v) Consolidated Statement of Changes</w:t>
            </w:r>
          </w:p>
        </w:tc>
      </w:tr>
      <w:tr>
        <w:trPr>
          <w:trHeight w:val="216"/>
        </w:trPr>
        <w:tc>
          <w:tcPr>
            <w:tcW w:w="1080" w:type="dxa"/>
            <w:vAlign w:val="bottom"/>
          </w:tcPr>
          <w:p>
            <w:pPr>
              <w:spacing w:after="0"/>
              <w:rPr>
                <w:sz w:val="18"/>
                <w:szCs w:val="18"/>
                <w:color w:val="auto"/>
              </w:rPr>
            </w:pPr>
          </w:p>
        </w:tc>
        <w:tc>
          <w:tcPr>
            <w:tcW w:w="7820" w:type="dxa"/>
            <w:vAlign w:val="bottom"/>
            <w:gridSpan w:val="22"/>
          </w:tcPr>
          <w:p>
            <w:pPr>
              <w:spacing w:after="0"/>
              <w:rPr>
                <w:sz w:val="20"/>
                <w:szCs w:val="20"/>
                <w:color w:val="auto"/>
              </w:rPr>
            </w:pPr>
            <w:r>
              <w:rPr>
                <w:rFonts w:ascii="Arial" w:cs="Arial" w:eastAsia="Arial" w:hAnsi="Arial"/>
                <w:sz w:val="18"/>
                <w:szCs w:val="18"/>
                <w:color w:val="auto"/>
                <w:w w:val="90"/>
              </w:rPr>
              <w:t>in Stockholders’ Equity and Noncontrolling Interest for the years ended December 31, 2020, 2019 and 2018,</w:t>
            </w:r>
          </w:p>
        </w:tc>
      </w:tr>
      <w:tr>
        <w:trPr>
          <w:trHeight w:val="216"/>
        </w:trPr>
        <w:tc>
          <w:tcPr>
            <w:tcW w:w="1080" w:type="dxa"/>
            <w:vAlign w:val="bottom"/>
          </w:tcPr>
          <w:p>
            <w:pPr>
              <w:spacing w:after="0"/>
              <w:rPr>
                <w:sz w:val="18"/>
                <w:szCs w:val="18"/>
                <w:color w:val="auto"/>
              </w:rPr>
            </w:pPr>
          </w:p>
        </w:tc>
        <w:tc>
          <w:tcPr>
            <w:tcW w:w="7820" w:type="dxa"/>
            <w:vAlign w:val="bottom"/>
            <w:gridSpan w:val="22"/>
          </w:tcPr>
          <w:p>
            <w:pPr>
              <w:spacing w:after="0"/>
              <w:rPr>
                <w:sz w:val="20"/>
                <w:szCs w:val="20"/>
                <w:color w:val="auto"/>
              </w:rPr>
            </w:pPr>
            <w:r>
              <w:rPr>
                <w:rFonts w:ascii="Arial" w:cs="Arial" w:eastAsia="Arial" w:hAnsi="Arial"/>
                <w:sz w:val="18"/>
                <w:szCs w:val="18"/>
                <w:color w:val="auto"/>
              </w:rPr>
              <w:t>and (vi) Notes to Consolidated Financial Statements.</w:t>
            </w:r>
          </w:p>
        </w:tc>
      </w:tr>
      <w:tr>
        <w:trPr>
          <w:trHeight w:val="230"/>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7820" w:type="dxa"/>
            <w:vAlign w:val="bottom"/>
            <w:gridSpan w:val="2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8"/>
        </w:trPr>
        <w:tc>
          <w:tcPr>
            <w:tcW w:w="10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83" w:lineRule="exact"/>
        <w:rPr>
          <w:sz w:val="20"/>
          <w:szCs w:val="20"/>
          <w:color w:val="auto"/>
        </w:rPr>
      </w:pPr>
    </w:p>
    <w:p>
      <w:pPr>
        <w:ind w:left="360" w:hanging="310"/>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60" w:hanging="310"/>
        <w:spacing w:after="0"/>
        <w:tabs>
          <w:tab w:leader="none" w:pos="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As directed by Item 601(a)(5) or 601(b)(2) of Regulation S-K, as applicable, certain schedules and exhibits to this</w:t>
      </w:r>
    </w:p>
    <w:p>
      <w:pPr>
        <w:spacing w:after="0" w:line="21" w:lineRule="exact"/>
        <w:rPr>
          <w:sz w:val="20"/>
          <w:szCs w:val="20"/>
          <w:color w:val="auto"/>
        </w:rPr>
      </w:pPr>
    </w:p>
    <w:p>
      <w:pPr>
        <w:ind w:left="380" w:right="159"/>
        <w:spacing w:after="0" w:line="250" w:lineRule="auto"/>
        <w:rPr>
          <w:sz w:val="20"/>
          <w:szCs w:val="20"/>
          <w:color w:val="auto"/>
        </w:rPr>
      </w:pPr>
      <w:r>
        <w:rPr>
          <w:rFonts w:ascii="Arial" w:cs="Arial" w:eastAsia="Arial" w:hAnsi="Arial"/>
          <w:sz w:val="18"/>
          <w:szCs w:val="18"/>
          <w:color w:val="auto"/>
        </w:rPr>
        <w:t>exhibit are omitted from this filing. The Company agrees to furnish supplementally a copy of any omitted schedule or exhibit to the SEC upon request.</w:t>
      </w:r>
    </w:p>
    <w:p>
      <w:pPr>
        <w:spacing w:after="0" w:line="1" w:lineRule="exact"/>
        <w:rPr>
          <w:sz w:val="20"/>
          <w:szCs w:val="20"/>
          <w:color w:val="auto"/>
        </w:rPr>
      </w:pPr>
    </w:p>
    <w:p>
      <w:pPr>
        <w:ind w:left="360" w:hanging="310"/>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800" w:type="dxa"/>
            <w:vAlign w:val="bottom"/>
            <w:gridSpan w:val="2"/>
          </w:tcPr>
          <w:p>
            <w:pPr>
              <w:ind w:left="1360"/>
              <w:spacing w:after="0"/>
              <w:rPr>
                <w:sz w:val="20"/>
                <w:szCs w:val="20"/>
                <w:color w:val="auto"/>
              </w:rPr>
            </w:pPr>
            <w:r>
              <w:rPr>
                <w:rFonts w:ascii="Arial" w:cs="Arial" w:eastAsia="Arial" w:hAnsi="Arial"/>
                <w:sz w:val="18"/>
                <w:szCs w:val="18"/>
                <w:b w:val="1"/>
                <w:bCs w:val="1"/>
                <w:color w:val="auto"/>
              </w:rPr>
              <w:t>RYMAN HOSPITALITY PROPERTIES, INC.</w:t>
            </w:r>
          </w:p>
        </w:tc>
      </w:tr>
      <w:tr>
        <w:trPr>
          <w:trHeight w:val="648"/>
        </w:trPr>
        <w:tc>
          <w:tcPr>
            <w:tcW w:w="3100" w:type="dxa"/>
            <w:vAlign w:val="bottom"/>
          </w:tcPr>
          <w:p>
            <w:pPr>
              <w:spacing w:after="0"/>
              <w:rPr>
                <w:sz w:val="20"/>
                <w:szCs w:val="20"/>
                <w:color w:val="auto"/>
              </w:rPr>
            </w:pPr>
            <w:r>
              <w:rPr>
                <w:rFonts w:ascii="Arial" w:cs="Arial" w:eastAsia="Arial" w:hAnsi="Arial"/>
                <w:sz w:val="18"/>
                <w:szCs w:val="18"/>
                <w:color w:val="auto"/>
              </w:rPr>
              <w:t>Date: February 26, 2021</w:t>
            </w:r>
          </w:p>
        </w:tc>
        <w:tc>
          <w:tcPr>
            <w:tcW w:w="5800" w:type="dxa"/>
            <w:vAlign w:val="bottom"/>
            <w:gridSpan w:val="2"/>
          </w:tcPr>
          <w:p>
            <w:pPr>
              <w:ind w:left="1360"/>
              <w:spacing w:after="0"/>
              <w:rPr>
                <w:sz w:val="20"/>
                <w:szCs w:val="20"/>
                <w:color w:val="auto"/>
              </w:rPr>
            </w:pPr>
            <w:r>
              <w:rPr>
                <w:rFonts w:ascii="Arial" w:cs="Arial" w:eastAsia="Arial" w:hAnsi="Arial"/>
                <w:sz w:val="18"/>
                <w:szCs w:val="18"/>
                <w:color w:val="auto"/>
              </w:rPr>
              <w:t>By:/s/ Colin V. Reed</w:t>
            </w:r>
          </w:p>
        </w:tc>
      </w:tr>
      <w:tr>
        <w:trPr>
          <w:trHeight w:val="20"/>
        </w:trPr>
        <w:tc>
          <w:tcPr>
            <w:tcW w:w="3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r>
      <w:tr>
        <w:trPr>
          <w:trHeight w:val="182"/>
        </w:trPr>
        <w:tc>
          <w:tcPr>
            <w:tcW w:w="3100" w:type="dxa"/>
            <w:vAlign w:val="bottom"/>
          </w:tcPr>
          <w:p>
            <w:pPr>
              <w:spacing w:after="0"/>
              <w:rPr>
                <w:sz w:val="15"/>
                <w:szCs w:val="15"/>
                <w:color w:val="auto"/>
              </w:rPr>
            </w:pPr>
          </w:p>
        </w:tc>
        <w:tc>
          <w:tcPr>
            <w:tcW w:w="5800" w:type="dxa"/>
            <w:vAlign w:val="bottom"/>
            <w:gridSpan w:val="2"/>
          </w:tcPr>
          <w:p>
            <w:pPr>
              <w:ind w:left="1360"/>
              <w:spacing w:after="0" w:line="182" w:lineRule="exact"/>
              <w:rPr>
                <w:sz w:val="20"/>
                <w:szCs w:val="20"/>
                <w:color w:val="auto"/>
              </w:rPr>
            </w:pPr>
            <w:r>
              <w:rPr>
                <w:rFonts w:ascii="Arial" w:cs="Arial" w:eastAsia="Arial" w:hAnsi="Arial"/>
                <w:sz w:val="18"/>
                <w:szCs w:val="18"/>
                <w:color w:val="auto"/>
              </w:rPr>
              <w:t>Colin V. Reed</w:t>
            </w:r>
          </w:p>
        </w:tc>
      </w:tr>
      <w:tr>
        <w:trPr>
          <w:trHeight w:val="216"/>
        </w:trPr>
        <w:tc>
          <w:tcPr>
            <w:tcW w:w="3100" w:type="dxa"/>
            <w:vAlign w:val="bottom"/>
          </w:tcPr>
          <w:p>
            <w:pPr>
              <w:spacing w:after="0"/>
              <w:rPr>
                <w:sz w:val="18"/>
                <w:szCs w:val="18"/>
                <w:color w:val="auto"/>
              </w:rPr>
            </w:pPr>
          </w:p>
        </w:tc>
        <w:tc>
          <w:tcPr>
            <w:tcW w:w="5800" w:type="dxa"/>
            <w:vAlign w:val="bottom"/>
            <w:gridSpan w:val="2"/>
          </w:tcPr>
          <w:p>
            <w:pPr>
              <w:ind w:left="1360"/>
              <w:spacing w:after="0"/>
              <w:rPr>
                <w:sz w:val="20"/>
                <w:szCs w:val="20"/>
                <w:color w:val="auto"/>
              </w:rPr>
            </w:pPr>
            <w:r>
              <w:rPr>
                <w:rFonts w:ascii="Arial" w:cs="Arial" w:eastAsia="Arial" w:hAnsi="Arial"/>
                <w:sz w:val="18"/>
                <w:szCs w:val="18"/>
                <w:color w:val="auto"/>
                <w:w w:val="99"/>
              </w:rPr>
              <w:t>C</w:t>
            </w:r>
            <w:r>
              <w:rPr>
                <w:rFonts w:ascii="Arial" w:cs="Arial" w:eastAsia="Arial" w:hAnsi="Arial"/>
                <w:sz w:val="18"/>
                <w:szCs w:val="18"/>
                <w:i w:val="1"/>
                <w:iCs w:val="1"/>
                <w:color w:val="auto"/>
                <w:w w:val="99"/>
              </w:rPr>
              <w:t>hairman of the Board of Directors and Chief Executive</w:t>
            </w:r>
          </w:p>
        </w:tc>
      </w:tr>
      <w:tr>
        <w:trPr>
          <w:trHeight w:val="230"/>
        </w:trPr>
        <w:tc>
          <w:tcPr>
            <w:tcW w:w="3100" w:type="dxa"/>
            <w:vAlign w:val="bottom"/>
          </w:tcPr>
          <w:p>
            <w:pPr>
              <w:spacing w:after="0"/>
              <w:rPr>
                <w:sz w:val="20"/>
                <w:szCs w:val="20"/>
                <w:color w:val="auto"/>
              </w:rPr>
            </w:pPr>
          </w:p>
        </w:tc>
        <w:tc>
          <w:tcPr>
            <w:tcW w:w="5800" w:type="dxa"/>
            <w:vAlign w:val="bottom"/>
            <w:gridSpan w:val="2"/>
          </w:tcPr>
          <w:p>
            <w:pPr>
              <w:ind w:left="1360"/>
              <w:spacing w:after="0"/>
              <w:rPr>
                <w:sz w:val="20"/>
                <w:szCs w:val="20"/>
                <w:color w:val="auto"/>
              </w:rPr>
            </w:pPr>
            <w:r>
              <w:rPr>
                <w:rFonts w:ascii="Arial" w:cs="Arial" w:eastAsia="Arial" w:hAnsi="Arial"/>
                <w:sz w:val="18"/>
                <w:szCs w:val="18"/>
                <w:i w:val="1"/>
                <w:iCs w:val="1"/>
                <w:color w:val="auto"/>
              </w:rPr>
              <w:t>Officer</w:t>
            </w:r>
          </w:p>
        </w:tc>
      </w:tr>
    </w:tbl>
    <w:p>
      <w:pPr>
        <w:spacing w:after="0" w:line="202"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0" w:type="dxa"/>
            <w:vAlign w:val="bottom"/>
          </w:tcPr>
          <w:p>
            <w:pPr>
              <w:spacing w:after="0"/>
              <w:rPr>
                <w:sz w:val="14"/>
                <w:szCs w:val="14"/>
                <w:color w:val="auto"/>
              </w:rPr>
            </w:pPr>
          </w:p>
        </w:tc>
        <w:tc>
          <w:tcPr>
            <w:tcW w:w="3860" w:type="dxa"/>
            <w:vAlign w:val="bottom"/>
            <w:tcBorders>
              <w:bottom w:val="single" w:sz="8" w:color="auto"/>
            </w:tcBorders>
          </w:tcPr>
          <w:p>
            <w:pPr>
              <w:jc w:val="right"/>
              <w:ind w:right="1708"/>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Colin V. Reed</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Chairman of the Board of Directors</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Colin V. Reed</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and Chief Executive Officer</w:t>
            </w: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Rachna Bhasin</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Rachna Bhasin</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Alvin Bowles, Jr.</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Alvin Bowles, Jr.</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Fazal F. Merchant</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Fazal F. Merchant</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Patrick Q. Moore</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1"/>
              </w:rPr>
              <w:t>Patrick Q. Moore</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Christine Pantoya</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Christine Pantoya</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Robert S. Prather, Jr.</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6"/>
              </w:rPr>
              <w:t>Robert S. Prather, Jr.</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I. Roth</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Michael I. Roth</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Fioravanti</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President and Chief Financial Officer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Mark Fioravanti</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Jennifer Hutcheson</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Corporate Controller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Jennifer Hutcheson</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and Chief Accounting Officer</w:t>
            </w:r>
          </w:p>
        </w:tc>
        <w:tc>
          <w:tcPr>
            <w:tcW w:w="1680" w:type="dxa"/>
            <w:vAlign w:val="bottom"/>
          </w:tcPr>
          <w:p>
            <w:pPr>
              <w:spacing w:after="0"/>
              <w:rPr>
                <w:sz w:val="19"/>
                <w:szCs w:val="19"/>
                <w:color w:val="auto"/>
              </w:rPr>
            </w:pPr>
          </w:p>
        </w:tc>
      </w:tr>
      <w:tr>
        <w:trPr>
          <w:trHeight w:val="647"/>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20" w:type="dxa"/>
            <w:vAlign w:val="bottom"/>
            <w:gridSpan w:val="2"/>
          </w:tcPr>
          <w:p>
            <w:pPr>
              <w:jc w:val="right"/>
              <w:ind w:right="2428"/>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580" w:type="dxa"/>
            <w:vAlign w:val="bottom"/>
            <w:vMerge w:val="restart"/>
          </w:tcPr>
          <w:p>
            <w:pPr>
              <w:spacing w:after="0"/>
              <w:rPr>
                <w:sz w:val="20"/>
                <w:szCs w:val="20"/>
                <w:color w:val="auto"/>
              </w:rPr>
            </w:pPr>
            <w:r>
              <w:rPr>
                <w:rFonts w:ascii="Arial" w:cs="Arial" w:eastAsia="Arial" w:hAnsi="Arial"/>
                <w:sz w:val="16"/>
                <w:szCs w:val="16"/>
                <w:b w:val="1"/>
                <w:bCs w:val="1"/>
                <w:color w:val="auto"/>
                <w:w w:val="93"/>
              </w:rPr>
              <w:t>Ryman Hospitality Properties, Inc. and Subsidiaries Audited Consolidated Financial Statements as of December 31, 2020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5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580" w:type="dxa"/>
            <w:vAlign w:val="bottom"/>
          </w:tcPr>
          <w:p>
            <w:pPr>
              <w:spacing w:after="0"/>
              <w:rPr>
                <w:sz w:val="20"/>
                <w:szCs w:val="20"/>
                <w:color w:val="auto"/>
              </w:rPr>
            </w:pPr>
            <w:r>
              <w:rPr>
                <w:rFonts w:ascii="Arial" w:cs="Arial" w:eastAsia="Arial" w:hAnsi="Arial"/>
                <w:sz w:val="16"/>
                <w:szCs w:val="16"/>
                <w:b w:val="1"/>
                <w:bCs w:val="1"/>
                <w:color w:val="auto"/>
              </w:rPr>
              <w:t>and 2019 and for Each of the Three Years in the Period Ended December 31, 2020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Report of Independent Registered Public Accounting Firm</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Report of Independent Registered Public Accounting Firm</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Consolidated Balance Sheets as of December 31, 2020 and 2019</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rFonts w:ascii="Arial" w:cs="Arial" w:eastAsia="Arial" w:hAnsi="Arial"/>
                <w:sz w:val="16"/>
                <w:szCs w:val="16"/>
                <w:u w:val="single" w:color="auto"/>
                <w:color w:val="0000EE"/>
              </w:rPr>
            </w:pPr>
            <w:hyperlink w:anchor="page86">
              <w:r>
                <w:rPr>
                  <w:rFonts w:ascii="Arial" w:cs="Arial" w:eastAsia="Arial" w:hAnsi="Arial"/>
                  <w:sz w:val="16"/>
                  <w:szCs w:val="16"/>
                  <w:u w:val="single" w:color="auto"/>
                  <w:color w:val="0000EE"/>
                </w:rPr>
                <w:t>Consolidated Statements of Operations for the Years ended December 31, 2020, 2019, and 2018</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rFonts w:ascii="Arial" w:cs="Arial" w:eastAsia="Arial" w:hAnsi="Arial"/>
                <w:sz w:val="16"/>
                <w:szCs w:val="16"/>
                <w:u w:val="single" w:color="auto"/>
                <w:color w:val="0000EE"/>
                <w:w w:val="99"/>
              </w:rPr>
            </w:pPr>
            <w:hyperlink w:anchor="page87">
              <w:r>
                <w:rPr>
                  <w:rFonts w:ascii="Arial" w:cs="Arial" w:eastAsia="Arial" w:hAnsi="Arial"/>
                  <w:sz w:val="16"/>
                  <w:szCs w:val="16"/>
                  <w:u w:val="single" w:color="auto"/>
                  <w:color w:val="0000EE"/>
                  <w:w w:val="99"/>
                </w:rPr>
                <w:t>Consolidated Statements of Comprehensive Income (Loss) for the Years ended December 31, 2020, 2019, and 2018</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Consolidated Statements of Cash Flows for the Years ended December 31, 2020, 2019, and 2018</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rFonts w:ascii="Arial" w:cs="Arial" w:eastAsia="Arial" w:hAnsi="Arial"/>
                <w:sz w:val="16"/>
                <w:szCs w:val="16"/>
                <w:u w:val="single" w:color="auto"/>
                <w:color w:val="0000EE"/>
                <w:w w:val="96"/>
              </w:rPr>
            </w:pPr>
            <w:hyperlink w:anchor="page89">
              <w:r>
                <w:rPr>
                  <w:rFonts w:ascii="Arial" w:cs="Arial" w:eastAsia="Arial" w:hAnsi="Arial"/>
                  <w:sz w:val="16"/>
                  <w:szCs w:val="16"/>
                  <w:u w:val="single" w:color="auto"/>
                  <w:color w:val="0000EE"/>
                  <w:w w:val="96"/>
                </w:rPr>
                <w:t>Consolidated Statements of Equity and Noncontrolling Interest for the Years ended December 31, 2020, 2019, and 2018</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6"/>
        </w:trPr>
        <w:tc>
          <w:tcPr>
            <w:tcW w:w="8580" w:type="dxa"/>
            <w:vAlign w:val="bottom"/>
          </w:tcPr>
          <w:p>
            <w:pPr>
              <w:ind w:left="320"/>
              <w:spacing w:after="0"/>
              <w:rPr>
                <w:rFonts w:ascii="Arial" w:cs="Arial" w:eastAsia="Arial" w:hAnsi="Arial"/>
                <w:sz w:val="16"/>
                <w:szCs w:val="16"/>
                <w:u w:val="single" w:color="auto"/>
                <w:color w:val="0000EE"/>
              </w:rPr>
            </w:pPr>
            <w:hyperlink w:anchor="page90">
              <w:r>
                <w:rPr>
                  <w:rFonts w:ascii="Arial" w:cs="Arial" w:eastAsia="Arial" w:hAnsi="Arial"/>
                  <w:sz w:val="16"/>
                  <w:szCs w:val="16"/>
                  <w:u w:val="single" w:color="auto"/>
                  <w:color w:val="0000EE"/>
                </w:rPr>
                <w:t>Notes to Consolidated Financial Statements</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To the Stockholders and the Board of Directors of Ryman Hospitality Properties,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We have audited the accompanying consolidated balance sheets of Ryman Hospitality Properties, Inc. and subsidiaries (the Company) as of December 31, 2020 and 2019, the related consolidated statements of operations, comprehensive income (loss), equity and noncontrolling interest and cash flows for each of the three years in the period ended December 31, 2020,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78" w:lineRule="exact"/>
        <w:rPr>
          <w:sz w:val="20"/>
          <w:szCs w:val="20"/>
          <w:color w:val="auto"/>
        </w:rPr>
      </w:pPr>
    </w:p>
    <w:p>
      <w:pPr>
        <w:jc w:val="both"/>
        <w:ind w:left="60" w:right="51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 – Integrated Framework issued by the Committee of Sponsoring Organizations of the Treadway Commission (2013 framework), and our report dated February 26, 2021, expressed an unqualified opinion thereon.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of New Accounting Standard</w:t>
      </w:r>
    </w:p>
    <w:p>
      <w:pPr>
        <w:spacing w:after="0" w:line="229"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As discussed in Note 1 to the consolidated financial statements, the Company changed its method for accounting for credit losses in 2020 due to the adoption of ASU No. 2016-13, “Financial Instruments – Credit Losses – Measurement of Credit Losses on Financial Instruments” (ASC 326). As discussed in Note 1 to the consolidated financial statements, the Company changed its method for accounting for leases in 2019 due to the adoption of ASU No. 2016-02, “Leases” (ASC 842).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60" w:right="319"/>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860"/>
        <w:spacing w:after="0"/>
        <w:rPr>
          <w:sz w:val="20"/>
          <w:szCs w:val="20"/>
          <w:color w:val="auto"/>
        </w:rPr>
      </w:pPr>
      <w:r>
        <w:rPr>
          <w:rFonts w:ascii="Arial" w:cs="Arial" w:eastAsia="Arial" w:hAnsi="Arial"/>
          <w:sz w:val="18"/>
          <w:szCs w:val="18"/>
          <w:b w:val="1"/>
          <w:bCs w:val="1"/>
          <w:i w:val="1"/>
          <w:iCs w:val="1"/>
          <w:color w:val="auto"/>
        </w:rPr>
        <w:t>Valuation of Gaylord National Bonds</w:t>
      </w:r>
    </w:p>
    <w:p>
      <w:pPr>
        <w:spacing w:after="0" w:line="225" w:lineRule="exact"/>
        <w:rPr>
          <w:sz w:val="20"/>
          <w:szCs w:val="20"/>
          <w:color w:val="auto"/>
        </w:rPr>
      </w:pPr>
    </w:p>
    <w:p>
      <w:pPr>
        <w:ind w:left="60"/>
        <w:spacing w:after="0"/>
        <w:tabs>
          <w:tab w:leader="none" w:pos="184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At December 31, 2020, the Company holds within Notes Receivable two issuances of</w:t>
      </w:r>
    </w:p>
    <w:p>
      <w:pPr>
        <w:spacing w:after="0" w:line="23" w:lineRule="exact"/>
        <w:rPr>
          <w:sz w:val="20"/>
          <w:szCs w:val="20"/>
          <w:color w:val="auto"/>
        </w:rPr>
      </w:pPr>
    </w:p>
    <w:p>
      <w:pPr>
        <w:ind w:left="1860" w:right="79" w:hanging="1799"/>
        <w:spacing w:after="0" w:line="268" w:lineRule="auto"/>
        <w:tabs>
          <w:tab w:leader="none" w:pos="1840" w:val="left"/>
        </w:tabs>
        <w:rPr>
          <w:sz w:val="20"/>
          <w:szCs w:val="20"/>
          <w:color w:val="auto"/>
        </w:rPr>
      </w:pPr>
      <w:r>
        <w:rPr>
          <w:rFonts w:ascii="Arial" w:cs="Arial" w:eastAsia="Arial" w:hAnsi="Arial"/>
          <w:sz w:val="17"/>
          <w:szCs w:val="17"/>
          <w:i w:val="1"/>
          <w:iCs w:val="1"/>
          <w:color w:val="auto"/>
        </w:rPr>
        <w:t>Matter</w:t>
      </w:r>
      <w:r>
        <w:rPr>
          <w:sz w:val="20"/>
          <w:szCs w:val="20"/>
          <w:color w:val="auto"/>
        </w:rPr>
        <w:tab/>
      </w:r>
      <w:r>
        <w:rPr>
          <w:rFonts w:ascii="Arial" w:cs="Arial" w:eastAsia="Arial" w:hAnsi="Arial"/>
          <w:sz w:val="17"/>
          <w:szCs w:val="17"/>
          <w:color w:val="auto"/>
        </w:rPr>
        <w:t>governmental bonds (the Bonds) received in connection with the development of the Gaylord National Resort &amp; Convention Center which are reported at a total carrying value of $71.9 million, net of a credit loss reserve of $38.0 million. At December, 31, 2020, the Series B bond is fully reserved. The Series A bond is of higher priority than other tranches which fall between the Company’s two issuances. The Company assesses the Bonds for credit losses, which requires an estimate of projected tax revenues that will service the Bonds over the remaining term. The Bonds and related accounting are more fully described in Notes 1 and 3 to the consolidated financial statements.</w:t>
      </w:r>
    </w:p>
    <w:p>
      <w:pPr>
        <w:spacing w:after="0" w:line="183" w:lineRule="exact"/>
        <w:rPr>
          <w:sz w:val="20"/>
          <w:szCs w:val="20"/>
          <w:color w:val="auto"/>
        </w:rPr>
      </w:pPr>
    </w:p>
    <w:p>
      <w:pPr>
        <w:ind w:left="1860" w:right="139"/>
        <w:spacing w:after="0" w:line="271" w:lineRule="auto"/>
        <w:rPr>
          <w:sz w:val="20"/>
          <w:szCs w:val="20"/>
          <w:color w:val="auto"/>
        </w:rPr>
      </w:pPr>
      <w:r>
        <w:rPr>
          <w:rFonts w:ascii="Arial" w:cs="Arial" w:eastAsia="Arial" w:hAnsi="Arial"/>
          <w:sz w:val="17"/>
          <w:szCs w:val="17"/>
          <w:color w:val="auto"/>
        </w:rPr>
        <w:t>Auditing management’s assessment of the valuation of the credit loss reserve for the Bonds was complex and judgmental due to the significant estimation required in projecting tax revenues, specifically property tax increments, hotel taxes and special hotel rental taxes generated by the Gaylord National Resort &amp; Convention Center which provide revenues to fund the bonds. In particular, the estimate of credit loss is sensitive to the projections of hotel taxes (which are based on estimated hotel revenues) and property taxes, both of which are judgmental as the Bonds and related projected cash flows continue for an extended period of time through 2037 and given the uncertainty of the impact of the COVID-19 pandemic.</w:t>
      </w:r>
    </w:p>
    <w:p>
      <w:pPr>
        <w:spacing w:after="0" w:line="178" w:lineRule="exact"/>
        <w:rPr>
          <w:sz w:val="20"/>
          <w:szCs w:val="20"/>
          <w:color w:val="auto"/>
        </w:rPr>
      </w:pPr>
    </w:p>
    <w:p>
      <w:pPr>
        <w:ind w:left="60"/>
        <w:spacing w:after="0"/>
        <w:tabs>
          <w:tab w:leader="none" w:pos="18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w:t>
      </w:r>
    </w:p>
    <w:p>
      <w:pPr>
        <w:spacing w:after="0" w:line="23" w:lineRule="exact"/>
        <w:rPr>
          <w:sz w:val="20"/>
          <w:szCs w:val="20"/>
          <w:color w:val="auto"/>
        </w:rPr>
      </w:pPr>
    </w:p>
    <w:p>
      <w:pPr>
        <w:ind w:left="1860" w:right="699" w:hanging="1808"/>
        <w:spacing w:after="0" w:line="260" w:lineRule="auto"/>
        <w:tabs>
          <w:tab w:leader="none" w:pos="18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controls over the Company’s estimation of the credit loss reserve for the Bonds, including controls over management’s review of the projections described above.</w:t>
      </w:r>
    </w:p>
    <w:p>
      <w:pPr>
        <w:spacing w:after="0" w:line="185" w:lineRule="exact"/>
        <w:rPr>
          <w:sz w:val="20"/>
          <w:szCs w:val="20"/>
          <w:color w:val="auto"/>
        </w:rPr>
      </w:pPr>
    </w:p>
    <w:p>
      <w:pPr>
        <w:ind w:left="1860" w:right="159"/>
        <w:spacing w:after="0" w:line="270" w:lineRule="auto"/>
        <w:rPr>
          <w:sz w:val="20"/>
          <w:szCs w:val="20"/>
          <w:color w:val="auto"/>
        </w:rPr>
      </w:pPr>
      <w:r>
        <w:rPr>
          <w:rFonts w:ascii="Arial" w:cs="Arial" w:eastAsia="Arial" w:hAnsi="Arial"/>
          <w:sz w:val="17"/>
          <w:szCs w:val="17"/>
          <w:color w:val="auto"/>
        </w:rPr>
        <w:t>To test the Company’s determination of credit loss reserve as of December 31, 2020 and related charges in 2020, we performed audit procedures that included, among others, assessing the methodology utilized by management, testing the projections discussed above and the related underlying data used by the Company in its evaluation, and testing the mathematical accuracy of the calculations. In performing those procedures, we compared hotel revenue projections used by management to current industry forecasts. We also involved valuation specialists to assist in assessing the Company’s hotel revenue projections used in the valuation analysis and a property tax specialist to assist in assessing the Company’s property tax projections used in the valuation analysis.</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2002.</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Nashville, Tennessee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right="1439" w:firstLine="1373"/>
        <w:spacing w:after="0" w:line="408" w:lineRule="auto"/>
        <w:rPr>
          <w:sz w:val="20"/>
          <w:szCs w:val="20"/>
          <w:color w:val="auto"/>
        </w:rPr>
      </w:pPr>
      <w:r>
        <w:rPr>
          <w:rFonts w:ascii="Arial" w:cs="Arial" w:eastAsia="Arial" w:hAnsi="Arial"/>
          <w:sz w:val="18"/>
          <w:szCs w:val="18"/>
          <w:b w:val="1"/>
          <w:bCs w:val="1"/>
          <w:color w:val="auto"/>
        </w:rPr>
        <w:t>REPORT OF INDEPENDENT REGISTERED PUBLIC ACCOUNTING FIRM To the Stockholders and the Board of Directors of Ryman Hospitality Properties, Inc. Opinion on Internal Control Over Financial Reporting</w:t>
      </w:r>
    </w:p>
    <w:p>
      <w:pPr>
        <w:spacing w:after="0" w:line="1" w:lineRule="exact"/>
        <w:rPr>
          <w:sz w:val="20"/>
          <w:szCs w:val="20"/>
          <w:color w:val="auto"/>
        </w:rPr>
      </w:pPr>
    </w:p>
    <w:p>
      <w:pPr>
        <w:ind w:left="60" w:right="239"/>
        <w:spacing w:after="0" w:line="242" w:lineRule="auto"/>
        <w:rPr>
          <w:sz w:val="20"/>
          <w:szCs w:val="20"/>
          <w:color w:val="auto"/>
        </w:rPr>
      </w:pPr>
      <w:r>
        <w:rPr>
          <w:rFonts w:ascii="Arial" w:cs="Arial" w:eastAsia="Arial" w:hAnsi="Arial"/>
          <w:sz w:val="17"/>
          <w:szCs w:val="17"/>
          <w:color w:val="auto"/>
        </w:rPr>
        <w:t>We have audited Ryman Hospitality Properties, Inc. and subsidiaries’ internal control over financial reporting as of December 31, 2020, based on criteria established in Internal Control—Integrated Framework issued by the Committee of Sponsoring Organizations of the Treadway Commission (2013 framework) (the COSO criteria). In our opinion, Ryman Hospitality Properties, Inc. and subsidiaries (the Company) maintained, in all material respects, effective internal control over financial reporting as of December 31, 2020, based on the COSO criteria.</w:t>
      </w:r>
    </w:p>
    <w:p>
      <w:pPr>
        <w:spacing w:after="0" w:line="121" w:lineRule="exact"/>
        <w:rPr>
          <w:sz w:val="20"/>
          <w:szCs w:val="20"/>
          <w:color w:val="auto"/>
        </w:rPr>
      </w:pPr>
    </w:p>
    <w:p>
      <w:pPr>
        <w:ind w:left="60" w:right="419"/>
        <w:spacing w:after="0" w:line="23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2020 consolidated financial statements of the Company, and our report dated February 26, 2021, expressed an unqualified opinion thereon.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left="60" w:right="79"/>
        <w:spacing w:after="0"/>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jc w:val="both"/>
        <w:ind w:left="60" w:right="99"/>
        <w:spacing w:after="0" w:line="23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1" w:lineRule="exact"/>
        <w:rPr>
          <w:sz w:val="20"/>
          <w:szCs w:val="20"/>
          <w:color w:val="auto"/>
        </w:rPr>
      </w:pPr>
    </w:p>
    <w:p>
      <w:pPr>
        <w:jc w:val="both"/>
        <w:ind w:left="60" w:right="59"/>
        <w:spacing w:after="0" w:line="231"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ind w:left="60" w:right="99"/>
        <w:spacing w:after="0" w:line="25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both"/>
        <w:ind w:left="60" w:right="159"/>
        <w:spacing w:after="0" w:line="27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CONSOLIDATED BALANCE SHEETS (Amounts 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300" w:type="dxa"/>
            <w:vAlign w:val="bottom"/>
          </w:tcPr>
          <w:p>
            <w:pPr>
              <w:ind w:left="100"/>
              <w:spacing w:after="0" w:line="185" w:lineRule="exact"/>
              <w:rPr>
                <w:sz w:val="20"/>
                <w:szCs w:val="20"/>
                <w:color w:val="auto"/>
              </w:rPr>
            </w:pPr>
            <w:r>
              <w:rPr>
                <w:rFonts w:ascii="Arial" w:cs="Arial" w:eastAsia="Arial" w:hAnsi="Arial"/>
                <w:sz w:val="17"/>
                <w:szCs w:val="17"/>
                <w:color w:val="auto"/>
                <w:w w:val="92"/>
              </w:rPr>
              <w:t>Property and equipment, net of accumulated depreciation (including $932,473 and $979,012 from VIEs,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7"/>
                <w:szCs w:val="17"/>
                <w:color w:val="auto"/>
              </w:rPr>
              <w:t>respectively)</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2"/>
              </w:rPr>
              <w:t>3,117,247</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5"/>
              </w:rPr>
              <w:t>3,130,252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7"/>
              </w:rPr>
              <w:t>Cash and cash equivalents - unrestricted (including $14,441 and $33,772 from VIEs, respectively)</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56,697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362,430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00"/>
              <w:spacing w:after="0"/>
              <w:rPr>
                <w:sz w:val="20"/>
                <w:szCs w:val="20"/>
                <w:color w:val="auto"/>
              </w:rPr>
            </w:pPr>
            <w:r>
              <w:rPr>
                <w:rFonts w:ascii="Arial" w:cs="Arial" w:eastAsia="Arial" w:hAnsi="Arial"/>
                <w:sz w:val="17"/>
                <w:szCs w:val="17"/>
                <w:color w:val="auto"/>
              </w:rPr>
              <w:t>Cash and cash equivalents - restricted (including $4,167 and $3,653 from VIEs, respectively)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23,057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57,966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Notes receivable, net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71,923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00"/>
              <w:spacing w:after="0"/>
              <w:rPr>
                <w:sz w:val="20"/>
                <w:szCs w:val="20"/>
                <w:color w:val="auto"/>
              </w:rPr>
            </w:pPr>
            <w:r>
              <w:rPr>
                <w:rFonts w:ascii="Arial" w:cs="Arial" w:eastAsia="Arial" w:hAnsi="Arial"/>
                <w:sz w:val="17"/>
                <w:szCs w:val="17"/>
                <w:color w:val="auto"/>
              </w:rPr>
              <w:t>Trade receivables, net (including $2,184 and $16,523 from VIEs, respectively)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20,106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70,768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Deferred income tax assets, net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00"/>
              <w:spacing w:after="0"/>
              <w:rPr>
                <w:sz w:val="20"/>
                <w:szCs w:val="20"/>
                <w:color w:val="auto"/>
              </w:rPr>
            </w:pPr>
            <w:r>
              <w:rPr>
                <w:rFonts w:ascii="Arial" w:cs="Arial" w:eastAsia="Arial" w:hAnsi="Arial"/>
                <w:sz w:val="17"/>
                <w:szCs w:val="17"/>
                <w:color w:val="auto"/>
              </w:rPr>
              <w:t>Prepaid expenses and other assets (including $32,966 and $27,888 from VIEs, respectively)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100,494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123,845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Intangible assets (including $162,366 and $202,366 from VIEs, respectively)</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166,971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207,113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Total assets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3,556,495</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4,088,468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LIABILITIES AND EQUITY: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Debt and finance lease obligations (including $794,416 and $792,696 from VIEs, respectively)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2,658,008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2,559,968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00"/>
              <w:spacing w:after="0"/>
              <w:rPr>
                <w:sz w:val="20"/>
                <w:szCs w:val="20"/>
                <w:color w:val="auto"/>
              </w:rPr>
            </w:pPr>
            <w:r>
              <w:rPr>
                <w:rFonts w:ascii="Arial" w:cs="Arial" w:eastAsia="Arial" w:hAnsi="Arial"/>
                <w:sz w:val="17"/>
                <w:szCs w:val="17"/>
                <w:color w:val="auto"/>
                <w:w w:val="98"/>
              </w:rPr>
              <w:t>Accounts payable and accrued liabilities (including $59,573 and $57,590 from VIEs, respectively)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203,121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264,915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Dividends payable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00"/>
              <w:spacing w:after="0"/>
              <w:rPr>
                <w:sz w:val="20"/>
                <w:szCs w:val="20"/>
                <w:color w:val="auto"/>
              </w:rPr>
            </w:pPr>
            <w:r>
              <w:rPr>
                <w:rFonts w:ascii="Arial" w:cs="Arial" w:eastAsia="Arial" w:hAnsi="Arial"/>
                <w:sz w:val="17"/>
                <w:szCs w:val="17"/>
                <w:color w:val="auto"/>
              </w:rPr>
              <w:t>Deferred management rights proceeds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172,724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175,332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Operating lease liabilities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107,569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100"/>
              <w:spacing w:after="0"/>
              <w:rPr>
                <w:sz w:val="20"/>
                <w:szCs w:val="20"/>
                <w:color w:val="auto"/>
              </w:rPr>
            </w:pPr>
            <w:r>
              <w:rPr>
                <w:rFonts w:ascii="Arial" w:cs="Arial" w:eastAsia="Arial" w:hAnsi="Arial"/>
                <w:sz w:val="17"/>
                <w:szCs w:val="17"/>
                <w:color w:val="auto"/>
              </w:rPr>
              <w:t>Deferred income tax liabilities, net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665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liabilities (including $18,978 and $2,174 from VIEs, respectively)</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92,779</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Pr>
          <w:p>
            <w:pPr>
              <w:ind w:left="300"/>
              <w:spacing w:after="0"/>
              <w:rPr>
                <w:sz w:val="20"/>
                <w:szCs w:val="20"/>
                <w:color w:val="auto"/>
              </w:rPr>
            </w:pPr>
            <w:r>
              <w:rPr>
                <w:rFonts w:ascii="Arial" w:cs="Arial" w:eastAsia="Arial" w:hAnsi="Arial"/>
                <w:sz w:val="17"/>
                <w:szCs w:val="17"/>
                <w:color w:val="auto"/>
              </w:rPr>
              <w:t>Total liabilities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2"/>
              </w:rPr>
              <w:t>3,235,709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5"/>
              </w:rPr>
              <w:t>3,222,228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Commitments and contingencies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00"/>
              <w:spacing w:after="0"/>
              <w:rPr>
                <w:sz w:val="20"/>
                <w:szCs w:val="20"/>
                <w:color w:val="auto"/>
              </w:rPr>
            </w:pPr>
            <w:r>
              <w:rPr>
                <w:rFonts w:ascii="Arial" w:cs="Arial" w:eastAsia="Arial" w:hAnsi="Arial"/>
                <w:sz w:val="17"/>
                <w:szCs w:val="17"/>
                <w:color w:val="auto"/>
              </w:rPr>
              <w:t>Noncontrolling interest in consolidated joint venture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100,969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221,511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Equity:</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200"/>
              <w:spacing w:after="0"/>
              <w:rPr>
                <w:sz w:val="20"/>
                <w:szCs w:val="20"/>
                <w:color w:val="auto"/>
              </w:rPr>
            </w:pPr>
            <w:r>
              <w:rPr>
                <w:rFonts w:ascii="Arial" w:cs="Arial" w:eastAsia="Arial" w:hAnsi="Arial"/>
                <w:sz w:val="17"/>
                <w:szCs w:val="17"/>
                <w:color w:val="auto"/>
              </w:rPr>
              <w:t>Preferred stock, $.01 par value, 100,000 shares authorized, no shares issued or outstanding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300" w:type="dxa"/>
            <w:vAlign w:val="bottom"/>
            <w:shd w:val="clear" w:color="auto" w:fill="CCEEFF"/>
          </w:tcPr>
          <w:p>
            <w:pPr>
              <w:ind w:left="200"/>
              <w:spacing w:after="0" w:line="185" w:lineRule="exact"/>
              <w:rPr>
                <w:sz w:val="20"/>
                <w:szCs w:val="20"/>
                <w:color w:val="auto"/>
              </w:rPr>
            </w:pPr>
            <w:r>
              <w:rPr>
                <w:rFonts w:ascii="Arial" w:cs="Arial" w:eastAsia="Arial" w:hAnsi="Arial"/>
                <w:sz w:val="17"/>
                <w:szCs w:val="17"/>
                <w:color w:val="auto"/>
                <w:w w:val="96"/>
              </w:rPr>
              <w:t>Common stock, $.01 par value, 400,000 shares authorized, 54,982 and 54,897 shares issued and</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outstanding, respectively</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200"/>
              <w:spacing w:after="0"/>
              <w:rPr>
                <w:sz w:val="20"/>
                <w:szCs w:val="20"/>
                <w:color w:val="auto"/>
              </w:rPr>
            </w:pPr>
            <w:r>
              <w:rPr>
                <w:rFonts w:ascii="Arial" w:cs="Arial" w:eastAsia="Arial" w:hAnsi="Arial"/>
                <w:sz w:val="17"/>
                <w:szCs w:val="17"/>
                <w:color w:val="auto"/>
              </w:rPr>
              <w:t>Additional paid-in capital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2"/>
              </w:rPr>
              <w:t>1,192,261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5"/>
              </w:rPr>
              <w:t>1,185,168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Treasury stock of 648 and 619 shares, at cost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200"/>
              <w:spacing w:after="0"/>
              <w:rPr>
                <w:sz w:val="20"/>
                <w:szCs w:val="20"/>
                <w:color w:val="auto"/>
              </w:rPr>
            </w:pPr>
            <w:r>
              <w:rPr>
                <w:rFonts w:ascii="Arial" w:cs="Arial" w:eastAsia="Arial" w:hAnsi="Arial"/>
                <w:sz w:val="17"/>
                <w:szCs w:val="17"/>
                <w:color w:val="auto"/>
              </w:rPr>
              <w:t>Accumulated deficit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(911,092)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(495,514)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Accumulated other comprehensive loss</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(57,951)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Total stockholders' equity</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205,301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644,729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Noncontrolling interest in Operating Partnership</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14,516</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Total equity</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219,817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644,729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liabilities and equity</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3,556,495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4,088,468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00"/>
          </w:cols>
          <w:pgMar w:left="1240" w:top="517" w:right="1259"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400" w:right="1499" w:hanging="254"/>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CONSOLIDATED STATEMENTS OF OPERATIONS</w:t>
      </w: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3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Arial" w:cs="Arial" w:eastAsia="Arial" w:hAnsi="Arial"/>
                <w:sz w:val="16"/>
                <w:szCs w:val="16"/>
                <w:color w:val="auto"/>
              </w:rPr>
              <w:t>Rooms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171,718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557,562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454,370</w:t>
            </w: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519,843</w:t>
            </w:r>
          </w:p>
        </w:tc>
      </w:tr>
      <w:tr>
        <w:trPr>
          <w:trHeight w:val="216"/>
        </w:trPr>
        <w:tc>
          <w:tcPr>
            <w:tcW w:w="5380" w:type="dxa"/>
            <w:vAlign w:val="bottom"/>
          </w:tcPr>
          <w:p>
            <w:pPr>
              <w:ind w:left="100"/>
              <w:spacing w:after="0"/>
              <w:rPr>
                <w:sz w:val="20"/>
                <w:szCs w:val="20"/>
                <w:color w:val="auto"/>
              </w:rPr>
            </w:pPr>
            <w:r>
              <w:rPr>
                <w:rFonts w:ascii="Arial" w:cs="Arial" w:eastAsia="Arial" w:hAnsi="Arial"/>
                <w:sz w:val="16"/>
                <w:szCs w:val="16"/>
                <w:color w:val="auto"/>
              </w:rPr>
              <w:t>Other hotel revenue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106,789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203,114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153,690</w:t>
            </w: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Entertainment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183,120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147,215</w:t>
            </w:r>
          </w:p>
        </w:tc>
      </w:tr>
      <w:tr>
        <w:trPr>
          <w:trHeight w:val="209"/>
        </w:trPr>
        <w:tc>
          <w:tcPr>
            <w:tcW w:w="5380" w:type="dxa"/>
            <w:vAlign w:val="bottom"/>
          </w:tcPr>
          <w:p>
            <w:pPr>
              <w:ind w:left="220"/>
              <w:spacing w:after="0"/>
              <w:rPr>
                <w:sz w:val="20"/>
                <w:szCs w:val="20"/>
                <w:color w:val="auto"/>
              </w:rPr>
            </w:pPr>
            <w:r>
              <w:rPr>
                <w:rFonts w:ascii="Arial" w:cs="Arial" w:eastAsia="Arial" w:hAnsi="Arial"/>
                <w:sz w:val="16"/>
                <w:szCs w:val="16"/>
                <w:color w:val="auto"/>
              </w:rPr>
              <w:t>Total revenues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524,475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1,604,566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1,275,118</w:t>
            </w:r>
          </w:p>
        </w:tc>
      </w:tr>
      <w:tr>
        <w:trPr>
          <w:trHeight w:val="216"/>
        </w:trPr>
        <w:tc>
          <w:tcPr>
            <w:tcW w:w="5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Operating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5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144,834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118,060</w:t>
            </w:r>
          </w:p>
        </w:tc>
      </w:tr>
      <w:tr>
        <w:trPr>
          <w:trHeight w:val="216"/>
        </w:trPr>
        <w:tc>
          <w:tcPr>
            <w:tcW w:w="5380" w:type="dxa"/>
            <w:vAlign w:val="bottom"/>
          </w:tcPr>
          <w:p>
            <w:pPr>
              <w:ind w:left="100"/>
              <w:spacing w:after="0"/>
              <w:rPr>
                <w:sz w:val="20"/>
                <w:szCs w:val="20"/>
                <w:color w:val="auto"/>
              </w:rPr>
            </w:pPr>
            <w:r>
              <w:rPr>
                <w:rFonts w:ascii="Arial" w:cs="Arial" w:eastAsia="Arial" w:hAnsi="Arial"/>
                <w:sz w:val="16"/>
                <w:szCs w:val="16"/>
                <w:color w:val="auto"/>
              </w:rPr>
              <w:t>Food and beverage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146,141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362,850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282,906</w:t>
            </w: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339,529</w:t>
            </w:r>
          </w:p>
        </w:tc>
      </w:tr>
      <w:tr>
        <w:trPr>
          <w:trHeight w:val="216"/>
        </w:trPr>
        <w:tc>
          <w:tcPr>
            <w:tcW w:w="53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Management fees, net</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30,744</w:t>
            </w:r>
          </w:p>
        </w:tc>
      </w:tr>
      <w:tr>
        <w:trPr>
          <w:trHeight w:val="210"/>
        </w:trPr>
        <w:tc>
          <w:tcPr>
            <w:tcW w:w="5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hotel operating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771,239</w:t>
            </w:r>
          </w:p>
        </w:tc>
      </w:tr>
      <w:tr>
        <w:trPr>
          <w:trHeight w:val="216"/>
        </w:trPr>
        <w:tc>
          <w:tcPr>
            <w:tcW w:w="5380" w:type="dxa"/>
            <w:vAlign w:val="bottom"/>
          </w:tcPr>
          <w:p>
            <w:pPr>
              <w:ind w:left="100"/>
              <w:spacing w:after="0"/>
              <w:rPr>
                <w:sz w:val="20"/>
                <w:szCs w:val="20"/>
                <w:color w:val="auto"/>
              </w:rPr>
            </w:pPr>
            <w:r>
              <w:rPr>
                <w:rFonts w:ascii="Arial" w:cs="Arial" w:eastAsia="Arial" w:hAnsi="Arial"/>
                <w:sz w:val="16"/>
                <w:szCs w:val="16"/>
                <w:color w:val="auto"/>
              </w:rPr>
              <w:t>Entertainment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78,301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126,609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109,249</w:t>
            </w: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Corporate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30,833</w:t>
            </w:r>
          </w:p>
        </w:tc>
      </w:tr>
      <w:tr>
        <w:trPr>
          <w:trHeight w:val="216"/>
        </w:trPr>
        <w:tc>
          <w:tcPr>
            <w:tcW w:w="5380" w:type="dxa"/>
            <w:vAlign w:val="bottom"/>
          </w:tcPr>
          <w:p>
            <w:pPr>
              <w:ind w:left="100"/>
              <w:spacing w:after="0"/>
              <w:rPr>
                <w:sz w:val="20"/>
                <w:szCs w:val="20"/>
                <w:color w:val="auto"/>
              </w:rPr>
            </w:pPr>
            <w:r>
              <w:rPr>
                <w:rFonts w:ascii="Arial" w:cs="Arial" w:eastAsia="Arial" w:hAnsi="Arial"/>
                <w:sz w:val="16"/>
                <w:szCs w:val="16"/>
                <w:color w:val="auto"/>
              </w:rPr>
              <w:t>Preopening costs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4,869</w:t>
            </w: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Gain on sale of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Pr>
          <w:p>
            <w:pPr>
              <w:ind w:left="100"/>
              <w:spacing w:after="0"/>
              <w:rPr>
                <w:sz w:val="20"/>
                <w:szCs w:val="20"/>
                <w:color w:val="auto"/>
              </w:rPr>
            </w:pPr>
            <w:r>
              <w:rPr>
                <w:rFonts w:ascii="Arial" w:cs="Arial" w:eastAsia="Arial" w:hAnsi="Arial"/>
                <w:sz w:val="16"/>
                <w:szCs w:val="16"/>
                <w:color w:val="auto"/>
              </w:rPr>
              <w:t>Credit loss on held-to-maturity securities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32,784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Impairment charges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w:t>
            </w:r>
          </w:p>
        </w:tc>
      </w:tr>
      <w:tr>
        <w:trPr>
          <w:trHeight w:val="216"/>
        </w:trPr>
        <w:tc>
          <w:tcPr>
            <w:tcW w:w="53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Depreciation and amortization</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215,082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213,847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120,876</w:t>
            </w:r>
          </w:p>
        </w:tc>
      </w:tr>
      <w:tr>
        <w:trPr>
          <w:trHeight w:val="209"/>
        </w:trPr>
        <w:tc>
          <w:tcPr>
            <w:tcW w:w="5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828,306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1,337,035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1,060,849</w:t>
            </w:r>
          </w:p>
        </w:tc>
      </w:tr>
      <w:tr>
        <w:trPr>
          <w:trHeight w:val="210"/>
        </w:trPr>
        <w:tc>
          <w:tcPr>
            <w:tcW w:w="5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(303,831)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214,269</w:t>
            </w:r>
          </w:p>
        </w:tc>
      </w:tr>
      <w:tr>
        <w:trPr>
          <w:trHeight w:val="216"/>
        </w:trPr>
        <w:tc>
          <w:tcPr>
            <w:tcW w:w="5380" w:type="dxa"/>
            <w:vAlign w:val="bottom"/>
          </w:tcPr>
          <w:p>
            <w:pPr>
              <w:spacing w:after="0"/>
              <w:rPr>
                <w:sz w:val="20"/>
                <w:szCs w:val="20"/>
                <w:color w:val="auto"/>
              </w:rPr>
            </w:pPr>
            <w:r>
              <w:rPr>
                <w:rFonts w:ascii="Arial" w:cs="Arial" w:eastAsia="Arial" w:hAnsi="Arial"/>
                <w:sz w:val="16"/>
                <w:szCs w:val="16"/>
                <w:color w:val="auto"/>
              </w:rPr>
              <w:t>Interest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(115,783)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(131,620)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(74,961)</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r>
      <w:tr>
        <w:trPr>
          <w:trHeight w:val="216"/>
        </w:trPr>
        <w:tc>
          <w:tcPr>
            <w:tcW w:w="538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unconsolidated joint ventures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125,005</w:t>
            </w:r>
          </w:p>
        </w:tc>
      </w:tr>
      <w:tr>
        <w:trPr>
          <w:trHeight w:val="216"/>
        </w:trPr>
        <w:tc>
          <w:tcPr>
            <w:tcW w:w="5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gains and (losses), net</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r>
      <w:tr>
        <w:trPr>
          <w:trHeight w:val="210"/>
        </w:trPr>
        <w:tc>
          <w:tcPr>
            <w:tcW w:w="5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(loss) before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(433,737)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276,415</w:t>
            </w:r>
          </w:p>
        </w:tc>
      </w:tr>
      <w:tr>
        <w:trPr>
          <w:trHeight w:val="216"/>
        </w:trPr>
        <w:tc>
          <w:tcPr>
            <w:tcW w:w="5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(11,745)</w:t>
            </w:r>
          </w:p>
        </w:tc>
      </w:tr>
      <w:tr>
        <w:trPr>
          <w:trHeight w:val="210"/>
        </w:trPr>
        <w:tc>
          <w:tcPr>
            <w:tcW w:w="538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(460,821)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128,294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264,670</w:t>
            </w:r>
          </w:p>
        </w:tc>
      </w:tr>
      <w:tr>
        <w:trPr>
          <w:trHeight w:val="216"/>
        </w:trPr>
        <w:tc>
          <w:tcPr>
            <w:tcW w:w="5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6"/>
                <w:szCs w:val="16"/>
                <w:color w:val="auto"/>
              </w:rPr>
              <w:t>Net loss attributable to noncontrolling interest in consolidated joint venture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42,474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noncontrolling interest in Operating Partnership</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380" w:type="dxa"/>
            <w:vAlign w:val="bottom"/>
          </w:tcPr>
          <w:p>
            <w:pPr>
              <w:ind w:left="100"/>
              <w:spacing w:after="0"/>
              <w:rPr>
                <w:sz w:val="20"/>
                <w:szCs w:val="20"/>
                <w:color w:val="auto"/>
              </w:rPr>
            </w:pPr>
            <w:r>
              <w:rPr>
                <w:rFonts w:ascii="Arial" w:cs="Arial" w:eastAsia="Arial" w:hAnsi="Arial"/>
                <w:sz w:val="16"/>
                <w:szCs w:val="16"/>
                <w:color w:val="auto"/>
              </w:rPr>
              <w:t>Net income (loss) available to common stockholders</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(417,391)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145,794</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264,670</w:t>
            </w:r>
          </w:p>
        </w:tc>
      </w:tr>
      <w:tr>
        <w:trPr>
          <w:trHeight w:val="197"/>
        </w:trPr>
        <w:tc>
          <w:tcPr>
            <w:tcW w:w="5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56"/>
        </w:trPr>
        <w:tc>
          <w:tcPr>
            <w:tcW w:w="5380" w:type="dxa"/>
            <w:vAlign w:val="bottom"/>
          </w:tcPr>
          <w:p>
            <w:pPr>
              <w:spacing w:after="0"/>
              <w:rPr>
                <w:sz w:val="20"/>
                <w:szCs w:val="20"/>
                <w:color w:val="auto"/>
              </w:rPr>
            </w:pPr>
            <w:r>
              <w:rPr>
                <w:rFonts w:ascii="Arial" w:cs="Arial" w:eastAsia="Arial" w:hAnsi="Arial"/>
                <w:sz w:val="16"/>
                <w:szCs w:val="16"/>
                <w:color w:val="auto"/>
              </w:rPr>
              <w:t>Basic income (loss) per share available to common stockholders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197"/>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 income (loss) per share available to common stockholders</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5.14</w:t>
            </w:r>
          </w:p>
        </w:tc>
      </w:tr>
      <w:tr>
        <w:trPr>
          <w:trHeight w:val="20"/>
        </w:trPr>
        <w:tc>
          <w:tcPr>
            <w:tcW w:w="5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CONSOLIDATED STATEMENTS OF COMPREHENSIVE INCOME (LOSS) For the Years Ended December 31, 2020, 2019 and 2018 (Amounts in thousands)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960" w:type="dxa"/>
            <w:vAlign w:val="bottom"/>
            <w:gridSpan w:val="2"/>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92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(460,821)</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$ 128,294</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$ 264,670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(loss), before tax:</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80"/>
              <w:spacing w:after="0"/>
              <w:rPr>
                <w:sz w:val="20"/>
                <w:szCs w:val="20"/>
                <w:color w:val="auto"/>
              </w:rPr>
            </w:pPr>
            <w:r>
              <w:rPr>
                <w:rFonts w:ascii="Arial" w:cs="Arial" w:eastAsia="Arial" w:hAnsi="Arial"/>
                <w:sz w:val="17"/>
                <w:szCs w:val="17"/>
                <w:color w:val="auto"/>
              </w:rPr>
              <w:t>Gain (loss) on minimum pension liability: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Gains (losses) arising during the period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200"/>
              <w:spacing w:after="0"/>
              <w:rPr>
                <w:sz w:val="20"/>
                <w:szCs w:val="20"/>
                <w:color w:val="auto"/>
              </w:rPr>
            </w:pPr>
            <w:r>
              <w:rPr>
                <w:rFonts w:ascii="Arial" w:cs="Arial" w:eastAsia="Arial" w:hAnsi="Arial"/>
                <w:sz w:val="17"/>
                <w:szCs w:val="17"/>
                <w:color w:val="auto"/>
              </w:rPr>
              <w:t>Amount reclassified from accumulated other comprehensive loss</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194</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97</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(2,707)</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Pr>
          <w:p>
            <w:pPr>
              <w:ind w:left="80"/>
              <w:spacing w:after="0"/>
              <w:rPr>
                <w:sz w:val="20"/>
                <w:szCs w:val="20"/>
                <w:color w:val="auto"/>
              </w:rPr>
            </w:pPr>
            <w:r>
              <w:rPr>
                <w:rFonts w:ascii="Arial" w:cs="Arial" w:eastAsia="Arial" w:hAnsi="Arial"/>
                <w:sz w:val="17"/>
                <w:szCs w:val="17"/>
                <w:color w:val="auto"/>
              </w:rPr>
              <w:t>Interest rate derivatives: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Gains (losses) arising during period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(39,958)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3,539</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200"/>
              <w:spacing w:after="0"/>
              <w:rPr>
                <w:sz w:val="20"/>
                <w:szCs w:val="20"/>
                <w:color w:val="auto"/>
              </w:rPr>
            </w:pPr>
            <w:r>
              <w:rPr>
                <w:rFonts w:ascii="Arial" w:cs="Arial" w:eastAsia="Arial" w:hAnsi="Arial"/>
                <w:sz w:val="17"/>
                <w:szCs w:val="17"/>
                <w:color w:val="auto"/>
              </w:rPr>
              <w:t>Amount reclassified from accumulated other comprehensive loss</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10,505</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(1,905)</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(29,453)</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1,634</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7"/>
                <w:szCs w:val="17"/>
                <w:color w:val="auto"/>
              </w:rPr>
              <w:t>Other-than-temporary impairment loss on held-to-maturity securities: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200"/>
              <w:spacing w:after="0"/>
              <w:rPr>
                <w:sz w:val="20"/>
                <w:szCs w:val="20"/>
                <w:color w:val="auto"/>
              </w:rPr>
            </w:pPr>
            <w:r>
              <w:rPr>
                <w:rFonts w:ascii="Arial" w:cs="Arial" w:eastAsia="Arial" w:hAnsi="Arial"/>
                <w:sz w:val="17"/>
                <w:szCs w:val="17"/>
                <w:color w:val="auto"/>
              </w:rPr>
              <w:t>Non-credit loss on other-than-temporary impairment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Amount reclassified from accumulated other comprehensive loss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210</w:t>
            </w:r>
          </w:p>
        </w:tc>
        <w:tc>
          <w:tcPr>
            <w:tcW w:w="16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333</w:t>
            </w:r>
          </w:p>
        </w:tc>
        <w:tc>
          <w:tcPr>
            <w:tcW w:w="14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7"/>
                <w:szCs w:val="17"/>
                <w:color w:val="auto"/>
              </w:rPr>
              <w:t>Other comprehensive income (loss), before tax</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(31,950)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2,757</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(1,962)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 benefit related to items of comprehensive loss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comprehensive income (loss), net of tax</w:t>
            </w:r>
          </w:p>
        </w:tc>
        <w:tc>
          <w:tcPr>
            <w:tcW w:w="16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(31,950)</w:t>
            </w:r>
          </w:p>
        </w:tc>
        <w:tc>
          <w:tcPr>
            <w:tcW w:w="16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2,572</w:t>
            </w:r>
          </w:p>
        </w:tc>
        <w:tc>
          <w:tcPr>
            <w:tcW w:w="14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7"/>
                <w:szCs w:val="17"/>
                <w:color w:val="auto"/>
              </w:rPr>
              <w:t>Comprehensive income (loss)</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 (492,771)</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$ 130,866</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$ 263,338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w w:val="93"/>
              </w:rPr>
              <w:t>Comprehensive loss attributable to noncontrolling interest in consolidated joint venture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48,989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18,328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7"/>
                <w:szCs w:val="17"/>
                <w:color w:val="auto"/>
                <w:w w:val="97"/>
              </w:rPr>
              <w:t>Comprehensive loss attributable to noncontrolling interest in Operating Partnership</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869</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Comprehensive income (loss) available to common stockholders</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(442,913)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$ 149,194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$ 263,338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Cash Flows from Operating Activities:</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Net income (loss)</w:t>
            </w:r>
          </w:p>
        </w:tc>
        <w:tc>
          <w:tcPr>
            <w:tcW w:w="420" w:type="dxa"/>
            <w:vAlign w:val="bottom"/>
            <w:gridSpan w:val="2"/>
          </w:tcPr>
          <w:p>
            <w:pPr>
              <w:jc w:val="right"/>
              <w:ind w:right="11"/>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w w:val="99"/>
              </w:rPr>
              <w:t>(460,821)</w:t>
            </w:r>
          </w:p>
        </w:tc>
        <w:tc>
          <w:tcPr>
            <w:tcW w:w="3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128,294</w:t>
            </w:r>
          </w:p>
        </w:tc>
        <w:tc>
          <w:tcPr>
            <w:tcW w:w="180" w:type="dxa"/>
            <w:vAlign w:val="bottom"/>
          </w:tcPr>
          <w:p>
            <w:pPr>
              <w:spacing w:after="0"/>
              <w:rPr>
                <w:sz w:val="14"/>
                <w:szCs w:val="14"/>
                <w:color w:val="auto"/>
              </w:rPr>
            </w:pPr>
          </w:p>
        </w:tc>
        <w:tc>
          <w:tcPr>
            <w:tcW w:w="140" w:type="dxa"/>
            <w:vAlign w:val="bottom"/>
            <w:gridSpan w:val="2"/>
          </w:tcPr>
          <w:p>
            <w:pPr>
              <w:jc w:val="right"/>
              <w:ind w:right="11"/>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264,670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80"/>
              <w:spacing w:after="0" w:line="149" w:lineRule="exact"/>
              <w:rPr>
                <w:sz w:val="20"/>
                <w:szCs w:val="20"/>
                <w:color w:val="auto"/>
              </w:rPr>
            </w:pPr>
            <w:r>
              <w:rPr>
                <w:rFonts w:ascii="Arial" w:cs="Arial" w:eastAsia="Arial" w:hAnsi="Arial"/>
                <w:sz w:val="15"/>
                <w:szCs w:val="15"/>
                <w:color w:val="auto"/>
                <w:w w:val="97"/>
              </w:rPr>
              <w:t>Amounts to reconcile net income (loss) to net cash flows provided by (used in) operating</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5"/>
                <w:szCs w:val="15"/>
                <w:color w:val="auto"/>
              </w:rPr>
              <w:t>activities:</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200"/>
              <w:spacing w:after="0" w:line="162" w:lineRule="exact"/>
              <w:rPr>
                <w:sz w:val="20"/>
                <w:szCs w:val="20"/>
                <w:color w:val="auto"/>
              </w:rPr>
            </w:pPr>
            <w:r>
              <w:rPr>
                <w:rFonts w:ascii="Arial" w:cs="Arial" w:eastAsia="Arial" w:hAnsi="Arial"/>
                <w:sz w:val="15"/>
                <w:szCs w:val="15"/>
                <w:color w:val="auto"/>
              </w:rPr>
              <w:t>Provision for deferred income taxes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26,526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14,414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10,190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Depreciation and amortization</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215,082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213,847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120,876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200"/>
              <w:spacing w:after="0" w:line="162" w:lineRule="exact"/>
              <w:rPr>
                <w:sz w:val="20"/>
                <w:szCs w:val="20"/>
                <w:color w:val="auto"/>
              </w:rPr>
            </w:pPr>
            <w:r>
              <w:rPr>
                <w:rFonts w:ascii="Arial" w:cs="Arial" w:eastAsia="Arial" w:hAnsi="Arial"/>
                <w:sz w:val="15"/>
                <w:szCs w:val="15"/>
                <w:color w:val="auto"/>
              </w:rPr>
              <w:t>Amortization of deferred financing costs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7,948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7,662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5,632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Credit loss on held-to-maturity securities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32,784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200"/>
              <w:spacing w:after="0" w:line="162" w:lineRule="exact"/>
              <w:rPr>
                <w:sz w:val="20"/>
                <w:szCs w:val="20"/>
                <w:color w:val="auto"/>
              </w:rPr>
            </w:pPr>
            <w:r>
              <w:rPr>
                <w:rFonts w:ascii="Arial" w:cs="Arial" w:eastAsia="Arial" w:hAnsi="Arial"/>
                <w:sz w:val="15"/>
                <w:szCs w:val="15"/>
                <w:color w:val="auto"/>
              </w:rPr>
              <w:t>Impairment charges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23,783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Forfeiture of Block 21 earnest deposit</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200"/>
              <w:spacing w:after="0" w:line="162" w:lineRule="exact"/>
              <w:rPr>
                <w:sz w:val="20"/>
                <w:szCs w:val="20"/>
                <w:color w:val="auto"/>
              </w:rPr>
            </w:pPr>
            <w:r>
              <w:rPr>
                <w:rFonts w:ascii="Arial" w:cs="Arial" w:eastAsia="Arial" w:hAnsi="Arial"/>
                <w:sz w:val="15"/>
                <w:szCs w:val="15"/>
                <w:color w:val="auto"/>
              </w:rPr>
              <w:t>Write-off of deferred financing costs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281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3,079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1,956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(Income) loss from unconsolidated joint ventures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6,451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1,110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(125,005)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200"/>
              <w:spacing w:after="0" w:line="162" w:lineRule="exact"/>
              <w:rPr>
                <w:sz w:val="20"/>
                <w:szCs w:val="20"/>
                <w:color w:val="auto"/>
              </w:rPr>
            </w:pPr>
            <w:r>
              <w:rPr>
                <w:rFonts w:ascii="Arial" w:cs="Arial" w:eastAsia="Arial" w:hAnsi="Arial"/>
                <w:sz w:val="15"/>
                <w:szCs w:val="15"/>
                <w:color w:val="auto"/>
              </w:rPr>
              <w:t>Stock-based compensation expense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8,732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7,833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7,656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Changes in:</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300"/>
              <w:spacing w:after="0" w:line="162" w:lineRule="exact"/>
              <w:rPr>
                <w:sz w:val="20"/>
                <w:szCs w:val="20"/>
                <w:color w:val="auto"/>
              </w:rPr>
            </w:pPr>
            <w:r>
              <w:rPr>
                <w:rFonts w:ascii="Arial" w:cs="Arial" w:eastAsia="Arial" w:hAnsi="Arial"/>
                <w:sz w:val="15"/>
                <w:szCs w:val="15"/>
                <w:color w:val="auto"/>
              </w:rPr>
              <w:t>Trade receivables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50,501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(2,844)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(8,320)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Accounts payable and accrued liabilities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(59,828)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(13,674)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22,201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Borders>
              <w:bottom w:val="single" w:sz="8" w:color="CCEEFF"/>
            </w:tcBorders>
          </w:tcPr>
          <w:p>
            <w:pPr>
              <w:ind w:left="300"/>
              <w:spacing w:after="0" w:line="162" w:lineRule="exact"/>
              <w:rPr>
                <w:sz w:val="20"/>
                <w:szCs w:val="20"/>
                <w:color w:val="auto"/>
              </w:rPr>
            </w:pPr>
            <w:r>
              <w:rPr>
                <w:rFonts w:ascii="Arial" w:cs="Arial" w:eastAsia="Arial" w:hAnsi="Arial"/>
                <w:sz w:val="15"/>
                <w:szCs w:val="15"/>
                <w:color w:val="auto"/>
              </w:rPr>
              <w:t>Other assets and liabilities</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(4,180)</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(5,035)</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(1,720)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flows provided by (used in) operating activities</w:t>
            </w:r>
          </w:p>
        </w:tc>
        <w:tc>
          <w:tcPr>
            <w:tcW w:w="3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(161,524)</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354,686</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321,919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Flows from Investing Activities: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Purchases of property and equipment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w w:val="99"/>
              </w:rPr>
              <w:t>(165,463)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w w:val="99"/>
              </w:rPr>
              <w:t>(152,541)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(188,217)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Collection of notes receivable</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2,985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13,211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Purchase of additional interest in Gaylord Rockies joint venture, net of cash acquired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(5,481)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(223,564)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Earnest money deposit for potential Block 21 acquisition</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(15,000)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Investment in other joint ventures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(8,868)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(4,241)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(2,199)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Purchase of remaining interest in Opry City Stage, net of cash acquired</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Borders>
              <w:bottom w:val="single" w:sz="8" w:color="CCEEFF"/>
            </w:tcBorders>
          </w:tcPr>
          <w:p>
            <w:pPr>
              <w:ind w:left="80"/>
              <w:spacing w:after="0" w:line="162" w:lineRule="exact"/>
              <w:rPr>
                <w:sz w:val="20"/>
                <w:szCs w:val="20"/>
                <w:color w:val="auto"/>
              </w:rPr>
            </w:pPr>
            <w:r>
              <w:rPr>
                <w:rFonts w:ascii="Arial" w:cs="Arial" w:eastAsia="Arial" w:hAnsi="Arial"/>
                <w:sz w:val="15"/>
                <w:szCs w:val="15"/>
                <w:color w:val="auto"/>
              </w:rPr>
              <w:t>Other investing activities, net</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(1,302)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1,015</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(7,927)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flows used in investing activities</w:t>
            </w:r>
          </w:p>
        </w:tc>
        <w:tc>
          <w:tcPr>
            <w:tcW w:w="3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(172,648)</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(163,037)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(423,310)</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Flows from Financing Activities: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Net borrowings (repayments) under revolving credit facility</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106,000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w w:val="99"/>
              </w:rPr>
              <w:t>(525,000)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354,000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Borrowings under term loan A</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100,000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Repayments under term loan B</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(5,000)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w w:val="99"/>
              </w:rPr>
              <w:t>(105,000)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Issuance of senior notes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702,500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Redemption of senior notes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w w:val="99"/>
              </w:rPr>
              <w:t>(350,000)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Borrowing under Gaylord Rockies term loan</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800,000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Repayment of Gaylord Rockies construction and mezzanine loans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w w:val="99"/>
              </w:rPr>
              <w:t>(496,612)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Deferred financing costs paid</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(2,214)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(27,666)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Issuance of common stock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282,908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Payment of dividends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(102,331)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(183,346)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(172,415)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Distributions from consolidated joint venture to noncontrolling interest partners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(992)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w w:val="99"/>
              </w:rPr>
              <w:t>(113,894)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Payment of tax withholdings for share-based compensation</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(1,688)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(3,989)</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Borders>
              <w:bottom w:val="single" w:sz="8" w:color="CCEEFF"/>
            </w:tcBorders>
          </w:tcPr>
          <w:p>
            <w:pPr>
              <w:ind w:left="80"/>
              <w:spacing w:after="0" w:line="162" w:lineRule="exact"/>
              <w:rPr>
                <w:sz w:val="20"/>
                <w:szCs w:val="20"/>
                <w:color w:val="auto"/>
              </w:rPr>
            </w:pPr>
            <w:r>
              <w:rPr>
                <w:rFonts w:ascii="Arial" w:cs="Arial" w:eastAsia="Arial" w:hAnsi="Arial"/>
                <w:sz w:val="15"/>
                <w:szCs w:val="15"/>
                <w:color w:val="auto"/>
              </w:rPr>
              <w:t>Other financing activities, net</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(245)</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(243)</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flows provided by (used in) financing activities</w:t>
            </w:r>
          </w:p>
        </w:tc>
        <w:tc>
          <w:tcPr>
            <w:tcW w:w="3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(6,470)</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79,658</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171,770</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change in cash, cash equivalents, and restricted cash</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(340,642)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271,307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70,379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Cash, cash equivalents, and restricted cash, beginning of period</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420,396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149,089</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78,710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3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79,754</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420,396</w:t>
            </w: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149,089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Reconciliation of cash, cash equivalents, and restricted cash to balance sheet:</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Cash and cash equivalents - unrestricted</w:t>
            </w:r>
          </w:p>
        </w:tc>
        <w:tc>
          <w:tcPr>
            <w:tcW w:w="420" w:type="dxa"/>
            <w:vAlign w:val="bottom"/>
            <w:gridSpan w:val="2"/>
          </w:tcPr>
          <w:p>
            <w:pPr>
              <w:jc w:val="right"/>
              <w:ind w:right="11"/>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56,697</w:t>
            </w:r>
          </w:p>
        </w:tc>
        <w:tc>
          <w:tcPr>
            <w:tcW w:w="3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362,430</w:t>
            </w:r>
          </w:p>
        </w:tc>
        <w:tc>
          <w:tcPr>
            <w:tcW w:w="180" w:type="dxa"/>
            <w:vAlign w:val="bottom"/>
          </w:tcPr>
          <w:p>
            <w:pPr>
              <w:spacing w:after="0"/>
              <w:rPr>
                <w:sz w:val="14"/>
                <w:szCs w:val="14"/>
                <w:color w:val="auto"/>
              </w:rPr>
            </w:pPr>
          </w:p>
        </w:tc>
        <w:tc>
          <w:tcPr>
            <w:tcW w:w="140" w:type="dxa"/>
            <w:vAlign w:val="bottom"/>
            <w:gridSpan w:val="2"/>
          </w:tcPr>
          <w:p>
            <w:pPr>
              <w:jc w:val="right"/>
              <w:ind w:right="11"/>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103,437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Cash and cash equivalents - restricted</w:t>
            </w:r>
          </w:p>
        </w:tc>
        <w:tc>
          <w:tcPr>
            <w:tcW w:w="3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23,057</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57,966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45,652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tcPr>
          <w:p>
            <w:pPr>
              <w:ind w:left="80"/>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300" w:type="dxa"/>
            <w:vAlign w:val="bottom"/>
          </w:tcPr>
          <w:p>
            <w:pPr>
              <w:spacing w:after="0"/>
              <w:rPr>
                <w:sz w:val="13"/>
                <w:szCs w:val="13"/>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79,754</w:t>
            </w:r>
          </w:p>
        </w:tc>
        <w:tc>
          <w:tcPr>
            <w:tcW w:w="1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420,396</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149,089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960"/>
        <w:spacing w:after="0" w:line="263" w:lineRule="auto"/>
        <w:rPr>
          <w:sz w:val="20"/>
          <w:szCs w:val="20"/>
          <w:color w:val="auto"/>
        </w:rPr>
      </w:pPr>
      <w:r>
        <w:rPr>
          <w:rFonts w:ascii="Arial" w:cs="Arial" w:eastAsia="Arial" w:hAnsi="Arial"/>
          <w:sz w:val="18"/>
          <w:szCs w:val="18"/>
          <w:b w:val="1"/>
          <w:bCs w:val="1"/>
          <w:color w:val="auto"/>
        </w:rPr>
        <w:t>RYMAN HOSPITALITY PROPERTIES, INC. AND SUBSIDIARIES CONSOLIDATED STATEMENTS OF EQUITY AND NONCONTROLLING INTEREST For the Years Ended December 31, 2020, 2019 and 2018 (Amounts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w w:val="86"/>
              </w:rPr>
              <w:t>Noncontrolling</w:t>
            </w:r>
          </w:p>
        </w:tc>
      </w:tr>
      <w:tr>
        <w:trPr>
          <w:trHeight w:val="135"/>
        </w:trPr>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center"/>
              <w:ind w:right="120"/>
              <w:spacing w:after="0" w:line="135" w:lineRule="exact"/>
              <w:rPr>
                <w:sz w:val="20"/>
                <w:szCs w:val="20"/>
                <w:color w:val="auto"/>
              </w:rPr>
            </w:pPr>
            <w:r>
              <w:rPr>
                <w:rFonts w:ascii="Arial" w:cs="Arial" w:eastAsia="Arial" w:hAnsi="Arial"/>
                <w:sz w:val="12"/>
                <w:szCs w:val="12"/>
                <w:b w:val="1"/>
                <w:bCs w:val="1"/>
                <w:color w:val="auto"/>
                <w:w w:val="91"/>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1"/>
                <w:szCs w:val="11"/>
                <w:color w:val="auto"/>
              </w:rPr>
            </w:pPr>
          </w:p>
        </w:tc>
        <w:tc>
          <w:tcPr>
            <w:tcW w:w="7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Interest in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auto"/>
                <w:w w:val="90"/>
              </w:rPr>
              <w:t>Interest in</w:t>
            </w:r>
          </w:p>
        </w:tc>
      </w:tr>
      <w:tr>
        <w:trPr>
          <w:trHeight w:val="135"/>
        </w:trPr>
        <w:tc>
          <w:tcPr>
            <w:tcW w:w="200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Common</w:t>
            </w:r>
          </w:p>
        </w:tc>
        <w:tc>
          <w:tcPr>
            <w:tcW w:w="8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9"/>
              </w:rPr>
              <w:t>Paid-in</w:t>
            </w: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6"/>
              </w:rPr>
              <w:t>Treasury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Accumulated</w:t>
            </w: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7"/>
              </w:rPr>
              <w:t>Comprehensive</w:t>
            </w: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8"/>
              </w:rPr>
              <w:t>Stockholders'</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1"/>
              </w:rPr>
              <w:t>Operating</w:t>
            </w:r>
          </w:p>
        </w:tc>
        <w:tc>
          <w:tcPr>
            <w:tcW w:w="1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Total</w:t>
            </w:r>
          </w:p>
        </w:tc>
        <w:tc>
          <w:tcPr>
            <w:tcW w:w="7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6"/>
              </w:rPr>
              <w:t>Consolidated</w:t>
            </w:r>
          </w:p>
        </w:tc>
      </w:tr>
      <w:tr>
        <w:trPr>
          <w:trHeight w:val="143"/>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Stock</w:t>
            </w:r>
          </w:p>
        </w:tc>
        <w:tc>
          <w:tcPr>
            <w:tcW w:w="8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Capital</w:t>
            </w:r>
          </w:p>
        </w:tc>
        <w:tc>
          <w:tcPr>
            <w:tcW w:w="6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8"/>
              </w:rPr>
              <w:t>Deficit</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78"/>
              </w:rPr>
              <w:t>Loss</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Equity</w:t>
            </w:r>
          </w:p>
        </w:tc>
        <w:tc>
          <w:tcPr>
            <w:tcW w:w="8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Partnership</w:t>
            </w:r>
          </w:p>
        </w:tc>
        <w:tc>
          <w:tcPr>
            <w:tcW w:w="100" w:type="dxa"/>
            <w:vAlign w:val="bottom"/>
          </w:tcPr>
          <w:p>
            <w:pPr>
              <w:spacing w:after="0"/>
              <w:rPr>
                <w:sz w:val="12"/>
                <w:szCs w:val="12"/>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Equity</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Joint Venture</w:t>
            </w:r>
          </w:p>
        </w:tc>
      </w:tr>
      <w:tr>
        <w:trPr>
          <w:trHeight w:val="128"/>
        </w:trPr>
        <w:tc>
          <w:tcPr>
            <w:tcW w:w="20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2017</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896,759</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(13,253)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(479,170)</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(26,692)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378,156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ind w:left="560"/>
              <w:spacing w:after="0" w:line="129" w:lineRule="exact"/>
              <w:rPr>
                <w:sz w:val="20"/>
                <w:szCs w:val="20"/>
                <w:color w:val="auto"/>
              </w:rPr>
            </w:pPr>
            <w:r>
              <w:rPr>
                <w:rFonts w:ascii="Arial" w:cs="Arial" w:eastAsia="Arial" w:hAnsi="Arial"/>
                <w:sz w:val="13"/>
                <w:szCs w:val="13"/>
                <w:color w:val="auto"/>
                <w:w w:val="76"/>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378,156</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r>
      <w:tr>
        <w:trPr>
          <w:trHeight w:val="135"/>
        </w:trPr>
        <w:tc>
          <w:tcPr>
            <w:tcW w:w="2000" w:type="dxa"/>
            <w:vAlign w:val="bottom"/>
          </w:tcPr>
          <w:p>
            <w:pPr>
              <w:ind w:left="120"/>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tcPr>
          <w:p>
            <w:pPr>
              <w:spacing w:after="0"/>
              <w:rPr>
                <w:sz w:val="11"/>
                <w:szCs w:val="11"/>
                <w:color w:val="auto"/>
              </w:rPr>
            </w:pPr>
          </w:p>
        </w:tc>
        <w:tc>
          <w:tcPr>
            <w:tcW w:w="52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264,670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264,670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w w:val="97"/>
              </w:rPr>
              <w:t>264,670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Transition adjustment related to</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adoption of ASU 2014-09</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(134)</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w w:val="97"/>
              </w:rPr>
              <w:t>Other comprehensive loss, net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income taxes</w:t>
            </w:r>
          </w:p>
        </w:tc>
        <w:tc>
          <w:tcPr>
            <w:tcW w:w="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(1,332)</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(1,332)</w:t>
            </w:r>
          </w:p>
        </w:tc>
        <w:tc>
          <w:tcPr>
            <w:tcW w:w="8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(1,332)</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9"/>
              </w:rPr>
              <w:t>Payment of dividends ($3.40 per</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(1,930)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3"/>
              </w:rPr>
              <w:t>(173,890)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(175,306)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9"/>
              </w:rPr>
              <w:t>(175,306)</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2000" w:type="dxa"/>
            <w:vAlign w:val="bottom"/>
          </w:tcPr>
          <w:p>
            <w:pPr>
              <w:ind w:left="120"/>
              <w:spacing w:after="0" w:line="135" w:lineRule="exact"/>
              <w:rPr>
                <w:sz w:val="20"/>
                <w:szCs w:val="20"/>
                <w:color w:val="auto"/>
              </w:rPr>
            </w:pPr>
            <w:r>
              <w:rPr>
                <w:rFonts w:ascii="Arial" w:cs="Arial" w:eastAsia="Arial" w:hAnsi="Arial"/>
                <w:sz w:val="13"/>
                <w:szCs w:val="13"/>
                <w:color w:val="auto"/>
              </w:rPr>
              <w:t>Exercise of stock options</w:t>
            </w:r>
          </w:p>
        </w:tc>
        <w:tc>
          <w:tcPr>
            <w:tcW w:w="80" w:type="dxa"/>
            <w:vAlign w:val="bottom"/>
          </w:tcPr>
          <w:p>
            <w:pPr>
              <w:spacing w:after="0"/>
              <w:rPr>
                <w:sz w:val="11"/>
                <w:szCs w:val="11"/>
                <w:color w:val="auto"/>
              </w:rPr>
            </w:pPr>
          </w:p>
        </w:tc>
        <w:tc>
          <w:tcPr>
            <w:tcW w:w="52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options surrendered</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(4,145)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(4,144)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(4,144)</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expense</w:t>
            </w:r>
          </w:p>
        </w:tc>
        <w:tc>
          <w:tcPr>
            <w:tcW w:w="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7,656</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7,656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7,656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Establishment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35"/>
        </w:trPr>
        <w:tc>
          <w:tcPr>
            <w:tcW w:w="20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in consolidated joint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venture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287,433</w:t>
            </w:r>
          </w:p>
        </w:tc>
      </w:tr>
      <w:tr>
        <w:trPr>
          <w:trHeight w:val="128"/>
        </w:trPr>
        <w:tc>
          <w:tcPr>
            <w:tcW w:w="2000" w:type="dxa"/>
            <w:vAlign w:val="bottom"/>
          </w:tcPr>
          <w:p>
            <w:pPr>
              <w:ind w:left="20"/>
              <w:spacing w:after="0" w:line="129" w:lineRule="exact"/>
              <w:rPr>
                <w:sz w:val="20"/>
                <w:szCs w:val="20"/>
                <w:color w:val="auto"/>
              </w:rPr>
            </w:pPr>
            <w:r>
              <w:rPr>
                <w:rFonts w:ascii="Arial" w:cs="Arial" w:eastAsia="Arial" w:hAnsi="Arial"/>
                <w:sz w:val="13"/>
                <w:szCs w:val="13"/>
                <w:color w:val="auto"/>
              </w:rPr>
              <w:t>BALANCE, December 31, 2018</w:t>
            </w:r>
          </w:p>
        </w:tc>
        <w:tc>
          <w:tcPr>
            <w:tcW w:w="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513</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900,795</w:t>
            </w:r>
          </w:p>
        </w:tc>
        <w:tc>
          <w:tcPr>
            <w:tcW w:w="14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 (15,183)</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(388,524)</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(28,024)</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469,577</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ind w:left="560"/>
              <w:spacing w:after="0" w:line="129"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469,577</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287,433</w:t>
            </w:r>
          </w:p>
        </w:tc>
      </w:tr>
      <w:tr>
        <w:trPr>
          <w:trHeight w:val="135"/>
        </w:trPr>
        <w:tc>
          <w:tcPr>
            <w:tcW w:w="20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145,794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145,794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145,794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(17,500)</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interest to redemption value</w:t>
            </w:r>
          </w:p>
        </w:tc>
        <w:tc>
          <w:tcPr>
            <w:tcW w:w="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(68,054)</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(68,054)</w:t>
            </w:r>
          </w:p>
        </w:tc>
        <w:tc>
          <w:tcPr>
            <w:tcW w:w="8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(68,054)</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68,054</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Transition adjustment related to</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adoption of ASU 2018-02</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(2,707)</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w w:val="95"/>
              </w:rPr>
              <w:t>Other comprehensive income, net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of income taxes</w:t>
            </w:r>
          </w:p>
        </w:tc>
        <w:tc>
          <w:tcPr>
            <w:tcW w:w="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2,572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7"/>
              </w:rPr>
              <w:t>Purchase of additional ownership</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35"/>
        </w:trPr>
        <w:tc>
          <w:tcPr>
            <w:tcW w:w="20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in consolidated joint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venture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(2,899)</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(2,899)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(2,899)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(2,582)</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Distributions from consolidated</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5"/>
        </w:trPr>
        <w:tc>
          <w:tcPr>
            <w:tcW w:w="2000" w:type="dxa"/>
            <w:vAlign w:val="bottom"/>
          </w:tcPr>
          <w:p>
            <w:pPr>
              <w:ind w:left="120"/>
              <w:spacing w:after="0" w:line="135" w:lineRule="exact"/>
              <w:rPr>
                <w:sz w:val="20"/>
                <w:szCs w:val="20"/>
                <w:color w:val="auto"/>
              </w:rPr>
            </w:pPr>
            <w:r>
              <w:rPr>
                <w:rFonts w:ascii="Arial" w:cs="Arial" w:eastAsia="Arial" w:hAnsi="Arial"/>
                <w:sz w:val="13"/>
                <w:szCs w:val="13"/>
                <w:color w:val="auto"/>
              </w:rPr>
              <w:t>joint venture to noncontrolling</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interest partners</w:t>
            </w:r>
          </w:p>
        </w:tc>
        <w:tc>
          <w:tcPr>
            <w:tcW w:w="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(113,894)</w:t>
            </w:r>
          </w:p>
        </w:tc>
      </w:tr>
      <w:tr>
        <w:trPr>
          <w:trHeight w:val="135"/>
        </w:trPr>
        <w:tc>
          <w:tcPr>
            <w:tcW w:w="20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Issuance of common stock</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282,873</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282,908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282,908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w w:val="99"/>
              </w:rPr>
              <w:t>Payment of dividends ($3.60 per</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share)</w:t>
            </w:r>
          </w:p>
        </w:tc>
        <w:tc>
          <w:tcPr>
            <w:tcW w:w="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532</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(2,132)</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w w:val="93"/>
              </w:rPr>
              <w:t>(187,437)</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(189,037)</w:t>
            </w:r>
          </w:p>
        </w:tc>
        <w:tc>
          <w:tcPr>
            <w:tcW w:w="8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w w:val="89"/>
              </w:rPr>
              <w:t>(189,037)</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20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Exercise of stock options</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(4,001)</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(4,000)</w:t>
            </w:r>
          </w:p>
        </w:tc>
        <w:tc>
          <w:tcPr>
            <w:tcW w:w="8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(4,000)</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7,833</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8"/>
        </w:trPr>
        <w:tc>
          <w:tcPr>
            <w:tcW w:w="2000" w:type="dxa"/>
            <w:vAlign w:val="bottom"/>
          </w:tcPr>
          <w:p>
            <w:pPr>
              <w:ind w:left="20"/>
              <w:spacing w:after="0" w:line="129" w:lineRule="exact"/>
              <w:rPr>
                <w:sz w:val="20"/>
                <w:szCs w:val="20"/>
                <w:color w:val="auto"/>
              </w:rPr>
            </w:pPr>
            <w:r>
              <w:rPr>
                <w:rFonts w:ascii="Arial" w:cs="Arial" w:eastAsia="Arial" w:hAnsi="Arial"/>
                <w:sz w:val="13"/>
                <w:szCs w:val="13"/>
                <w:color w:val="auto"/>
              </w:rPr>
              <w:t>BALANCE, December 31, 2019</w:t>
            </w:r>
          </w:p>
        </w:tc>
        <w:tc>
          <w:tcPr>
            <w:tcW w:w="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549</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1,185,168</w:t>
            </w:r>
          </w:p>
        </w:tc>
        <w:tc>
          <w:tcPr>
            <w:tcW w:w="14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 (17,315)</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(495,514)</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(28,159)</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644,729</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ind w:left="560"/>
              <w:spacing w:after="0" w:line="129"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644,729</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221,511</w:t>
            </w:r>
          </w:p>
        </w:tc>
      </w:tr>
      <w:tr>
        <w:trPr>
          <w:trHeight w:val="135"/>
        </w:trPr>
        <w:tc>
          <w:tcPr>
            <w:tcW w:w="20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loss</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3"/>
              </w:rPr>
              <w:t>(417,391)</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(417,391)</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(956)</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9"/>
              </w:rPr>
              <w:t>(418,347)</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(42,474)</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interest to redemption value</w:t>
            </w:r>
          </w:p>
        </w:tc>
        <w:tc>
          <w:tcPr>
            <w:tcW w:w="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60,106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60,106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60,106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(60,106)</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Transition adjustment related to</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adoption of ASU 2016-13</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(5,343)</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(3,185)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(3,185)</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w w:val="97"/>
              </w:rPr>
              <w:t>Other comprehensive loss, net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income taxes</w:t>
            </w:r>
          </w:p>
        </w:tc>
        <w:tc>
          <w:tcPr>
            <w:tcW w:w="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(31,950)</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(31,950)</w:t>
            </w:r>
          </w:p>
        </w:tc>
        <w:tc>
          <w:tcPr>
            <w:tcW w:w="8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(31,950)</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Issuance of partnership units in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Partnership</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Distributions from consolidated</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5"/>
        </w:trPr>
        <w:tc>
          <w:tcPr>
            <w:tcW w:w="2000" w:type="dxa"/>
            <w:vAlign w:val="bottom"/>
          </w:tcPr>
          <w:p>
            <w:pPr>
              <w:ind w:left="120"/>
              <w:spacing w:after="0" w:line="135" w:lineRule="exact"/>
              <w:rPr>
                <w:sz w:val="20"/>
                <w:szCs w:val="20"/>
                <w:color w:val="auto"/>
              </w:rPr>
            </w:pPr>
            <w:r>
              <w:rPr>
                <w:rFonts w:ascii="Arial" w:cs="Arial" w:eastAsia="Arial" w:hAnsi="Arial"/>
                <w:sz w:val="13"/>
                <w:szCs w:val="13"/>
                <w:color w:val="auto"/>
              </w:rPr>
              <w:t>joint venture to noncontrolling</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interest partners</w:t>
            </w:r>
          </w:p>
        </w:tc>
        <w:tc>
          <w:tcPr>
            <w:tcW w:w="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(992)</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9"/>
              </w:rPr>
              <w:t>Payment of dividends ($0.95 per</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(1,152)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(51,450)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(52,467)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(52,467)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Redemption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interests</w:t>
            </w:r>
          </w:p>
        </w:tc>
        <w:tc>
          <w:tcPr>
            <w:tcW w:w="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(1,500)</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(1,500)</w:t>
            </w:r>
          </w:p>
        </w:tc>
        <w:tc>
          <w:tcPr>
            <w:tcW w:w="8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(1,500)</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(16,970)</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options surrendered</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(1,774)</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(1,773)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(1,773)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expense</w:t>
            </w:r>
          </w:p>
        </w:tc>
        <w:tc>
          <w:tcPr>
            <w:tcW w:w="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8,732</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8,732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8,732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8"/>
        </w:trPr>
        <w:tc>
          <w:tcPr>
            <w:tcW w:w="200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2020</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1,192,261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(911,092)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(57,951)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205,301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14,516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219,817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100,969</w:t>
            </w:r>
          </w:p>
        </w:tc>
      </w:tr>
      <w:tr>
        <w:trPr>
          <w:trHeight w:val="20"/>
        </w:trPr>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the Business and Summary of Significant Accounting Policies</w:t>
      </w:r>
    </w:p>
    <w:p>
      <w:pPr>
        <w:spacing w:after="0" w:line="229"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For financial statement presentation and reporting purposes, the Company is the successor to Gaylord Entertainment Company, a Delaware corporation (“Gaylord”). As part of the plan to restructure the business operations of Gaylord to facilitate its qualification as a real estate investment trust (“REIT”) for federal income tax purposes, Gaylord merged with and into its wholly-owned subsidiary, Ryman Hospitality Properties, Inc., a Delaware corporation (“Ryman”), on October 1, 2012, with Ryman as the surviving corporation (the “Merger”). At 12:01 a.m. on October 1, 2012, the effective time of the Merger, Ryman succeeded to and began conducting, directly or indirectly, all of the business conducted by Gaylord immediately prior to the Merger. The “Company” refers to Ryman and its subsidiaries and to Gaylord.</w:t>
      </w:r>
    </w:p>
    <w:p>
      <w:pPr>
        <w:spacing w:after="0" w:line="166" w:lineRule="exact"/>
        <w:rPr>
          <w:sz w:val="20"/>
          <w:szCs w:val="20"/>
          <w:color w:val="auto"/>
        </w:rPr>
      </w:pPr>
    </w:p>
    <w:p>
      <w:pPr>
        <w:ind w:left="60" w:right="59"/>
        <w:spacing w:after="0" w:line="268" w:lineRule="auto"/>
        <w:rPr>
          <w:sz w:val="20"/>
          <w:szCs w:val="20"/>
          <w:color w:val="auto"/>
        </w:rPr>
      </w:pPr>
      <w:r>
        <w:rPr>
          <w:rFonts w:ascii="Arial" w:cs="Arial" w:eastAsia="Arial" w:hAnsi="Arial"/>
          <w:sz w:val="17"/>
          <w:szCs w:val="17"/>
          <w:color w:val="auto"/>
        </w:rPr>
        <w:t>On January 1, 2013, the Company began operating as a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five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which is owned by a joint venture (the “Gaylord Rockies joint venture”) in which the Company owns a 65% interest. The Company’s other owned hotel assets managed by Marriott include the Inn at Opryland, an overflow hotel adjacent to Gaylord Opryland, and the AC Hotel at National Harbor, Washington D.C. (“AC Hotel”), an overflow hotel adjacent to Gaylord National. For more information regarding the Company’s increase in its ownership percentage in the Gaylord Rockies joint venture as of December 31, 2018, see Note 4, “Investment in Gaylord Rockies Joint Venture.”</w:t>
      </w:r>
    </w:p>
    <w:p>
      <w:pPr>
        <w:spacing w:after="0" w:line="186"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The Company also owns a number of media and entertainment assets, including the Grand Ole Opry, the legendary weekly showcase of country music’s finest performers; the Ryman Auditorium, the storied live music venue and former home of the Grand Ole Opry located in downtown Nashville; WSM-AM, the Opry’s radio home; Ole Red, a brand of Blake Shelton-themed bar, music venue and event spaces; and three Nashville-based assets managed by Marriott – Gaylord Springs Golf Links (“Gaylord Springs”), the Wildhorse Saloon, and the General Jackson Showboat (“General Jackson”). The Company also owns a 50% interest in a joint venture intended to create and distribute a linear multicast and over-the-top channel dedicated to the country music lifestyle (“Circle”), which launched its broadcast network on January 1, 2020. See Note 13, “Commitments and Contingencies,” for further disclosure.</w:t>
      </w:r>
    </w:p>
    <w:p>
      <w:pPr>
        <w:spacing w:after="0" w:line="178"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The Company previously owned Opry City Stage, a four-level entertainment complex in Times Square that opened in December 2017 under a joint venture agreement of which the Company initially owned 50%. In the second quarter of 2018, the Company acquired the remaining 50% joint venture interest in Opry City Stage for a combination of $3.9 million in cash and the forgiveness of a note receivable previously due to the Company from the other joint venture partner of $7.9 million. Subsequent to the Company’s purchase of the remaining 50% joint venture interest, the Company determined that current ongoing operations were not meeting the revenue expectations from the time of purchase. In September 2018, the Company announced that it was temporarily suspending operations at Opry City Stage to appropriately reposition the venue and its operations, and in December 2018, the Company determined that it would permanently close the venue. During 2018, the Company performed impairment assessments of the carrying amount of Opry City Stage assets and recorded impairment charges of $22.6 million, which represented substantially all of the assets associated with the venue, and are reflected as impairment charges in the accompanying consolidated statement of operations for 2018.</w:t>
      </w:r>
    </w:p>
    <w:p>
      <w:pPr>
        <w:spacing w:after="0" w:line="172"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The Company conducts its business through an umbrella partnership REIT, in which all of its assets are held by, and all of its operations are conducted through, RHP Hotel Properties, LP, a subsidiary operating partnership (the “Operating Partnership”) that the Company formed in connection with its REIT conversion. Ryman and the non-controlling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operating partnership unit holders discussed in Note 11, “Equity” are the sole limited partners of the Operating Partnership, and Ryman currently owns, either directly or indirectly, 99.2% of the partnership units of the Operating Partnership. RHP Finance Corporation, a Delaware corporation (“Finco”), was formed as a wholly-owned subsidiary of the Operating Partnership for the sole purpose of being an issuer of debt securities with the Operating 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 and other material information described in this Annual Report on Form 10-K and Ryman’s other reports, documents or other information filed with the Securities and Exchange Commission pursuant to the Securities Exchange Act of 1934, as amended.</w:t>
      </w:r>
    </w:p>
    <w:p>
      <w:pPr>
        <w:spacing w:after="0" w:line="194"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On December 31, 2018, the Company amended the limited partnership agreement of the Operating Partnership to provide that its partnership units may be exchanged on a one-for-one basis for shares of the Company’s common stock. Under certain circumstances, the Company may issue such partnership units as consideration to acquire hotel properties. See Note 11, “Equity,” for further disclosure.</w:t>
      </w:r>
    </w:p>
    <w:p>
      <w:pPr>
        <w:spacing w:after="0" w:line="187"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The Company principally operates, through its subsidiaries and its property managers, as applicable, in the following business segments: Hospitality; Entertainment; and Corporate and Other. The Company’s fiscal year ends on December 31 for all periods presented.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Hospitality</w:t>
      </w:r>
    </w:p>
    <w:p>
      <w:pPr>
        <w:spacing w:after="0" w:line="225"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The Hospitality segment includes the Gaylord Hotels branded hotels, the Inn at Opryland and the AC Hotel. See Note 4, “Investment in Gaylord Rockies Joint Venture,” for further discussion of the Company’s equity investment in the Gaylord Rockies joint venture. Each of the Company’s Gaylord Hotels properties is managed by Marriott pursuant to a management agreement for each hotel.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Entertainment</w:t>
      </w:r>
    </w:p>
    <w:p>
      <w:pPr>
        <w:spacing w:after="0" w:line="22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The Entertainment segment includes the Grand Ole Opry, the Ryman Auditorium, WSM-AM, Ole Red, the General Jackson, the Wildhorse Saloon, Gaylord Springs, and the Company’s investment in the Circle joint venture, among various others. Marriott manages the day-to-day operations of the General Jackson, Gaylord Springs and the Wildhorse Saloon pursuant to management agreements.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Corporate and Other segment includes operating and general and administrative expenses related to the overall management of the Company which are not allocated to the other reportable segments, including certain costs for the Company’s retirement plans, equity-based compensation plans, information technology, human resources, accounting, and other administrative expenses.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The Company’s investments in non-controlled entities in which it has the ability to exercise significant influence over operating and financial policies are accounted for by the equity method. All significant intercompany accounts and transactions have been eliminated in consolidation.</w:t>
      </w:r>
    </w:p>
    <w:p>
      <w:pPr>
        <w:spacing w:after="0" w:line="187" w:lineRule="exact"/>
        <w:rPr>
          <w:sz w:val="20"/>
          <w:szCs w:val="20"/>
          <w:color w:val="auto"/>
        </w:rPr>
      </w:pPr>
    </w:p>
    <w:p>
      <w:pPr>
        <w:ind w:left="60" w:right="99"/>
        <w:spacing w:after="0" w:line="311" w:lineRule="auto"/>
        <w:rPr>
          <w:sz w:val="20"/>
          <w:szCs w:val="20"/>
          <w:color w:val="auto"/>
        </w:rPr>
      </w:pPr>
      <w:r>
        <w:rPr>
          <w:rFonts w:ascii="Arial" w:cs="Arial" w:eastAsia="Arial" w:hAnsi="Arial"/>
          <w:sz w:val="16"/>
          <w:szCs w:val="16"/>
          <w:color w:val="auto"/>
        </w:rPr>
        <w:t>The Company analyzes its variable interests, including loans, guarantees, management agreements, leasing arrangements and equity investments, to determine if an entity in which it has a variable interest is a variable interest entity (“VIE”). This analysis primarily includes a qualitative review, which is based on a review of the design of the entity, its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organizational structure, including decision-making ability, and relevant financial agreements. This analysis is also used to determine if the Company must consolidate the VIE as the primary beneficiary.</w:t>
      </w:r>
    </w:p>
    <w:p>
      <w:pPr>
        <w:spacing w:after="0" w:line="170"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The terms of the Company’s increased investment in the Gaylord Rockies joint venture and certain related agreements provide that a subsidiary of the Company is the managing member and is responsible for day-to-day management of the joint venture and for future financings meeting certain parameters. Designated decisions, such as refinancings that do not meet established parameters, future expansions of the hotel, transactions with affiliates, selling the hotel, and admitting additional members of the joint venture, are to be approved by a majority vote of a committee consisting of two members designated by the Company and two members designated by the minority partner. Based on management’s analysis of these updated agreements, management concluded the Company’s responsibility for the day-to-day management of the joint venture and for future financings meeting certain parameters results in the Company having the power to direct the activities that most significantly impact the economic performance of the joint venture. In addition, the shared decisions represent protective rights of both parties. Thus, the Company became the primary beneficiary of this variable interest entity at December 31, 2018. As such, the Company consolidated the assets and liabilities of the joint venture effective December 31, 2018 and began consolidating the ongoing operations of the joint venture effective January 1, 2019. See “Noncontrolling Interest in Consolidated Joint Venture” and Note 4, “Investment in Gaylord Rockies Joint Venture,” below for further discussion.</w:t>
      </w:r>
    </w:p>
    <w:p>
      <w:pPr>
        <w:spacing w:after="0" w:line="184"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terms of the Company's joint venture agreement in Circle provide that the Company and its joint venture partner each share the authority to make major decisions in the joint venture, including operating plans, entering into certain contracts, admitting additional members of the joint venture, issuing additional membership interests, and amending the operating agreement. In addition, the officers of Circle are not employees of the Company. Based on management’s analysis of the joint venture agreement, management concluded that the Company is not the primary beneficiary of this variable interest entity and accounts for this investment under the equity method.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 Pandemic</w:t>
      </w:r>
    </w:p>
    <w:p>
      <w:pPr>
        <w:spacing w:after="0" w:line="229"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The novel coronavirus disease (COVID-19) pandemic continues to spread throughout the United States and is having an unprecedented impact on the U.S. economy. Due to the COVID-19 pandemic, the Company has experienced disruption of its business and in March 2020 temporarily suspended operations of most of its assets, as further described below. While most of the Company’s assets are reopening at some capacity, there is significant uncertainty surrounding the full extent of the impact of the COVID-19 pandemic on the Company’s future results of operations and financial position.</w:t>
      </w:r>
    </w:p>
    <w:p>
      <w:pPr>
        <w:spacing w:after="0" w:line="134"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The Company, in consultation with local governmental authorities, first determined to close its Nashville-based entertainment venues in mid-March 2020. As cancellations at the Gaylord Hotels properties began to increase, the Company and its hotel manager, Marriott, implemented a series of operational changes, culminating with the suspension of operations at the Gaylord Hotels properties in late March 2020. Gaylord Texan reopened June 8, 2020, and Gaylord Opryland, Gaylord Palms and Gaylord Rockies reopened June 25, 2020. Gaylord National remains closed.</w:t>
      </w:r>
    </w:p>
    <w:p>
      <w:pPr>
        <w:spacing w:after="0" w:line="121"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In the Company’s Entertainment segment, in addition to the temporary closure of its entertainment assets, the Company took steps to reduce operating costs in all areas. Many of the Company’s attractions reopened at reduced capacities in May and June 2020. The Grand Ole Opry and Ryman Auditorium began offering limited-capacity tours in June 2020, and in September 2020, they reopened for limited-capacity publicly attended performances.</w:t>
      </w:r>
    </w:p>
    <w:p>
      <w:pPr>
        <w:spacing w:after="0" w:line="131"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The Company amended its credit facility on April 23, 2020, and again on December 22, 2020. As described more fully in Note 5, “Debt”, the amendments provide temporary waivers of covenants within the facility, among other temporary changes. The Company continues to pay all required debt service payments on its indebtedness, lease payments, taxes and other payables.</w:t>
      </w:r>
    </w:p>
    <w:p>
      <w:pPr>
        <w:spacing w:after="0" w:line="160" w:lineRule="exact"/>
        <w:rPr>
          <w:sz w:val="20"/>
          <w:szCs w:val="20"/>
          <w:color w:val="auto"/>
        </w:rPr>
      </w:pPr>
    </w:p>
    <w:p>
      <w:pPr>
        <w:ind w:left="60" w:right="259"/>
        <w:spacing w:after="0" w:line="293" w:lineRule="auto"/>
        <w:rPr>
          <w:sz w:val="20"/>
          <w:szCs w:val="20"/>
          <w:color w:val="auto"/>
        </w:rPr>
      </w:pPr>
      <w:r>
        <w:rPr>
          <w:rFonts w:ascii="Arial" w:cs="Arial" w:eastAsia="Arial" w:hAnsi="Arial"/>
          <w:sz w:val="16"/>
          <w:szCs w:val="16"/>
          <w:color w:val="auto"/>
        </w:rPr>
        <w:t>At December 31, 2020, the Company had an additional $593.2 million available for borrowing under its revolving credit facility and $56.7 million in unrestricted cash on hand. In addition, following the payment of the Company’s first quarter 2020 dividend as discussed in Note 11, “Equity,” the Company suspended its regular quarterly dividend payments. The Company’s board of directors will consider a future dividend as permitted by the Company’s credit agreement. The Company’s credit agreement amendments described in Note 5, “Debt,” permits payment of dividends as necessary to maintain the Company’s REIT status and permits the Company to pay a dividend of $0.01 per share each quarter. Any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future dividend is subject to the Company’s board of director’s determinations as to the amount of distributions and timing thereof.</w:t>
      </w:r>
    </w:p>
    <w:p>
      <w:pPr>
        <w:spacing w:after="0" w:line="143"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The Company has deferred substantially all non-essential capital projects, in addition to delaying the Gaylord Rockies expansion project, which was scheduled to begin construction in second quarter 2020. The Gaylord Palms expansion project is continuing, and the Company believes the expansion will allow Gaylord Palms to serve groups moving meetings to 2021.</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Termination of Block 21 Acquisition</w:t>
      </w:r>
    </w:p>
    <w:p>
      <w:pPr>
        <w:spacing w:after="0" w:line="229"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In December 2019, the Company entered into an agreement to purchase Block 21, a mixed-use entertainment, lodging, office and retail complex located in Austin, Texas, for $275 million, which included the assumption of approximately $141 million of existing mortgage debt. In May 2020, in response to the then-existing capital markets and economic environment caused by the COVID-19 pandemic, the Company determined it was not in the best interest of shareholders to focus resources and capital on the project and terminated the related purchase agreement. The Company forfeited a nonrefundable December 2019 deposit of $15 million and recorded a loss, which is included in other gains and (losses), net in the accompanying consolidated statement of operations for 2020.</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right="399"/>
        <w:spacing w:after="0" w:line="255" w:lineRule="auto"/>
        <w:rPr>
          <w:sz w:val="20"/>
          <w:szCs w:val="20"/>
          <w:color w:val="auto"/>
        </w:rPr>
      </w:pPr>
      <w:r>
        <w:rPr>
          <w:rFonts w:ascii="Arial" w:cs="Arial" w:eastAsia="Arial" w:hAnsi="Arial"/>
          <w:sz w:val="18"/>
          <w:szCs w:val="18"/>
          <w:color w:val="auto"/>
        </w:rPr>
        <w:t>Property and equipment are stated at cost or at estimated fair value if recorded in connection with purchase accounting. Improvements and significant renovations that extend the lives of existing assets are capitalized. Interest on funds borrowed to finance the construction of major capital additions not funded through furniture, fixtures and equipment reserves is included in the cost of the applicable capital addition. Maintenance and repairs are charged to expense as incurred. Property and equipment are generally depreciated using the straight-line method over the following estimated useful lives: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54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40 years</w:t>
            </w: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5400" w:type="dxa"/>
            <w:vAlign w:val="bottom"/>
          </w:tcPr>
          <w:p>
            <w:pPr>
              <w:ind w:left="1080"/>
              <w:spacing w:after="0"/>
              <w:rPr>
                <w:sz w:val="20"/>
                <w:szCs w:val="20"/>
                <w:color w:val="auto"/>
              </w:rPr>
            </w:pPr>
            <w:r>
              <w:rPr>
                <w:rFonts w:ascii="Arial" w:cs="Arial" w:eastAsia="Arial" w:hAnsi="Arial"/>
                <w:sz w:val="18"/>
                <w:szCs w:val="18"/>
                <w:color w:val="auto"/>
              </w:rPr>
              <w:t>20 years</w:t>
            </w: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54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5-8 years</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400" w:type="dxa"/>
            <w:vAlign w:val="bottom"/>
          </w:tcPr>
          <w:p>
            <w:pPr>
              <w:ind w:left="1080"/>
              <w:spacing w:after="0"/>
              <w:rPr>
                <w:sz w:val="20"/>
                <w:szCs w:val="20"/>
                <w:color w:val="auto"/>
              </w:rPr>
            </w:pPr>
            <w:r>
              <w:rPr>
                <w:rFonts w:ascii="Arial" w:cs="Arial" w:eastAsia="Arial" w:hAnsi="Arial"/>
                <w:sz w:val="18"/>
                <w:szCs w:val="18"/>
                <w:color w:val="auto"/>
              </w:rPr>
              <w:t>The shorter of the lease term or useful life</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 — Unrestricted</w:t>
      </w:r>
    </w:p>
    <w:p>
      <w:pPr>
        <w:spacing w:after="0" w:line="229"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 — Restricted</w:t>
      </w:r>
    </w:p>
    <w:p>
      <w:pPr>
        <w:spacing w:after="0" w:line="229" w:lineRule="exact"/>
        <w:rPr>
          <w:sz w:val="20"/>
          <w:szCs w:val="20"/>
          <w:color w:val="auto"/>
        </w:rPr>
      </w:pPr>
    </w:p>
    <w:p>
      <w:pPr>
        <w:ind w:left="60" w:right="419"/>
        <w:spacing w:after="0" w:line="286" w:lineRule="auto"/>
        <w:rPr>
          <w:sz w:val="20"/>
          <w:szCs w:val="20"/>
          <w:color w:val="auto"/>
        </w:rPr>
      </w:pPr>
      <w:r>
        <w:rPr>
          <w:rFonts w:ascii="Arial" w:cs="Arial" w:eastAsia="Arial" w:hAnsi="Arial"/>
          <w:sz w:val="17"/>
          <w:szCs w:val="17"/>
          <w:color w:val="auto"/>
        </w:rPr>
        <w:t>Restricted cash and cash equivalents primarily represent funds held by our property manager for furniture, fixtures and equipment reserves. In addition, the Company holds certificates of deposit with an original maturity of greater than three months in order to secure its Tennessee workers’ compensation self-insurance obligations.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Supplemental Cash Flow Information</w:t>
      </w:r>
    </w:p>
    <w:p>
      <w:pPr>
        <w:spacing w:after="0" w:line="229" w:lineRule="exact"/>
        <w:rPr>
          <w:sz w:val="20"/>
          <w:szCs w:val="20"/>
          <w:color w:val="auto"/>
        </w:rPr>
      </w:pPr>
    </w:p>
    <w:p>
      <w:pPr>
        <w:ind w:left="60" w:right="719"/>
        <w:spacing w:after="0" w:line="277" w:lineRule="auto"/>
        <w:rPr>
          <w:sz w:val="20"/>
          <w:szCs w:val="20"/>
          <w:color w:val="auto"/>
        </w:rPr>
      </w:pPr>
      <w:r>
        <w:rPr>
          <w:rFonts w:ascii="Arial" w:cs="Arial" w:eastAsia="Arial" w:hAnsi="Arial"/>
          <w:sz w:val="18"/>
          <w:szCs w:val="18"/>
          <w:color w:val="auto"/>
        </w:rPr>
        <w:t>Cash paid for interest, net of amounts from interest rate swaps, for the years ended December 31 was comprised of (amounts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9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interest paid</w:t>
            </w:r>
          </w:p>
        </w:tc>
        <w:tc>
          <w:tcPr>
            <w:tcW w:w="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$ 113,743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$ 121,876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74,821</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Capitalized interest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(3,753)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(10,013)</w:t>
            </w:r>
          </w:p>
        </w:tc>
      </w:tr>
      <w:tr>
        <w:trPr>
          <w:trHeight w:val="209"/>
        </w:trPr>
        <w:tc>
          <w:tcPr>
            <w:tcW w:w="2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paid for interest, net of capitalized interest</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$ 109,990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$ 120,258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64,808</w:t>
            </w: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cash payments of income taxes in 2020, 2019 and 2018 were $1.7 million, $3.6 million and $1.6 million, respectively.</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left="60" w:right="219"/>
        <w:spacing w:after="0" w:line="286" w:lineRule="auto"/>
        <w:rPr>
          <w:sz w:val="20"/>
          <w:szCs w:val="20"/>
          <w:color w:val="auto"/>
        </w:rPr>
      </w:pPr>
      <w:r>
        <w:rPr>
          <w:rFonts w:ascii="Arial" w:cs="Arial" w:eastAsia="Arial" w:hAnsi="Arial"/>
          <w:sz w:val="17"/>
          <w:szCs w:val="17"/>
          <w:color w:val="auto"/>
        </w:rPr>
        <w:t>The Company’s accounts receivable are primarily generated by meetings and convention attendees’ room nights and food and beverage. Receivables arising from these sales are not collateralized. Credit risk associated with the accounts receivable is minimized due to the large and diverse nature of the customer base.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Credit Loss Reserves on Accounts Receivable</w:t>
      </w:r>
    </w:p>
    <w:p>
      <w:pPr>
        <w:spacing w:after="0" w:line="229"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The Company provides credit loss reserves based upon a percentage of accounts receivable that considers historical write-offs, current economic conditions, and management’s expectations about future economic conditions, as well as periodic evaluations of the aging of accounts receivable.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Prepaid Expenses and Other Assets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Prepaid expenses and other assets at December 31 consist of (amounts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18,888</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Supplemental deferred compensation plan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29,174</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Tax rebate receivables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20,389</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Earnest money deposit for potential Block 21 acquisition</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Deferred financing costs on revolving credit facility</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8,493</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17,764</w:t>
            </w: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prepaid expenses and other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100,494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123,845</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Prepaid expenses consist of prepayments for property taxes, insurance and other contracts that will be expensed during the subsequent year. Inventories consist primarily of food and beverage inventory for resale and retail inventory sold in the Entertainment segment. Inventory is carried at the lower of cost or net realizable value. Cost is computed on an average cost basis. Deferred financing costs (“DFCs”) on the Company’s revolving credit facility are included in prepaid expenses and other assets when the related revolving credit facility has no outstanding balance. Other assets include capitalized software costs, non-trade receivables, and investments in joint ventures, among others.</w:t>
      </w:r>
    </w:p>
    <w:p>
      <w:pPr>
        <w:spacing w:after="0" w:line="164"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The Gaylord Rockies joint venture is party to an incentive agreement with the local government that provides that the joint venture is entitled to receive monthly rebates of certain city and state taxes, including property, sales and lodging taxes. The term of the rebate agreement varies by type of tax but ranges from 25-33 years from commencement of the construction of Gaylord Rockies. The joint venture earned $41.4 million and $34.6 million in rebates in 2020 and 2019, respectively, which are generally recorded as a reduction in other hotel expenses in the accompanying consolidated statement of operations for 2020 and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In connection with the Company’s purchase price allocation of the Gaylord Rockies joint venture, as discussed further in Note 4, “Investment in Gaylord Rockies Joint Venture,” the Company acquired certain definite-lived intangibles, which are shown on the accompanying consolidated balance sheets. Included in these intangibles are the original estimated fair value of advanced bookings of $125.5 million and the original estimated fair value related to the Gaylord Hotels trade name, which Marriott owns, of $115.3 million. The advanced bookings asset is being amortized on a straight-line basis over a period of 3.5 years, which corresponds with the period in which the advanced deposits relate, and the value in the trade name is being amortized on a straight-line basis over 30 years, which is the period of the Marriott management agreement.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The gross carrying amount of intangible assets at December 31, 2020 and 2019 was $252.8 million and $252.7 million, respectively. Accumulated amortization of intangible assets at December 31, 2020 and 2019 was $85.8 million and $45.6 million, respectively. Amortization expense related to intangible assets during 2020, 2019 and 2018 was $40.2 million, $40.2 million and $0.2 million, respectively. The estimated amounts of amortization expense for the next five years are as follows (amounts in thousands):</w:t>
      </w:r>
    </w:p>
    <w:p>
      <w:pPr>
        <w:spacing w:after="0" w:line="216"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5740" w:type="dxa"/>
            <w:vAlign w:val="bottom"/>
            <w:shd w:val="clear" w:color="auto" w:fill="CCEEFF"/>
          </w:tcPr>
          <w:p>
            <w:pPr>
              <w:jc w:val="right"/>
              <w:ind w:right="5290"/>
              <w:spacing w:after="0"/>
              <w:rPr>
                <w:sz w:val="20"/>
                <w:szCs w:val="20"/>
                <w:color w:val="auto"/>
              </w:rPr>
            </w:pPr>
            <w:r>
              <w:rPr>
                <w:rFonts w:ascii="Arial" w:cs="Arial" w:eastAsia="Arial" w:hAnsi="Arial"/>
                <w:sz w:val="18"/>
                <w:szCs w:val="18"/>
                <w:color w:val="auto"/>
                <w:w w:val="84"/>
              </w:rPr>
              <w:t>2021</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40,198</w:t>
            </w:r>
          </w:p>
        </w:tc>
      </w:tr>
      <w:tr>
        <w:trPr>
          <w:trHeight w:val="216"/>
        </w:trPr>
        <w:tc>
          <w:tcPr>
            <w:tcW w:w="5740" w:type="dxa"/>
            <w:vAlign w:val="bottom"/>
          </w:tcPr>
          <w:p>
            <w:pPr>
              <w:jc w:val="right"/>
              <w:ind w:right="5290"/>
              <w:spacing w:after="0"/>
              <w:rPr>
                <w:sz w:val="20"/>
                <w:szCs w:val="20"/>
                <w:color w:val="auto"/>
              </w:rPr>
            </w:pPr>
            <w:r>
              <w:rPr>
                <w:rFonts w:ascii="Arial" w:cs="Arial" w:eastAsia="Arial" w:hAnsi="Arial"/>
                <w:sz w:val="18"/>
                <w:szCs w:val="18"/>
                <w:color w:val="auto"/>
                <w:w w:val="84"/>
              </w:rPr>
              <w:t>2022</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22,240</w:t>
            </w:r>
          </w:p>
        </w:tc>
      </w:tr>
      <w:tr>
        <w:trPr>
          <w:trHeight w:val="216"/>
        </w:trPr>
        <w:tc>
          <w:tcPr>
            <w:tcW w:w="5740" w:type="dxa"/>
            <w:vAlign w:val="bottom"/>
            <w:shd w:val="clear" w:color="auto" w:fill="CCEEFF"/>
          </w:tcPr>
          <w:p>
            <w:pPr>
              <w:jc w:val="right"/>
              <w:ind w:right="5290"/>
              <w:spacing w:after="0"/>
              <w:rPr>
                <w:sz w:val="20"/>
                <w:szCs w:val="20"/>
                <w:color w:val="auto"/>
              </w:rPr>
            </w:pPr>
            <w:r>
              <w:rPr>
                <w:rFonts w:ascii="Arial" w:cs="Arial" w:eastAsia="Arial" w:hAnsi="Arial"/>
                <w:sz w:val="18"/>
                <w:szCs w:val="18"/>
                <w:color w:val="auto"/>
                <w:w w:val="84"/>
              </w:rPr>
              <w:t>2023</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r>
      <w:tr>
        <w:trPr>
          <w:trHeight w:val="216"/>
        </w:trPr>
        <w:tc>
          <w:tcPr>
            <w:tcW w:w="5740" w:type="dxa"/>
            <w:vAlign w:val="bottom"/>
          </w:tcPr>
          <w:p>
            <w:pPr>
              <w:jc w:val="right"/>
              <w:ind w:right="5290"/>
              <w:spacing w:after="0"/>
              <w:rPr>
                <w:sz w:val="20"/>
                <w:szCs w:val="20"/>
                <w:color w:val="auto"/>
              </w:rPr>
            </w:pPr>
            <w:r>
              <w:rPr>
                <w:rFonts w:ascii="Arial" w:cs="Arial" w:eastAsia="Arial" w:hAnsi="Arial"/>
                <w:sz w:val="18"/>
                <w:szCs w:val="18"/>
                <w:color w:val="auto"/>
                <w:w w:val="84"/>
              </w:rPr>
              <w:t>2024</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4,044</w:t>
            </w:r>
          </w:p>
        </w:tc>
      </w:tr>
      <w:tr>
        <w:trPr>
          <w:trHeight w:val="216"/>
        </w:trPr>
        <w:tc>
          <w:tcPr>
            <w:tcW w:w="5740" w:type="dxa"/>
            <w:vAlign w:val="bottom"/>
            <w:shd w:val="clear" w:color="auto" w:fill="CCEEFF"/>
          </w:tcPr>
          <w:p>
            <w:pPr>
              <w:jc w:val="right"/>
              <w:ind w:right="5290"/>
              <w:spacing w:after="0"/>
              <w:rPr>
                <w:sz w:val="20"/>
                <w:szCs w:val="20"/>
                <w:color w:val="auto"/>
              </w:rPr>
            </w:pPr>
            <w:r>
              <w:rPr>
                <w:rFonts w:ascii="Arial" w:cs="Arial" w:eastAsia="Arial" w:hAnsi="Arial"/>
                <w:sz w:val="18"/>
                <w:szCs w:val="18"/>
                <w:color w:val="auto"/>
                <w:w w:val="84"/>
              </w:rPr>
              <w:t>2025</w:t>
            </w: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r>
      <w:tr>
        <w:trPr>
          <w:trHeight w:val="209"/>
        </w:trPr>
        <w:tc>
          <w:tcPr>
            <w:tcW w:w="574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74,802</w:t>
            </w:r>
          </w:p>
        </w:tc>
      </w:tr>
      <w:tr>
        <w:trPr>
          <w:trHeight w:val="20"/>
        </w:trPr>
        <w:tc>
          <w:tcPr>
            <w:tcW w:w="5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From time to time, the Company has owned minority interest investments in certain businesses. Generally, non-marketable investments (excluding limited partnerships and limited liability company interests) in which the Company owns less than 20 percent are accounted for using the cost method of accounting, and investments in which the Company owns between 20 percent and 50 percent and limited partnerships, including its investment in Circle, are accounted for using the equity method of accounting.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Payable and Accrued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payable and accrued liabilities at December 31 consist of (amounts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40,238</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Property and other taxes payable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57,668</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76,744</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Accrued salaries and benefits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35,303</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16,520</w:t>
            </w: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38,442</w:t>
            </w:r>
          </w:p>
        </w:tc>
      </w:tr>
      <w:tr>
        <w:trPr>
          <w:trHeight w:val="209"/>
        </w:trPr>
        <w:tc>
          <w:tcPr>
            <w:tcW w:w="20" w:type="dxa"/>
            <w:vAlign w:val="bottom"/>
          </w:tcPr>
          <w:p>
            <w:pPr>
              <w:spacing w:after="0"/>
              <w:rPr>
                <w:sz w:val="18"/>
                <w:szCs w:val="18"/>
                <w:color w:val="auto"/>
              </w:rPr>
            </w:pPr>
          </w:p>
        </w:tc>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accounts payable and accrued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203,121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264,915</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59"/>
        <w:spacing w:after="0" w:line="286" w:lineRule="auto"/>
        <w:rPr>
          <w:sz w:val="20"/>
          <w:szCs w:val="20"/>
          <w:color w:val="auto"/>
        </w:rPr>
      </w:pPr>
      <w:r>
        <w:rPr>
          <w:rFonts w:ascii="Arial" w:cs="Arial" w:eastAsia="Arial" w:hAnsi="Arial"/>
          <w:sz w:val="17"/>
          <w:szCs w:val="17"/>
          <w:color w:val="auto"/>
        </w:rPr>
        <w:t>Deferred revenues consist primarily of deposits on advance bookings of hotel rooms and advance ticket sales at the Company’s tourism properties, as well as uncollected attrition and cancellation fees. Other accrued liabilities include accruals for, among others, purchasing, meeting planner commissions and utilities.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The Company establishes deferred tax assets and liabilities based on the difference between the financial statement and income tax carrying amounts of assets and liabilities using existing tax laws and tax rates. The Company reports a liability for unrecognized tax benefits resulting from uncertain tax positions taken or expected to be taken in a tax return. The Company recognizes interest and penalties, if any, related to unrecognized tax benefits in income tax expense. See Note 12, “Income Taxes,” for more detail on the Company’s income taxes.</w:t>
      </w:r>
    </w:p>
    <w:p>
      <w:pPr>
        <w:spacing w:after="0" w:line="176" w:lineRule="exact"/>
        <w:rPr>
          <w:sz w:val="20"/>
          <w:szCs w:val="20"/>
          <w:color w:val="auto"/>
        </w:rPr>
      </w:pPr>
    </w:p>
    <w:p>
      <w:pPr>
        <w:ind w:left="60" w:right="519"/>
        <w:spacing w:after="0" w:line="301" w:lineRule="auto"/>
        <w:rPr>
          <w:sz w:val="20"/>
          <w:szCs w:val="20"/>
          <w:color w:val="auto"/>
        </w:rPr>
      </w:pPr>
      <w:r>
        <w:rPr>
          <w:rFonts w:ascii="Arial" w:cs="Arial" w:eastAsia="Arial" w:hAnsi="Arial"/>
          <w:sz w:val="16"/>
          <w:szCs w:val="16"/>
          <w:color w:val="auto"/>
        </w:rPr>
        <w:t>The effect on deferred tax assets and liabilities of a change in the tax rate is recognized in income in the period that includes the enactment date of the rate change. The Company records a valuation allowance to reduce its deferred tax assets to the amount that is more likely than not to be realized. The Company has considered projected future taxable income and ongoing feasible tax planning strategies in assessing the need for a valuation allowance.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Management Rights Proceeds</w:t>
      </w:r>
    </w:p>
    <w:p>
      <w:pPr>
        <w:spacing w:after="0" w:line="229"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The Company has deferred and amortizes the proceeds received from Marriott that were allocated to the sale of the management rights, as discussed further in Note 6, “Deferred Management Rights Proceeds,” on a straight-line basis over the term of the hotel management agreements, including extensions, as a reduction in management fee expense in the accompanying consolidated statements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liabilities at December 31 consist of (amounts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Pension and postretirement benefits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32,686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32,670</w:t>
            </w: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Deferred compensation liability</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31,277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29,174</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27,819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r>
      <w:tr>
        <w:trPr>
          <w:trHeight w:val="209"/>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other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92,779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64,971</w:t>
            </w: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DFCs consist of loan fees and other costs of financing that are amortized over the term of the related financing agreements, using the effective interest method, and are generally presented as a reduction of the related debt liability. DFCs on the Company’s revolving credit facility are included in prepaid expenses and other assets when the related revolving credit facility has no outstanding balance. During 2020, 2019 and 2018, DFCs of $7.9 million, $7.7 million and $5.6 million, respectively, were amortized and recorded as interest expense in the accompanying consolidated statements of operations.</w:t>
      </w:r>
    </w:p>
    <w:p>
      <w:pPr>
        <w:spacing w:after="0" w:line="161"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As a result of refinancing portions of the Company’s outstanding debt, the Company wrote off $0.3 million, $3.1 million and $2.0 million of DFCs during 2020, 2019 and 2018, respectively, which are included in interest expense in the accompanying consolidated statements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ind w:left="60" w:right="319"/>
        <w:spacing w:after="0" w:line="257" w:lineRule="auto"/>
        <w:rPr>
          <w:sz w:val="20"/>
          <w:szCs w:val="20"/>
          <w:color w:val="auto"/>
        </w:rPr>
      </w:pPr>
      <w:r>
        <w:rPr>
          <w:rFonts w:ascii="Arial" w:cs="Arial" w:eastAsia="Arial" w:hAnsi="Arial"/>
          <w:sz w:val="18"/>
          <w:szCs w:val="18"/>
          <w:color w:val="auto"/>
        </w:rPr>
        <w:t>The noncontrolling interest in the Gaylord Rockies joint venture represents the minority partners’ proportionate share of the assets and liabilities of the joint venture. The noncontrolling interest is classified in the mezzanine section of the consolidated balance sheets as the related redemption options do not meet the requirements for permanent equity classification because these redemption options may be redeemed by the holder as described in Note 4, “Investment in Gaylord Rockies Joint Venture.”</w:t>
      </w:r>
    </w:p>
    <w:p>
      <w:pPr>
        <w:spacing w:after="0" w:line="188"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The initial value of the noncontrolling interest, which includes certain put rights, was estimated based on the purchase price allocation performed and is discussed further in Note 4, “Investment in Gaylord Rockies Joint Venture.” In general, the carrying value on a go-forward basis will be based on the greater of the accumulated historical cost or the put right redemption value, and at December 31, 2020, approximates the fair value of the noncontrolling interest. Beginning in 2019, an adjustment is also made for the minority partners’ proportionate share of income or loss in the accompanying consolidated statement of operations.</w:t>
      </w:r>
    </w:p>
    <w:p>
      <w:pPr>
        <w:spacing w:after="0" w:line="192"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The noncontrolling interest in the Operating Partnership represents the limited partners’ proportionate share of the equity of the Operating Partnership. The noncontrolling interest is classified in the equity section of the consolidated balance sheets, separately from stockholders’ equity, as the related redemptions options are redeemable for cash, or if the Company so elects, in unregistered shares of the Company’s common stock, as discussed further in Note 11, “Equity.” An adjustment is made for the limited partners’ proportionate share of income or loss in the accompanying consolidated statement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from the customer and relieves the liability when payments are remitted to the applicable governmental agency.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revenues disaggregated by major source are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Hotel group rooms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312,364</w:t>
            </w: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Hotel transient rooms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83,112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169,821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142,006</w:t>
            </w: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Hotel food and beverage - banquets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116,624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360,181</w:t>
            </w: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Hotel food and beverage - outlets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70,914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207,158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159,662</w:t>
            </w: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Hotel other</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106,789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153,690</w:t>
            </w: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Entertainment admissions/ticketing</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81,434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69,291</w:t>
            </w: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 food and beverage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45,961</w:t>
            </w:r>
          </w:p>
        </w:tc>
      </w:tr>
      <w:tr>
        <w:trPr>
          <w:trHeight w:val="216"/>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Entertainment retail and other</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31,963</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524,475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1,604,566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1,275,118</w:t>
            </w:r>
          </w:p>
        </w:tc>
      </w:tr>
      <w:tr>
        <w:trPr>
          <w:trHeight w:val="20"/>
        </w:trPr>
        <w:tc>
          <w:tcPr>
            <w:tcW w:w="59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13"/>
        </w:trPr>
        <w:tc>
          <w:tcPr>
            <w:tcW w:w="7980" w:type="dxa"/>
            <w:vAlign w:val="bottom"/>
            <w:gridSpan w:val="7"/>
          </w:tcPr>
          <w:p>
            <w:pPr>
              <w:ind w:left="20"/>
              <w:spacing w:after="0"/>
              <w:rPr>
                <w:sz w:val="20"/>
                <w:szCs w:val="20"/>
                <w:color w:val="auto"/>
              </w:rPr>
            </w:pPr>
            <w:r>
              <w:rPr>
                <w:rFonts w:ascii="Arial" w:cs="Arial" w:eastAsia="Arial" w:hAnsi="Arial"/>
                <w:sz w:val="18"/>
                <w:szCs w:val="18"/>
                <w:color w:val="auto"/>
                <w:w w:val="97"/>
              </w:rPr>
              <w:t>The Company’s Hospitality segment revenues disaggregated by location are as follows (in thousands):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8"/>
        </w:trPr>
        <w:tc>
          <w:tcPr>
            <w:tcW w:w="59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Gaylord Opryland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133,333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365,999</w:t>
            </w: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Gaylord Palms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77,819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208,298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200,763</w:t>
            </w: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Gaylord Texan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111,236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260,418</w:t>
            </w: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Gaylord National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52,026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281,367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274,299</w:t>
            </w: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Gaylord Rockies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AC Hotel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10,761</w:t>
            </w: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Inn at Opryland and other</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15,663</w:t>
            </w:r>
          </w:p>
        </w:tc>
      </w:tr>
      <w:tr>
        <w:trPr>
          <w:trHeight w:val="209"/>
        </w:trPr>
        <w:tc>
          <w:tcPr>
            <w:tcW w:w="5980" w:type="dxa"/>
            <w:vAlign w:val="bottom"/>
          </w:tcPr>
          <w:p>
            <w:pPr>
              <w:ind w:left="20"/>
              <w:spacing w:after="0"/>
              <w:rPr>
                <w:sz w:val="20"/>
                <w:szCs w:val="20"/>
                <w:color w:val="auto"/>
              </w:rPr>
            </w:pPr>
            <w:r>
              <w:rPr>
                <w:rFonts w:ascii="Arial" w:cs="Arial" w:eastAsia="Arial" w:hAnsi="Arial"/>
                <w:sz w:val="18"/>
                <w:szCs w:val="18"/>
                <w:color w:val="auto"/>
              </w:rPr>
              <w:t>Total Hospitality segment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466,045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1,421,446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1,127,903</w:t>
            </w: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majority of the Company’s Entertainment segment revenues are concentrated in Tennessee.</w:t>
      </w:r>
    </w:p>
    <w:p>
      <w:pPr>
        <w:spacing w:after="0" w:line="225"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The Company records deferred revenues when cash payments are received in advance of its performance obligations, primarily related to advanced deposits on hotel rooms in its Hospitality segment and advanced ticketing in its Entertainment segment. At December 31, 2020 and 2019, the Company had $70.4 million and $76.7 million, respectively, in deferred revenues, which are included in accounts payable and accrued liabilities in the accompanying consolidated balance sheets. Of the amount outstanding at December 31, 2019, approximately $45.4 million was recognized in revenues during 2020.</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Fees</w:t>
      </w:r>
    </w:p>
    <w:p>
      <w:pPr>
        <w:spacing w:after="0" w:line="229"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The Company pays Marriott a base management fee of approximately 2% of revenues for the wholly-owned properties that Marriott manages and a base management fee of approximately 3% of revenues for Gaylord Rockies, as well as an incentive fee for each managed property that is based on profitability. The Company incurred $10.3 million, $31.6 million and $23.3 million in base management fees to Marriott during 2020, 2019 and 2018, respectively. The Company incurred $0, $12.6 million and $11.8 million in incentive fees to Marriott during 2020, 2019 and 2018, respectively. Management fees are presented in the consolidated statements of operations net of the amortization of the deferred management rights proceeds discussed further in Note 6, “Deferred Management Rights Proceeds.”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Advertising costs are expensed as incurred and were $23.0 million, $53.2 million, and $41.2 million for 2020, 2019 and 2018,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left="60" w:right="379"/>
        <w:spacing w:after="0" w:line="311" w:lineRule="auto"/>
        <w:rPr>
          <w:sz w:val="20"/>
          <w:szCs w:val="20"/>
          <w:color w:val="auto"/>
        </w:rPr>
      </w:pPr>
      <w:r>
        <w:rPr>
          <w:rFonts w:ascii="Arial" w:cs="Arial" w:eastAsia="Arial" w:hAnsi="Arial"/>
          <w:sz w:val="16"/>
          <w:szCs w:val="16"/>
          <w:color w:val="auto"/>
        </w:rPr>
        <w:t>The Company has stock-based employee compensation plans, which are described more fully in Note 8, “Stock Plans.” The Company accounts for its stock-based compensation plan under the provisions of Financial Accounting Standards Board (“FASB”) Accounting Standards Codification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Preopening Costs</w:t>
      </w:r>
    </w:p>
    <w:p>
      <w:pPr>
        <w:spacing w:after="0" w:line="229"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The Company expenses the costs associated with start-up activities and organization costs associated with its development or reopening of hotels and significant attractions as incurred. The Company’s preopening costs during 2020 include costs associated with Ole Red Orlando, which opened in June 2020, and the Gaylord Palms expansion, which is expected to be completed in April 2021. The Company’s preopening costs during 2019 include costs associated with Ole Red Gatlinburg, which opened in March 2019, costs associated with the opening of Gaylord Rockies, which opened on a fully operational basis in the first quarter of 2019, and costs associated with the expansion at Gaylord Palms. The Company’s preopening costs during 2018 include costs associated with an expansion of the guest rooms and convention space at Gaylord Texan, which opened in May 2018, costs associated with Ole Red Nashville, which opened in May 2018, and costs associated with SoundWaves, an indoor/outdoor luxury waterpark at Gaylord Opryland, the indoor portion of which opened in December 2018.</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left="60" w:right="299"/>
        <w:spacing w:after="0" w:line="286" w:lineRule="auto"/>
        <w:rPr>
          <w:sz w:val="20"/>
          <w:szCs w:val="20"/>
          <w:color w:val="auto"/>
        </w:rPr>
      </w:pPr>
      <w:r>
        <w:rPr>
          <w:rFonts w:ascii="Arial" w:cs="Arial" w:eastAsia="Arial" w:hAnsi="Arial"/>
          <w:sz w:val="17"/>
          <w:szCs w:val="17"/>
          <w:color w:val="auto"/>
        </w:rPr>
        <w:t>The Company has entered into and may in the future enter into additional interest rate swap agreements to hedge against interest rate fluctuations. Neither the Company nor the Gaylord Rockies joint venture uses derivatives for trading or speculative purposes and currently does not hold any derivatives that are not designated as hedges.</w:t>
      </w:r>
    </w:p>
    <w:p>
      <w:pPr>
        <w:spacing w:after="0" w:line="138" w:lineRule="exact"/>
        <w:rPr>
          <w:sz w:val="20"/>
          <w:szCs w:val="20"/>
          <w:color w:val="auto"/>
        </w:rPr>
      </w:pPr>
    </w:p>
    <w:p>
      <w:pPr>
        <w:ind w:left="60" w:right="219"/>
        <w:spacing w:after="0" w:line="293" w:lineRule="auto"/>
        <w:rPr>
          <w:sz w:val="20"/>
          <w:szCs w:val="20"/>
          <w:color w:val="auto"/>
        </w:rPr>
      </w:pPr>
      <w:r>
        <w:rPr>
          <w:rFonts w:ascii="Arial" w:cs="Arial" w:eastAsia="Arial" w:hAnsi="Arial"/>
          <w:sz w:val="16"/>
          <w:szCs w:val="16"/>
          <w:color w:val="auto"/>
        </w:rPr>
        <w:t>For derivatives designated as and that qualify as cash flow hedges of interest rate risk, the gain or loss on the derivative resulting from recording each instrument at estimated fair value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$16.0 million will be reclassified from accumulated other comprehensive loss to interest expense in the next twelve months.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of Long-Lived and Other Assets</w:t>
      </w:r>
    </w:p>
    <w:p>
      <w:pPr>
        <w:spacing w:after="0" w:line="229" w:lineRule="exact"/>
        <w:rPr>
          <w:sz w:val="20"/>
          <w:szCs w:val="20"/>
          <w:color w:val="auto"/>
        </w:rPr>
      </w:pPr>
    </w:p>
    <w:p>
      <w:pPr>
        <w:jc w:val="both"/>
        <w:ind w:left="60" w:right="219"/>
        <w:spacing w:after="0" w:line="263" w:lineRule="auto"/>
        <w:rPr>
          <w:sz w:val="20"/>
          <w:szCs w:val="20"/>
          <w:color w:val="auto"/>
        </w:rPr>
      </w:pPr>
      <w:r>
        <w:rPr>
          <w:rFonts w:ascii="Arial" w:cs="Arial" w:eastAsia="Arial" w:hAnsi="Arial"/>
          <w:sz w:val="18"/>
          <w:szCs w:val="18"/>
          <w:color w:val="auto"/>
        </w:rPr>
        <w:t>In accounting for the Company’s long-lived and other assets (including its property and equipment and intangible assets), the Company assesses its long-lived assets for impairment whenever events or changes in circumstances indicate that the carrying value of the assets or asset group may not be recoverable.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Recoverability of property and equipment and definite-lived intangible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difference between the assets’ carrying amount and their fair value, which is estimated using discounted cash flow analyses that utilize comprehensive cash flow projections, as well as observable market data to the extent available.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(Loss) Per Share</w:t>
      </w:r>
    </w:p>
    <w:p>
      <w:pPr>
        <w:spacing w:after="0" w:line="229"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Income (loss) per share is measured as basic earnings per share and diluted earnings per share. Basic earnings per share is computed by dividing net income (loss) by the weighted average number of common shares outstanding during the year. Diluted earnings per share is computed by dividing net income (loss) by the weighted average number of common shares outstanding after considering the effect of conversion of dilutive instruments, calculated using the treasury stock method or if-converted method, as applicable. Net income (loss) per share amounts are calculated as follows for the years ended December 31 (income and share amounts in thousands):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5"/>
          </w:tcPr>
          <w:p>
            <w:pPr>
              <w:jc w:val="right"/>
              <w:ind w:right="16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available to common stockholders</w:t>
            </w: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(417,391)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54,962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dilutive stock-based compensation</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4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rPr>
              <w:t>Net income (loss) available to common stockholders —</w:t>
            </w:r>
          </w:p>
        </w:tc>
        <w:tc>
          <w:tcPr>
            <w:tcW w:w="9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 (417,391)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54,962</w:t>
            </w:r>
          </w:p>
        </w:tc>
        <w:tc>
          <w:tcPr>
            <w:tcW w:w="320" w:type="dxa"/>
            <w:vAlign w:val="bottom"/>
            <w:gridSpan w:val="4"/>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assuming dilution</w:t>
            </w:r>
          </w:p>
        </w:tc>
        <w:tc>
          <w:tcPr>
            <w:tcW w:w="900" w:type="dxa"/>
            <w:vAlign w:val="bottom"/>
            <w:gridSpan w:val="4"/>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320" w:type="dxa"/>
            <w:vAlign w:val="bottom"/>
            <w:gridSpan w:val="4"/>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$ 145,794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51,609</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Effect of dilutive 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put rights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40" w:type="dxa"/>
            <w:vAlign w:val="bottom"/>
          </w:tcPr>
          <w:p>
            <w:pPr>
              <w:ind w:left="100"/>
              <w:spacing w:after="0" w:line="182" w:lineRule="exact"/>
              <w:rPr>
                <w:sz w:val="20"/>
                <w:szCs w:val="20"/>
                <w:color w:val="auto"/>
              </w:rPr>
            </w:pPr>
            <w:r>
              <w:rPr>
                <w:rFonts w:ascii="Arial" w:cs="Arial" w:eastAsia="Arial" w:hAnsi="Arial"/>
                <w:sz w:val="18"/>
                <w:szCs w:val="18"/>
                <w:color w:val="auto"/>
                <w:w w:val="95"/>
              </w:rPr>
              <w:t>Net income available to common stockholders — assuming</w:t>
            </w:r>
          </w:p>
        </w:tc>
        <w:tc>
          <w:tcPr>
            <w:tcW w:w="900" w:type="dxa"/>
            <w:vAlign w:val="bottom"/>
            <w:gridSpan w:val="4"/>
            <w:vMerge w:val="restart"/>
          </w:tcPr>
          <w:p>
            <w:pPr>
              <w:jc w:val="right"/>
              <w:spacing w:after="0"/>
              <w:rPr>
                <w:sz w:val="20"/>
                <w:szCs w:val="20"/>
                <w:color w:val="auto"/>
              </w:rPr>
            </w:pPr>
            <w:r>
              <w:rPr>
                <w:rFonts w:ascii="Arial" w:cs="Arial" w:eastAsia="Arial" w:hAnsi="Arial"/>
                <w:sz w:val="18"/>
                <w:szCs w:val="18"/>
                <w:color w:val="auto"/>
              </w:rPr>
              <w:t>$ 145,794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51,975</w:t>
            </w:r>
          </w:p>
        </w:tc>
        <w:tc>
          <w:tcPr>
            <w:tcW w:w="320" w:type="dxa"/>
            <w:vAlign w:val="bottom"/>
            <w:gridSpan w:val="4"/>
            <w:vMerge w:val="restart"/>
          </w:tcPr>
          <w:p>
            <w:pPr>
              <w:ind w:left="16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dilution</w:t>
            </w:r>
          </w:p>
        </w:tc>
        <w:tc>
          <w:tcPr>
            <w:tcW w:w="90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320" w:type="dxa"/>
            <w:vAlign w:val="bottom"/>
            <w:gridSpan w:val="4"/>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40" w:type="dxa"/>
            <w:vAlign w:val="bottom"/>
            <w:tcBorders>
              <w:top w:val="single" w:sz="8" w:color="CCEEFF"/>
            </w:tcBorders>
            <w:gridSpan w:val="3"/>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$ 264,670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51,294</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dilutive stock-based compensation</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4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w w:val="95"/>
              </w:rPr>
              <w:t>Net income available to common stockholders — assuming</w:t>
            </w:r>
          </w:p>
        </w:tc>
        <w:tc>
          <w:tcPr>
            <w:tcW w:w="9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$ 264,670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51,507</w:t>
            </w:r>
          </w:p>
        </w:tc>
        <w:tc>
          <w:tcPr>
            <w:tcW w:w="320" w:type="dxa"/>
            <w:vAlign w:val="bottom"/>
            <w:gridSpan w:val="4"/>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dilution</w:t>
            </w:r>
          </w:p>
        </w:tc>
        <w:tc>
          <w:tcPr>
            <w:tcW w:w="900" w:type="dxa"/>
            <w:vAlign w:val="bottom"/>
            <w:gridSpan w:val="4"/>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320" w:type="dxa"/>
            <w:vAlign w:val="bottom"/>
            <w:gridSpan w:val="4"/>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For 2020, the effect of dilutive stock-based compensation was the equivalent of 0.1 million shares of common stock outstanding. Because the Company had a loss available to common stockholders in 2020, these incremental shares were excluded from the computation of dilutive earnings per share as the effect of their inclusion would have been anti-dilutive.</w:t>
      </w:r>
    </w:p>
    <w:p>
      <w:pPr>
        <w:spacing w:after="0" w:line="149"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As more fully discussed in Note 4, “Investment in Gaylord Rockies Joint Venture,” certain affiliates of Ares Management, L.P. (“Ares”) each had a put right to require the Company to purchase their joint venture interests in the Gaylord Rockies joint venture in consideration of cash or operating partnership units (“OP Units”) of the Operating Partnership. These put rights were exercised in 2020. The OP Units held by the noncontrolling interest holders have been excluded from the denominator of the diluted loss per share calculation for 2020 as there would be no effect on the calculation of diluted earnings per share because the loss attributable to the OP Units held by the noncontrolling interest holders would also be subtracted to derive net loss available to common shareholders.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Accounting Estimates</w:t>
      </w:r>
    </w:p>
    <w:p>
      <w:pPr>
        <w:spacing w:after="0" w:line="229"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from those estimates.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Newly Issued Accounting Standards</w:t>
      </w:r>
    </w:p>
    <w:p>
      <w:pPr>
        <w:spacing w:after="0" w:line="229" w:lineRule="exact"/>
        <w:rPr>
          <w:sz w:val="20"/>
          <w:szCs w:val="20"/>
          <w:color w:val="auto"/>
        </w:rPr>
      </w:pPr>
    </w:p>
    <w:p>
      <w:pPr>
        <w:ind w:left="60" w:right="119"/>
        <w:spacing w:after="0" w:line="285" w:lineRule="auto"/>
        <w:rPr>
          <w:sz w:val="20"/>
          <w:szCs w:val="20"/>
          <w:color w:val="auto"/>
        </w:rPr>
      </w:pPr>
      <w:r>
        <w:rPr>
          <w:rFonts w:ascii="Arial" w:cs="Arial" w:eastAsia="Arial" w:hAnsi="Arial"/>
          <w:sz w:val="16"/>
          <w:szCs w:val="16"/>
          <w:color w:val="auto"/>
        </w:rPr>
        <w:t>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(ASC 842), that requires lessees to put most leases on their balance sheet, but recognize expenses on their income statements in a manner similar to previous accounting. ASC 842 also eliminates the required use of bright-line tests for determining lease classification. The Company adopted ASC 842 as of January 1, 2019 using the modified retrospective approach. Existing leases were recorded at the adoption date and comparative periods were not restated and are presented based on previous existing guidance. The Company also adopted several practical expedients, which allowed the Company to avoid reassessing (i) whether an expired or existing contract meets the definition of a lease; (ii) the lease classification at the adoption date for existing leases; and (iii) whether costs previously capitalized as initial direct costs would continue to be amortized. In addition, the Company elected to adopt a practical expedient that allows the Company to avoid reassessing existing or expired land easements that were not previously accounted for as a lease, as well as a practical expedient that allows the Company to avoid separating nonlease components from lease components and instead to account for each separate lease component and related nonlease component as a single lease component. As permitted, the Company has elected to not apply the recognition requirements of ASC 842 to short-term leases. Adoption of this new standard resulted in the recording of right-of-use operating lease assets and operating lease liabilities of $100.9 million as of January 1, 2019. However, after considering the Company’s previous straight-line lease liability of $100.1 million, the Company recorded $0.8 million in net right-of-use assets related to its operating leases as of January 1, 2019. Right-of-use assets are recorded in prepaid expenses and other assets in the accompanying consolidated balance sheets at December 31, 2020 and 2019. See Note 2, “Property and Equipment,” and Note 7, “Leases,” for additional disclosures regarding the Company’s leases.</w:t>
      </w:r>
    </w:p>
    <w:p>
      <w:pPr>
        <w:spacing w:after="0" w:line="171"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In June 2016, the FASB issued ASU No. 2016-13, “</w:t>
      </w:r>
      <w:r>
        <w:rPr>
          <w:rFonts w:ascii="Arial" w:cs="Arial" w:eastAsia="Arial" w:hAnsi="Arial"/>
          <w:sz w:val="17"/>
          <w:szCs w:val="17"/>
          <w:i w:val="1"/>
          <w:iCs w:val="1"/>
          <w:color w:val="auto"/>
        </w:rPr>
        <w:t>Financial Instruments – Credit Losses – Measurement of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on Financial Instruments</w:t>
      </w:r>
      <w:r>
        <w:rPr>
          <w:rFonts w:ascii="Arial" w:cs="Arial" w:eastAsia="Arial" w:hAnsi="Arial"/>
          <w:sz w:val="17"/>
          <w:szCs w:val="17"/>
          <w:color w:val="auto"/>
        </w:rPr>
        <w:t>,” which changes how entities measure credit losses for most financial assets and certain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that are not measured at fair value through net income. The ASU replaces the current “incurred loss” approach with an “expected loss” model for instruments measured at amortized cost. For trade and other receivables, held-to-maturity debt securities, loans and other instruments, entities are required to use a new forward-looking “expected loss” model that generally will result in the earlier recognition of allowances for losses. The Company has applied these amendments with a modified-retrospective approach, with a cumulative-effect adjustment to retained earnings as of the beginning of period of adoption. For debt securities for which an other-than-temporary impairment has been previously recognized, a prospective transition approach for the prior other-than-temporary impairment is required. The Company adopted this ASU in the first quarter of 2020 and recorded an adjustment to beginning retained earnings of $5.3 million and an adjustment to accumulated other comprehensive loss of $2.2 million. See Note 3, “Notes Receivable,” for additional disclosure.</w:t>
      </w:r>
    </w:p>
    <w:p>
      <w:pPr>
        <w:spacing w:after="0" w:line="179"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In March 2020, the FASB issued ASU No. 2020-04, “</w:t>
      </w:r>
      <w:r>
        <w:rPr>
          <w:rFonts w:ascii="Arial" w:cs="Arial" w:eastAsia="Arial" w:hAnsi="Arial"/>
          <w:sz w:val="16"/>
          <w:szCs w:val="16"/>
          <w:i w:val="1"/>
          <w:iCs w:val="1"/>
          <w:color w:val="auto"/>
        </w:rPr>
        <w:t>Reference Rate Reform – Facilitation of the Effects of 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Reform on Financial Reporting</w:t>
      </w:r>
      <w:r>
        <w:rPr>
          <w:rFonts w:ascii="Arial" w:cs="Arial" w:eastAsia="Arial" w:hAnsi="Arial"/>
          <w:sz w:val="16"/>
          <w:szCs w:val="16"/>
          <w:color w:val="auto"/>
        </w:rPr>
        <w:t>,” which provides temporary optional expedients and exceptions to the existing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modifications and hedge accounting to ease the financial reporting burdens of the expected market transition from the London Interbank Offered Rate (“LIBOR”) and other interbank offered rates to alternative reference rates, such as the Secured Overnight Financing Rate (“SOFR”). The guidance in ASU 2020-04 is optional, effective immediately, and may be elected over time as reference rate reform activities occur generally through December 31, 2022. During 2020,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this guidance and may apply other elections as applicable as additional market changes occur.</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In October 2020, the FASB issued ASU No. 2020-09, “</w:t>
      </w:r>
      <w:r>
        <w:rPr>
          <w:rFonts w:ascii="Arial" w:cs="Arial" w:eastAsia="Arial" w:hAnsi="Arial"/>
          <w:sz w:val="18"/>
          <w:szCs w:val="18"/>
          <w:i w:val="1"/>
          <w:iCs w:val="1"/>
          <w:color w:val="auto"/>
        </w:rPr>
        <w:t>Debt – Amendments to SEC Paragraphs Pursuant to SEC Release</w:t>
      </w:r>
      <w:r>
        <w:rPr>
          <w:rFonts w:ascii="Arial" w:cs="Arial" w:eastAsia="Arial" w:hAnsi="Arial"/>
          <w:sz w:val="18"/>
          <w:szCs w:val="18"/>
          <w:color w:val="auto"/>
        </w:rPr>
        <w:t xml:space="preserve"> </w:t>
      </w:r>
      <w:r>
        <w:rPr>
          <w:rFonts w:ascii="Arial" w:cs="Arial" w:eastAsia="Arial" w:hAnsi="Arial"/>
          <w:sz w:val="18"/>
          <w:szCs w:val="18"/>
          <w:i w:val="1"/>
          <w:iCs w:val="1"/>
          <w:color w:val="auto"/>
        </w:rPr>
        <w:t>No. 33-10762</w:t>
      </w:r>
      <w:r>
        <w:rPr>
          <w:rFonts w:ascii="Arial" w:cs="Arial" w:eastAsia="Arial" w:hAnsi="Arial"/>
          <w:sz w:val="18"/>
          <w:szCs w:val="18"/>
          <w:color w:val="auto"/>
        </w:rPr>
        <w:t>,” which addresses disclosure rules on guaranteed debt securities offerings. The new rules allow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information regarding issuer and guarantor subsidiaries, as well as the option to provide the required disclosures in a footnote to the consolidated financial statements or in management’s discussion and analysis of financial condition and results of operations. The updated guidance is effective for the Company in January 2021; however, early adoption is permitted. The Company elected to adopt this guidance in the third quarter of 2020 and has included the applicable disclosures within management’s discussion and analysis of financial condition and results of operations in this Form 10-K.</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Property and Equipment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Property and equipment at December 31 is recorded at cost, with the exception of right-of-use finance leases and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Gaylord Rockies joint venture as discussed below, and summarized as follows (amounts in thousands):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349,024</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3,462,218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3,432,136</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960,666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968,858</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Right-of-use finance lease assets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82,906</w:t>
            </w:r>
          </w:p>
        </w:tc>
      </w:tr>
      <w:tr>
        <w:trPr>
          <w:trHeight w:val="209"/>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4,942,199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4,834,537</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(1,824,952)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(1,704,285)</w:t>
            </w:r>
          </w:p>
        </w:tc>
      </w:tr>
      <w:tr>
        <w:trPr>
          <w:trHeight w:val="210"/>
        </w:trPr>
        <w:tc>
          <w:tcPr>
            <w:tcW w:w="5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3,117,247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3,130,252</w:t>
            </w: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Property and equipment includes all property and equipment of the Gaylord Rockies joint venture, which was recorded at fair value as of December 31, 2018, according to the Company’s purchase price allocation described in Note 4, “Investment in Gaylord Rockies Joint Venture.” Depreciation expense, including amortization of assets under finance lease obligations, during 2020, 2019 and 2018 was $173.3 million, $172.2 million, and $119.5 million, respectively.</w:t>
      </w:r>
    </w:p>
    <w:p>
      <w:pPr>
        <w:spacing w:after="0" w:line="157"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In June 2017, the Company entered into an agreement with the Industrial Development Board of the Metropolitan Government of Nashville and Davidson County (the “Board”) to implement a tax abatement plan related to Gaylord Opryland. The tax abatement plan provides for the capping of real property taxes for a period of eight years by legally transferring title to the Gaylord Opryland real property to the Board. The Board financed the acquisition of the Gaylord Opryland real property by issuing a $650 million industrial revenue bond to the Company. The Board then leased this property back to the Company. The Company is obligated to make lease payments equal to the debt service on the industrial revenue bond. No cash was exchanged, and no cash will be exchanged in connection with the Company’s lease payments under the lease. The tax abatement period extends through the term of the lease, which coincides with the nine-year maturity of the bond. At any time, the Company has the option to repurchase the real property at a de minimis amount. Due to the form of these transactions, the Company has not recorded the bond or the lease obligation associated with the sale lease-back transaction, and the cost of the Gaylord Opryland real property remains recorded on the balance sheet and is being depreciated over its estimated useful life.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Notes Receivable</w:t>
      </w:r>
    </w:p>
    <w:p>
      <w:pPr>
        <w:spacing w:after="0" w:line="229"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In connection with the development of Gaylord National, Prince George’s County, Maryland (“the County”) issued a bond with a face value of $95 million (“Series A Bond”) and an additional bond with a face value of $50 million (“Series B Bond”), which were delivered to the Company upon substantial completion and opening of Gaylord National on April 2, 2008. The interest rate on the Series A Bond and Series B Bond is 8.0% and 10.0%, respectively. The maturity date of the Series A Bond and the Series B Bond is July 1, 2034 and September 1, 2037, respectively.</w:t>
      </w:r>
    </w:p>
    <w:p>
      <w:pPr>
        <w:spacing w:after="0" w:line="176"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color w:val="auto"/>
        </w:rPr>
        <w:t>Upon receipt in 2008, the Company calculated the present value of the future debt service payments from the Series A Bond and Series B Bond based on their effective interest rates of 8.04% and 11.42%, respectively, and recorded the notes receivable at their discounted values of $93.8 million and $38.3 million, respectively. The Company records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amortization of discount on these notes receivable as interest income over the terms of the notes. The Company is currently holding the bonds, which have aggregate carrying values and approximate fair values of $71.9 million and $110.1 million at December 31, 2020 and 2019, respectively, net of a credit loss reserve of $38.0 million and $0, respectively. The Company is receiving the debt service on the notes receivable, which are payable from tax increments, hotel taxes and special hotel rental taxes generated from the development through the maturity date. The Company’s estimate of credit loss reserves is sensitive to the significant assumptions, which include the projections of hotel taxes (which are based on expected hotel revenues) and property taxes, both of which are affected by expectations about future market and economic conditions, particularly those in the Washington D.C. market. These assumptions are based on Level 3 inputs. Further, such assumptions are judgmental as the bonds and related projected cash flows continue for an extending period of time through 2037 and include uncertainty of the impact of the COVID-19 pandemic.</w:t>
      </w:r>
    </w:p>
    <w:p>
      <w:pPr>
        <w:spacing w:after="0" w:line="168" w:lineRule="exact"/>
        <w:rPr>
          <w:sz w:val="20"/>
          <w:szCs w:val="20"/>
          <w:color w:val="auto"/>
        </w:rPr>
      </w:pPr>
    </w:p>
    <w:p>
      <w:pPr>
        <w:ind w:left="60" w:right="179"/>
        <w:spacing w:after="0" w:line="270" w:lineRule="auto"/>
        <w:rPr>
          <w:sz w:val="20"/>
          <w:szCs w:val="20"/>
          <w:color w:val="auto"/>
        </w:rPr>
      </w:pPr>
      <w:r>
        <w:rPr>
          <w:rFonts w:ascii="Arial" w:cs="Arial" w:eastAsia="Arial" w:hAnsi="Arial"/>
          <w:sz w:val="17"/>
          <w:szCs w:val="17"/>
          <w:color w:val="auto"/>
        </w:rPr>
        <w:t>The Company has the intent and ability to hold the Series A Bond and Series B Bond to maturity and had at inception expected to receive all debt service payments due. As a result of reduced long-range tax revenue projections over the remaining life of the Series B Bond, in 2017, the Company no longer believed it would receive all debt service payments due under the note, and the Company considered the Series B Bond to be other-than-temporarily impaired (“OTTI”). The amount of the OTTI related to changing market conditions, or the increase in the discount rate, of $6.5 million was recorded as an increase to other comprehensive loss in 2017 and is amortized as an adjustment to the carrying value of the Series B Bond in the accompanying consolidated balance sheets. The discount rate was determined based on current market interest rates of notes receivable with comparable market ratings and current expectations about the timing of debt service payments under the note.</w:t>
      </w:r>
    </w:p>
    <w:p>
      <w:pPr>
        <w:spacing w:after="0" w:line="181"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In the first quarter 2020, in accordance to the adoption of ASU No. 2016-13, as discussed in Note 1, the Company recorded an initial transition adjustment of $5.2 million and has since performed its quarterly assessment of credit losses under the new standard, which considers the estimate of projected tax revenues that will service the bonds over its remaining term. These tax revenue projections were updated each quarter in connection with the Company’s preparation of its quarterly financial statements as a result of the closure of Gaylord National during the COVID-19 pandemic and to reflect updated industry projections as to future anticipated operations of the hotel. As a result of these reduced tax revenue projections over the remaining life of the bonds, the Company increased its credit loss reserve by $38.0 million in 2020, which includes the initial transition adjustment. At December 31, 2020, the Series B Bond is fully reserved. The Series A Bond is of higher priority than other tranches which fall between the Company’s two issuances.</w:t>
      </w:r>
    </w:p>
    <w:p>
      <w:pPr>
        <w:spacing w:after="0" w:line="166"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During 2020, 2019 and 2018, the Company recorded interest income of $6.2 million, $10.2 million and $10.1 million, respectively, on these bonds. The Company received payments of $8.8 million, $11.3 million and $10.9 million during 2020, 2019 and 2018, respectively, relating to these notes receivable, which includes principal and interest payments. At December 31, 2020 and 2019, before consideration of the credit loss reserve, the Company had accrued interest receivable related to these bonds of $40.9 million and $38.2 million, respectively.</w:t>
      </w:r>
    </w:p>
    <w:p>
      <w:pPr>
        <w:spacing w:after="0" w:line="176" w:lineRule="exact"/>
        <w:rPr>
          <w:sz w:val="20"/>
          <w:szCs w:val="20"/>
          <w:color w:val="auto"/>
        </w:rPr>
      </w:pPr>
    </w:p>
    <w:p>
      <w:pPr>
        <w:ind w:left="60" w:right="179"/>
        <w:spacing w:after="0" w:line="289" w:lineRule="auto"/>
        <w:rPr>
          <w:sz w:val="20"/>
          <w:szCs w:val="20"/>
          <w:color w:val="auto"/>
        </w:rPr>
      </w:pPr>
      <w:r>
        <w:rPr>
          <w:rFonts w:ascii="Arial" w:cs="Arial" w:eastAsia="Arial" w:hAnsi="Arial"/>
          <w:sz w:val="16"/>
          <w:szCs w:val="16"/>
          <w:color w:val="auto"/>
        </w:rPr>
        <w:t>In connection with the development of certain infrastructure adjacent to Gaylord Rockies, in December 2015, Colorado International Center Metropolitan District No. 4 (“CIC4”) issued a bond with a face value of $20.4 million (“GR Series A Bond”) and an additional bond with a face value of $1.5 million (“GR Series B Bond”), of which $9.0 million of the GR Series A Bond and all of the GR Series B Bond were purchased by the Gaylord Rockies joint venture at issuance at face value. The interest rate on both bonds was 2.5% through November 30, 2020; 6.0% from December 1, 2020 through November 30, 2024; and 8.0% from December 1, 2024 through the respective maturity date. The original maturity date of the GR Series A Bond and the GR Series B Bond was December 1, 2030 and December 1, 2040, respectively. In April 2019, these bonds were redeemed by CIC4, and the joint venture received the outstanding principal and interest, which resulted in no impact to the Company’s consolidated statement of operations for 2019.</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 in Gaylord Rockies Joint Venture</w:t>
      </w:r>
    </w:p>
    <w:p>
      <w:pPr>
        <w:spacing w:after="0" w:line="229"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In March 2016, certain subsidiaries of the Company entered into a series of agreements with affiliates of RIDA Development Corporation (“RIDA”) and Ares with respect to an equity investment in the Gaylord Rockies joint venture, which developed Gaylord Rockies. The hotel is managed by Marriott pursuant to a long-term management contract and consists of a 1,501-room resort hotel with over 485,000 square feet of exhibition, meeting, pre-function and outdoor space. The hotel opened in December 2018 at a total project cost of approximately $800 million.</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In 2016, the Company acquired a 35% interest in a limited liability company which owns the real property comprising the hotel, which the Company purchased for a capital contribution of approximately $86.5 million. The Company also acquired a 35% interest in a limited liability company which leases the hotel from the property owner and assumed the Marriott management agreement prior to the opening of the hotel. The equity method income in this investment was $124.4 million for 2018.</w:t>
      </w:r>
    </w:p>
    <w:p>
      <w:pPr>
        <w:spacing w:after="0" w:line="188"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A subsidiary of the Company provided designated asset management services on behalf of the hotel during the pre-construction period in exchange for a flat fee and after opening of the hotel in exchange for a fee based on the hotel’s gross revenues on an annual basis.</w:t>
      </w:r>
    </w:p>
    <w:p>
      <w:pPr>
        <w:spacing w:after="0" w:line="184"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color w:val="auto"/>
        </w:rPr>
        <w:t>On December 31, 2018, the Company purchased additional interests in the Gaylord Rockies joint venture, pursuant to a Purchase Agreement by and among the Company and affiliates of RIDA and Ares, and then owned a 61.2% interest in each of the limited liability companies discussed above. The purchase price paid by the Company was approximately $235.2 million, funded with cash on hand and borrowings under the Company’s revolving credit facility. The terms of the Company’s increased investment in the Gaylord Rockies joint venture and certain related agreements provide that a subsidiary of the Company is the managing member and is responsible for day-to-day management of the joint venture and for future financings meeting certain parameters. Designated decisions, such as refinancings that do not meet established parameters, future expansions of the hotel, transactions with affiliates, selling the hotel, and admitting additional members of the joint venture, are to be approved by majority vote of a committee consisting of two members designated by the Company and two members designated by the minority partner. Based on management’s analysis of these updated agreements, management concluded that the Company’s responsibility for the day-to-day management of the joint venture and for future financings meeting certain parameters results in the Company holding the power to direct the activities that most significantly impact the economic performance of the joint venture. In addition, the shared decisions represent protective rights of both parties. Thus, the Company is the primary beneficiary of this variable interest entity at December 31, 2018. As such, the Company consolidated the assets and liabilities of the joint venture effective December 31, 2018 and began consolidating the ongoing operations of the joint venture effective January 1, 2019.</w:t>
      </w:r>
    </w:p>
    <w:p>
      <w:pPr>
        <w:spacing w:after="0" w:line="176"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The Company performed a valuation of the overall fair value of the Gaylord Rockies joint venture and the acquired assets and liabilities as of December 31, 2018. This valuation was determined based on a variety of factors and inputs, including future projected cash flows, market data for similar assets, future projected occupancy and ADR, replacement values of land and property, and advanced bookings already received for the hotel, all of which the Company considers as Level 3 fair value measurements. This valuation resulted in an estimation that the fair value of the Company’s existing joint venture interest immediately prior to the purchase of additional interest was $218.4 million, which exceeded the carrying value of the Company’s existing interest in the joint venture. The resulting gain of $131.4 million related to the re-measurement of the pre-existing equity method investment prior to consolidation was recorded as income from unconsolidated joint ventures in the accompanying consolidated statement of operations for 2018.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color w:val="auto"/>
        </w:rPr>
        <w:t>Utilizing the valuation, the Company performed a purchase price allocation for the acquired assets and liabilities of the Gaylord Rockies joint venture. As a result, the following assets, liabilities and obligations were recorded in the Company’s accompanying consolidated balance sheet at December 31, 2018 (amounts in thousands):</w:t>
      </w:r>
    </w:p>
    <w:p>
      <w:pPr>
        <w:sectPr>
          <w:pgSz w:w="11900" w:h="16838" w:orient="portrait"/>
          <w:cols w:equalWidth="0" w:num="1">
            <w:col w:w="9019"/>
          </w:cols>
          <w:pgMar w:left="1440" w:top="517" w:right="1440" w:bottom="1440" w:gutter="0" w:footer="0" w:header="0"/>
        </w:sectPr>
      </w:pPr>
    </w:p>
    <w:p>
      <w:pPr>
        <w:spacing w:after="0" w:line="1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Property and equipment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-121920</wp:posOffset>
            </wp:positionV>
            <wp:extent cx="486918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6">
                      <a:extLst>
                        <a:ext uri="{28A0092B-C50C-407E-A947-70E740481C1C}"/>
                      </a:extLst>
                    </a:blip>
                    <a:srcRect/>
                    <a:stretch>
                      <a:fillRect/>
                    </a:stretch>
                  </pic:blipFill>
                  <pic:spPr bwMode="auto">
                    <a:xfrm>
                      <a:off x="0" y="0"/>
                      <a:ext cx="4869180" cy="13716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Cash and cash equivalents - unrestricted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5715</wp:posOffset>
            </wp:positionV>
            <wp:extent cx="486918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7">
                      <a:extLst>
                        <a:ext uri="{28A0092B-C50C-407E-A947-70E740481C1C}"/>
                      </a:extLst>
                    </a:blip>
                    <a:srcRect/>
                    <a:stretch>
                      <a:fillRect/>
                    </a:stretch>
                  </pic:blipFill>
                  <pic:spPr bwMode="auto">
                    <a:xfrm>
                      <a:off x="0" y="0"/>
                      <a:ext cx="4869180"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Notes receivable (Note 3)</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5715</wp:posOffset>
            </wp:positionV>
            <wp:extent cx="486918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8">
                      <a:extLst>
                        <a:ext uri="{28A0092B-C50C-407E-A947-70E740481C1C}"/>
                      </a:extLst>
                    </a:blip>
                    <a:srcRect/>
                    <a:stretch>
                      <a:fillRect/>
                    </a:stretch>
                  </pic:blipFill>
                  <pic:spPr bwMode="auto">
                    <a:xfrm>
                      <a:off x="0" y="0"/>
                      <a:ext cx="4869180"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Prepaid expenses and other assets</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Intangible assets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5715</wp:posOffset>
            </wp:positionV>
            <wp:extent cx="486918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9">
                      <a:extLst>
                        <a:ext uri="{28A0092B-C50C-407E-A947-70E740481C1C}"/>
                      </a:extLst>
                    </a:blip>
                    <a:srcRect/>
                    <a:stretch>
                      <a:fillRect/>
                    </a:stretch>
                  </pic:blipFill>
                  <pic:spPr bwMode="auto">
                    <a:xfrm>
                      <a:off x="0" y="0"/>
                      <a:ext cx="4869180" cy="14541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Total assets acquired</w:t>
      </w:r>
    </w:p>
    <w:p>
      <w:pPr>
        <w:spacing w:after="0" w:line="23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Debt and capital lease obligations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-121920</wp:posOffset>
            </wp:positionV>
            <wp:extent cx="486918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0">
                      <a:extLst>
                        <a:ext uri="{28A0092B-C50C-407E-A947-70E740481C1C}"/>
                      </a:extLst>
                    </a:blip>
                    <a:srcRect/>
                    <a:stretch>
                      <a:fillRect/>
                    </a:stretch>
                  </pic:blipFill>
                  <pic:spPr bwMode="auto">
                    <a:xfrm>
                      <a:off x="0" y="0"/>
                      <a:ext cx="4869180" cy="13716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5715</wp:posOffset>
            </wp:positionV>
            <wp:extent cx="486918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1">
                      <a:extLst>
                        <a:ext uri="{28A0092B-C50C-407E-A947-70E740481C1C}"/>
                      </a:extLst>
                    </a:blip>
                    <a:srcRect/>
                    <a:stretch>
                      <a:fillRect/>
                    </a:stretch>
                  </pic:blipFill>
                  <pic:spPr bwMode="auto">
                    <a:xfrm>
                      <a:off x="0" y="0"/>
                      <a:ext cx="4869180" cy="14541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Total liabilities assumed</w:t>
      </w:r>
    </w:p>
    <w:p>
      <w:pPr>
        <w:spacing w:after="0" w:line="238" w:lineRule="exact"/>
        <w:rPr>
          <w:sz w:val="20"/>
          <w:szCs w:val="20"/>
          <w:color w:val="auto"/>
        </w:rPr>
      </w:pPr>
    </w:p>
    <w:p>
      <w:pPr>
        <w:ind w:left="680" w:right="1816"/>
        <w:spacing w:after="0" w:line="291" w:lineRule="auto"/>
        <w:rPr>
          <w:sz w:val="20"/>
          <w:szCs w:val="20"/>
          <w:color w:val="auto"/>
        </w:rPr>
      </w:pPr>
      <w:r>
        <w:rPr>
          <w:rFonts w:ascii="Arial" w:cs="Arial" w:eastAsia="Arial" w:hAnsi="Arial"/>
          <w:sz w:val="16"/>
          <w:szCs w:val="16"/>
          <w:color w:val="auto"/>
        </w:rPr>
        <w:t>Noncontrolling interest in consolidated joint venture Previously unconsolidated investment in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-273685</wp:posOffset>
            </wp:positionV>
            <wp:extent cx="486918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4869180" cy="13716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0</wp:posOffset>
            </wp:positionV>
            <wp:extent cx="486918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3">
                      <a:extLst>
                        <a:ext uri="{28A0092B-C50C-407E-A947-70E740481C1C}"/>
                      </a:extLst>
                    </a:blip>
                    <a:srcRect/>
                    <a:stretch>
                      <a:fillRect/>
                    </a:stretch>
                  </pic:blipFill>
                  <pic:spPr bwMode="auto">
                    <a:xfrm>
                      <a:off x="0" y="0"/>
                      <a:ext cx="4869180" cy="137160"/>
                    </a:xfrm>
                    <a:prstGeom prst="rect">
                      <a:avLst/>
                    </a:prstGeom>
                    <a:noFill/>
                  </pic:spPr>
                </pic:pic>
              </a:graphicData>
            </a:graphic>
          </wp:anchor>
        </w:drawing>
      </w:r>
    </w:p>
    <w:p>
      <w:pPr>
        <w:ind w:left="880" w:right="496" w:hanging="215"/>
        <w:spacing w:after="0" w:line="358" w:lineRule="auto"/>
        <w:rPr>
          <w:sz w:val="20"/>
          <w:szCs w:val="20"/>
          <w:color w:val="auto"/>
        </w:rPr>
      </w:pPr>
      <w:r>
        <w:rPr>
          <w:rFonts w:ascii="Arial" w:cs="Arial" w:eastAsia="Arial" w:hAnsi="Arial"/>
          <w:sz w:val="16"/>
          <w:szCs w:val="16"/>
          <w:color w:val="auto"/>
        </w:rPr>
        <w:t>Gain on re-measurement of pre-existing equity method investment Purchase price of additional interest in Gaylord Rockies joint venture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464" w:hanging="464"/>
        <w:spacing w:after="0"/>
        <w:tabs>
          <w:tab w:leader="none" w:pos="464" w:val="left"/>
        </w:tabs>
        <w:numPr>
          <w:ilvl w:val="0"/>
          <w:numId w:val="48"/>
        </w:numPr>
        <w:rPr>
          <w:rFonts w:ascii="Arial" w:cs="Arial" w:eastAsia="Arial" w:hAnsi="Arial"/>
          <w:sz w:val="17"/>
          <w:szCs w:val="17"/>
          <w:color w:val="auto"/>
        </w:rPr>
      </w:pPr>
      <w:r>
        <w:rPr>
          <w:rFonts w:ascii="Arial" w:cs="Arial" w:eastAsia="Arial" w:hAnsi="Arial"/>
          <w:sz w:val="17"/>
          <w:szCs w:val="17"/>
          <w:color w:val="auto"/>
        </w:rPr>
        <w:t>1,018,499</w:t>
      </w:r>
    </w:p>
    <w:p>
      <w:pPr>
        <w:spacing w:after="0" w:line="34" w:lineRule="exact"/>
        <w:rPr>
          <w:rFonts w:ascii="Arial" w:cs="Arial" w:eastAsia="Arial" w:hAnsi="Arial"/>
          <w:sz w:val="17"/>
          <w:szCs w:val="17"/>
          <w:color w:val="auto"/>
        </w:rPr>
      </w:pPr>
    </w:p>
    <w:p>
      <w:pPr>
        <w:ind w:left="704"/>
        <w:spacing w:after="0"/>
        <w:rPr>
          <w:rFonts w:ascii="Arial" w:cs="Arial" w:eastAsia="Arial" w:hAnsi="Arial"/>
          <w:sz w:val="17"/>
          <w:szCs w:val="17"/>
          <w:color w:val="auto"/>
        </w:rPr>
      </w:pPr>
      <w:r>
        <w:rPr>
          <w:rFonts w:ascii="Arial" w:cs="Arial" w:eastAsia="Arial" w:hAnsi="Arial"/>
          <w:sz w:val="17"/>
          <w:szCs w:val="17"/>
          <w:color w:val="auto"/>
        </w:rPr>
        <w:t>11,653</w:t>
      </w:r>
    </w:p>
    <w:p>
      <w:pPr>
        <w:spacing w:after="0" w:line="20" w:lineRule="exact"/>
        <w:rPr>
          <w:rFonts w:ascii="Arial" w:cs="Arial" w:eastAsia="Arial" w:hAnsi="Arial"/>
          <w:sz w:val="17"/>
          <w:szCs w:val="17"/>
          <w:color w:val="auto"/>
        </w:rPr>
      </w:pPr>
    </w:p>
    <w:p>
      <w:pPr>
        <w:ind w:left="704"/>
        <w:spacing w:after="0"/>
        <w:rPr>
          <w:rFonts w:ascii="Arial" w:cs="Arial" w:eastAsia="Arial" w:hAnsi="Arial"/>
          <w:sz w:val="17"/>
          <w:szCs w:val="17"/>
          <w:color w:val="auto"/>
        </w:rPr>
      </w:pPr>
      <w:r>
        <w:rPr>
          <w:rFonts w:ascii="Arial" w:cs="Arial" w:eastAsia="Arial" w:hAnsi="Arial"/>
          <w:sz w:val="17"/>
          <w:szCs w:val="17"/>
          <w:color w:val="auto"/>
        </w:rPr>
        <w:t>11,230</w:t>
      </w:r>
    </w:p>
    <w:p>
      <w:pPr>
        <w:spacing w:after="0" w:line="20" w:lineRule="exact"/>
        <w:rPr>
          <w:rFonts w:ascii="Arial" w:cs="Arial" w:eastAsia="Arial" w:hAnsi="Arial"/>
          <w:sz w:val="17"/>
          <w:szCs w:val="17"/>
          <w:color w:val="auto"/>
        </w:rPr>
      </w:pPr>
    </w:p>
    <w:p>
      <w:pPr>
        <w:ind w:left="784"/>
        <w:spacing w:after="0"/>
        <w:rPr>
          <w:rFonts w:ascii="Arial" w:cs="Arial" w:eastAsia="Arial" w:hAnsi="Arial"/>
          <w:sz w:val="17"/>
          <w:szCs w:val="17"/>
          <w:color w:val="auto"/>
        </w:rPr>
      </w:pPr>
      <w:r>
        <w:rPr>
          <w:rFonts w:ascii="Arial" w:cs="Arial" w:eastAsia="Arial" w:hAnsi="Arial"/>
          <w:sz w:val="18"/>
          <w:szCs w:val="18"/>
          <w:color w:val="auto"/>
        </w:rPr>
        <w:t>2,019</w:t>
      </w:r>
    </w:p>
    <w:p>
      <w:pPr>
        <w:spacing w:after="0" w:line="9" w:lineRule="exact"/>
        <w:rPr>
          <w:rFonts w:ascii="Arial" w:cs="Arial" w:eastAsia="Arial" w:hAnsi="Arial"/>
          <w:sz w:val="17"/>
          <w:szCs w:val="17"/>
          <w:color w:val="auto"/>
        </w:rPr>
      </w:pPr>
    </w:p>
    <w:p>
      <w:pPr>
        <w:ind w:left="684"/>
        <w:spacing w:after="0"/>
        <w:rPr>
          <w:rFonts w:ascii="Arial" w:cs="Arial" w:eastAsia="Arial" w:hAnsi="Arial"/>
          <w:sz w:val="17"/>
          <w:szCs w:val="17"/>
          <w:color w:val="auto"/>
        </w:rPr>
      </w:pPr>
      <w:r>
        <w:rPr>
          <w:rFonts w:ascii="Arial" w:cs="Arial" w:eastAsia="Arial" w:hAnsi="Arial"/>
          <w:sz w:val="18"/>
          <w:szCs w:val="18"/>
          <w:color w:val="auto"/>
        </w:rPr>
        <w:t>20,419</w:t>
      </w:r>
    </w:p>
    <w:p>
      <w:pPr>
        <w:spacing w:after="0" w:line="9" w:lineRule="exact"/>
        <w:rPr>
          <w:sz w:val="20"/>
          <w:szCs w:val="20"/>
          <w:color w:val="auto"/>
        </w:rPr>
      </w:pPr>
    </w:p>
    <w:p>
      <w:pPr>
        <w:ind w:left="604"/>
        <w:spacing w:after="0"/>
        <w:rPr>
          <w:sz w:val="20"/>
          <w:szCs w:val="20"/>
          <w:color w:val="auto"/>
        </w:rPr>
      </w:pPr>
      <w:r>
        <w:rPr>
          <w:rFonts w:ascii="Arial" w:cs="Arial" w:eastAsia="Arial" w:hAnsi="Arial"/>
          <w:sz w:val="17"/>
          <w:szCs w:val="17"/>
          <w:color w:val="auto"/>
        </w:rPr>
        <w:t>241,973</w:t>
      </w:r>
    </w:p>
    <w:p>
      <w:pPr>
        <w:spacing w:after="0" w:line="21" w:lineRule="exact"/>
        <w:rPr>
          <w:sz w:val="20"/>
          <w:szCs w:val="20"/>
          <w:color w:val="auto"/>
        </w:rPr>
      </w:pPr>
    </w:p>
    <w:p>
      <w:pPr>
        <w:ind w:left="464"/>
        <w:spacing w:after="0"/>
        <w:rPr>
          <w:sz w:val="20"/>
          <w:szCs w:val="20"/>
          <w:color w:val="auto"/>
        </w:rPr>
      </w:pPr>
      <w:r>
        <w:rPr>
          <w:rFonts w:ascii="Arial" w:cs="Arial" w:eastAsia="Arial" w:hAnsi="Arial"/>
          <w:sz w:val="17"/>
          <w:szCs w:val="17"/>
          <w:color w:val="auto"/>
        </w:rPr>
        <w:t>1,305,793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886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2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(494,578)</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(70,215)</w:t>
      </w:r>
    </w:p>
    <w:p>
      <w:pPr>
        <w:spacing w:after="0" w:line="9" w:lineRule="exact"/>
        <w:rPr>
          <w:sz w:val="20"/>
          <w:szCs w:val="20"/>
          <w:color w:val="auto"/>
        </w:rPr>
      </w:pPr>
    </w:p>
    <w:p>
      <w:pPr>
        <w:ind w:left="544"/>
        <w:spacing w:after="0"/>
        <w:rPr>
          <w:sz w:val="20"/>
          <w:szCs w:val="20"/>
          <w:color w:val="auto"/>
        </w:rPr>
      </w:pPr>
      <w:r>
        <w:rPr>
          <w:rFonts w:ascii="Arial" w:cs="Arial" w:eastAsia="Arial" w:hAnsi="Arial"/>
          <w:sz w:val="16"/>
          <w:szCs w:val="16"/>
          <w:color w:val="auto"/>
        </w:rPr>
        <w:t>(564,793)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886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41"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(287,433)</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(86,913)</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(131,437)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886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ind w:left="604" w:hanging="604"/>
        <w:spacing w:after="0"/>
        <w:tabs>
          <w:tab w:leader="none" w:pos="604" w:val="left"/>
        </w:tabs>
        <w:numPr>
          <w:ilvl w:val="0"/>
          <w:numId w:val="49"/>
        </w:numPr>
        <w:rPr>
          <w:rFonts w:ascii="Arial" w:cs="Arial" w:eastAsia="Arial" w:hAnsi="Arial"/>
          <w:sz w:val="17"/>
          <w:szCs w:val="17"/>
          <w:color w:val="auto"/>
        </w:rPr>
      </w:pPr>
      <w:r>
        <w:rPr>
          <w:rFonts w:ascii="Arial" w:cs="Arial" w:eastAsia="Arial" w:hAnsi="Arial"/>
          <w:sz w:val="17"/>
          <w:szCs w:val="17"/>
          <w:color w:val="auto"/>
        </w:rPr>
        <w:t>235,217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886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7886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6376" w:space="720"/>
            <w:col w:w="1923"/>
          </w:cols>
          <w:pgMar w:left="1440" w:top="517" w:right="1440" w:bottom="1440" w:gutter="0" w:footer="0" w:header="0"/>
          <w:type w:val="continuous"/>
        </w:sectPr>
      </w:pPr>
    </w:p>
    <w:p>
      <w:pPr>
        <w:jc w:val="both"/>
        <w:ind w:left="60" w:right="279"/>
        <w:spacing w:after="0" w:line="263" w:lineRule="auto"/>
        <w:rPr>
          <w:sz w:val="20"/>
          <w:szCs w:val="20"/>
          <w:color w:val="auto"/>
        </w:rPr>
      </w:pPr>
      <w:r>
        <w:rPr>
          <w:rFonts w:ascii="Arial" w:cs="Arial" w:eastAsia="Arial" w:hAnsi="Arial"/>
          <w:sz w:val="18"/>
          <w:szCs w:val="18"/>
          <w:color w:val="auto"/>
        </w:rPr>
        <w:t>In 2019, the Company purchased an additional 0.9% interest in the Gaylord Rockies joint venture for a purchase price of $5.5 million, net of closing true-ups. Subsequent to this transaction, the Company owned 62.1% of the Gaylord Rockies joint venture.</w:t>
      </w:r>
    </w:p>
    <w:p>
      <w:pPr>
        <w:spacing w:after="0" w:line="184"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Pursuant to the amended and restated joint venture agreements, certain affiliates of Ares each had a put right to require the Company to purchase their joint venture interests at a defined appraised value during an annual window period, or under certain other circumstances, in consideration of cash or OP Units of the Operating Partnership. During 2020, put right holders totaling 0.5% ownership in the Gaylord Rockies joint venture exercised their put rights for $2.9 million in cash, and the remaining put right holders, totaling 2.4% ownership in the Gaylord Rockies joint venture, exercised their put rights for approximately $14.0 million in OP Units, which was equivalent to approximately 0.4 million OP Units. Such OP Units have economic terms that are substantially similar to shares of the Company’s common stock and are redeemable at the option of the holders thereof. Redemptions will be paid in cash, or if the Company so elects, in shares of the Company’s common stock on a one-for-one basis, subject to certain adjustments in accordance with the Operating Partnership’s partnership agreement. Subsequent to these transactions, the Company owned 65% of the Gaylord Rockies joint venture.</w:t>
      </w:r>
    </w:p>
    <w:p>
      <w:pPr>
        <w:spacing w:after="0" w:line="182"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Affiliates of RIDA also have a put right at an appraised value for cash, which will become exercisable at the earlier of December 31, 2023 or the date on which a certain change of control of RIDA occurs.</w:t>
      </w:r>
    </w:p>
    <w:p>
      <w:pPr>
        <w:spacing w:after="0" w:line="170"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The Company also entered into a tax protection agreement in connection with the December 31, 2018 purchase of additional interests in the Gaylord Rockies joint venture, which will generally require the Company to, among other things, indemnify certain Ares affiliates that were members of the Gaylord Rockies joint venture for 50% of any income taxes incurred by them as a result of a direct or indirect sale or other disposition of the Gaylord Rockies joint venture, within seven years of closing, and for 100% of any income taxes incurred by them as a result of the failure to comply with certain obligations related to nonrecourse liability allocations and debt guarantee opportunities for the purpose of protecting such parties’ tax bases.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debt and finance lease obligations at December 31 consisted of (amounts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0" w:type="dxa"/>
            <w:vAlign w:val="bottom"/>
            <w:tcBorders>
              <w:bottom w:val="single" w:sz="8" w:color="CCEEFF"/>
            </w:tcBorders>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r>
      <w:tr>
        <w:trPr>
          <w:trHeight w:val="209"/>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$700M Revolving Credit Facility, less unamortized DFCs of $7,579 and $0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$300M Term Loan A, less unamortized DFCs of $2,321 and $2,478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297,679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297,522</w:t>
            </w:r>
          </w:p>
        </w:tc>
      </w:tr>
      <w:tr>
        <w:trPr>
          <w:trHeight w:val="216"/>
        </w:trPr>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$500M</w:t>
            </w:r>
          </w:p>
        </w:tc>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B, less unamortized DFCs of $3,524 and $4,501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381,749</w:t>
            </w:r>
          </w:p>
        </w:tc>
      </w:tr>
      <w:tr>
        <w:trPr>
          <w:trHeight w:val="216"/>
        </w:trPr>
        <w:tc>
          <w:tcPr>
            <w:tcW w:w="560" w:type="dxa"/>
            <w:vAlign w:val="bottom"/>
          </w:tcPr>
          <w:p>
            <w:pPr>
              <w:ind w:left="20"/>
              <w:spacing w:after="0"/>
              <w:rPr>
                <w:sz w:val="20"/>
                <w:szCs w:val="20"/>
                <w:color w:val="auto"/>
              </w:rPr>
            </w:pPr>
            <w:r>
              <w:rPr>
                <w:rFonts w:ascii="Arial" w:cs="Arial" w:eastAsia="Arial" w:hAnsi="Arial"/>
                <w:sz w:val="18"/>
                <w:szCs w:val="18"/>
                <w:color w:val="auto"/>
                <w:w w:val="94"/>
              </w:rPr>
              <w:t>$400M</w:t>
            </w:r>
          </w:p>
        </w:tc>
        <w:tc>
          <w:tcPr>
            <w:tcW w:w="6360" w:type="dxa"/>
            <w:vAlign w:val="bottom"/>
          </w:tcPr>
          <w:p>
            <w:pPr>
              <w:ind w:left="20"/>
              <w:spacing w:after="0"/>
              <w:rPr>
                <w:sz w:val="20"/>
                <w:szCs w:val="20"/>
                <w:color w:val="auto"/>
              </w:rPr>
            </w:pPr>
            <w:r>
              <w:rPr>
                <w:rFonts w:ascii="Arial" w:cs="Arial" w:eastAsia="Arial" w:hAnsi="Arial"/>
                <w:sz w:val="18"/>
                <w:szCs w:val="18"/>
                <w:color w:val="auto"/>
              </w:rPr>
              <w:t>Senior Notes, less unamortized DFCs of $2,301 and $3,222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397,699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396,778</w:t>
            </w:r>
          </w:p>
        </w:tc>
      </w:tr>
      <w:tr>
        <w:trPr>
          <w:trHeight w:val="202"/>
        </w:trPr>
        <w:tc>
          <w:tcPr>
            <w:tcW w:w="5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$700M</w:t>
            </w:r>
          </w:p>
        </w:tc>
        <w:tc>
          <w:tcPr>
            <w:tcW w:w="63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Senior Notes, less unamortized DFCs of $10,676 and $11,808, plus unamortized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premium of $2,167 and $2,434</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691,491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690,626</w:t>
            </w:r>
          </w:p>
        </w:tc>
      </w:tr>
      <w:tr>
        <w:trPr>
          <w:trHeight w:val="216"/>
        </w:trPr>
        <w:tc>
          <w:tcPr>
            <w:tcW w:w="560" w:type="dxa"/>
            <w:vAlign w:val="bottom"/>
          </w:tcPr>
          <w:p>
            <w:pPr>
              <w:ind w:left="20"/>
              <w:spacing w:after="0"/>
              <w:rPr>
                <w:sz w:val="20"/>
                <w:szCs w:val="20"/>
                <w:color w:val="auto"/>
              </w:rPr>
            </w:pPr>
            <w:r>
              <w:rPr>
                <w:rFonts w:ascii="Arial" w:cs="Arial" w:eastAsia="Arial" w:hAnsi="Arial"/>
                <w:sz w:val="18"/>
                <w:szCs w:val="18"/>
                <w:color w:val="auto"/>
                <w:w w:val="94"/>
              </w:rPr>
              <w:t>$800M</w:t>
            </w:r>
          </w:p>
        </w:tc>
        <w:tc>
          <w:tcPr>
            <w:tcW w:w="6360" w:type="dxa"/>
            <w:vAlign w:val="bottom"/>
          </w:tcPr>
          <w:p>
            <w:pPr>
              <w:ind w:left="20"/>
              <w:spacing w:after="0"/>
              <w:rPr>
                <w:sz w:val="20"/>
                <w:szCs w:val="20"/>
                <w:color w:val="auto"/>
              </w:rPr>
            </w:pPr>
            <w:r>
              <w:rPr>
                <w:rFonts w:ascii="Arial" w:cs="Arial" w:eastAsia="Arial" w:hAnsi="Arial"/>
                <w:sz w:val="18"/>
                <w:szCs w:val="18"/>
                <w:color w:val="auto"/>
                <w:w w:val="99"/>
              </w:rPr>
              <w:t>Term Loan (Gaylord Rockies JV), less unamortized DFCs of $6,103 and $8,015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793,897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791,985</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09"/>
        </w:trPr>
        <w:tc>
          <w:tcPr>
            <w:tcW w:w="6920" w:type="dxa"/>
            <w:vAlign w:val="bottom"/>
            <w:gridSpan w:val="2"/>
          </w:tcPr>
          <w:p>
            <w:pPr>
              <w:ind w:left="120"/>
              <w:spacing w:after="0"/>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2,658,008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2,559,968</w:t>
            </w:r>
          </w:p>
        </w:tc>
      </w:tr>
      <w:tr>
        <w:trPr>
          <w:trHeight w:val="20"/>
        </w:trPr>
        <w:tc>
          <w:tcPr>
            <w:tcW w:w="5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16, “Subsequent Events” for further disclosure.</w:t>
      </w:r>
    </w:p>
    <w:p>
      <w:pPr>
        <w:spacing w:after="0" w:line="22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At December 31, 2020, there were no defaults under the covenants related to the Company’s outstanding debt, and the lenders had extended the allowable closure period in the covenant in the credit facility that prohibits closure of the Gaylord Hotels properties for longer than a specified period of time.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Annual maturities of long-term debt, excluding finance lease obligations, are as follows (amounts in thousands):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7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Thereafter</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7"/>
              </w:rPr>
              <w:t>$700M Revolving Credit Facility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$ 106,000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0" w:type="dxa"/>
            <w:vAlign w:val="bottom"/>
          </w:tcPr>
          <w:p>
            <w:pPr>
              <w:spacing w:after="0"/>
              <w:rPr>
                <w:sz w:val="1"/>
                <w:szCs w:val="1"/>
                <w:color w:val="auto"/>
              </w:rPr>
            </w:pPr>
          </w:p>
        </w:tc>
      </w:tr>
      <w:tr>
        <w:trPr>
          <w:trHeight w:val="216"/>
        </w:trPr>
        <w:tc>
          <w:tcPr>
            <w:tcW w:w="2640" w:type="dxa"/>
            <w:vAlign w:val="bottom"/>
            <w:gridSpan w:val="4"/>
          </w:tcPr>
          <w:p>
            <w:pPr>
              <w:ind w:left="20"/>
              <w:spacing w:after="0"/>
              <w:rPr>
                <w:sz w:val="20"/>
                <w:szCs w:val="20"/>
                <w:color w:val="auto"/>
              </w:rPr>
            </w:pPr>
            <w:r>
              <w:rPr>
                <w:rFonts w:ascii="Arial" w:cs="Arial" w:eastAsia="Arial" w:hAnsi="Arial"/>
                <w:sz w:val="18"/>
                <w:szCs w:val="18"/>
                <w:color w:val="auto"/>
              </w:rPr>
              <w:t>$300M Term Loan A</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w w:val="95"/>
              </w:rPr>
              <w:t>300,000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$500M Term Loan B</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381,250</w:t>
            </w:r>
          </w:p>
        </w:tc>
        <w:tc>
          <w:tcPr>
            <w:tcW w:w="0" w:type="dxa"/>
            <w:vAlign w:val="bottom"/>
          </w:tcPr>
          <w:p>
            <w:pPr>
              <w:spacing w:after="0"/>
              <w:rPr>
                <w:sz w:val="1"/>
                <w:szCs w:val="1"/>
                <w:color w:val="auto"/>
              </w:rPr>
            </w:pPr>
          </w:p>
        </w:tc>
      </w:tr>
      <w:tr>
        <w:trPr>
          <w:trHeight w:val="216"/>
        </w:trPr>
        <w:tc>
          <w:tcPr>
            <w:tcW w:w="560" w:type="dxa"/>
            <w:vAlign w:val="bottom"/>
          </w:tcPr>
          <w:p>
            <w:pPr>
              <w:ind w:left="20"/>
              <w:spacing w:after="0"/>
              <w:rPr>
                <w:sz w:val="20"/>
                <w:szCs w:val="20"/>
                <w:color w:val="auto"/>
              </w:rPr>
            </w:pPr>
            <w:r>
              <w:rPr>
                <w:rFonts w:ascii="Arial" w:cs="Arial" w:eastAsia="Arial" w:hAnsi="Arial"/>
                <w:sz w:val="18"/>
                <w:szCs w:val="18"/>
                <w:color w:val="auto"/>
                <w:w w:val="94"/>
              </w:rPr>
              <w:t>$400M</w:t>
            </w:r>
          </w:p>
        </w:tc>
        <w:tc>
          <w:tcPr>
            <w:tcW w:w="2080" w:type="dxa"/>
            <w:vAlign w:val="bottom"/>
            <w:gridSpan w:val="3"/>
          </w:tcPr>
          <w:p>
            <w:pPr>
              <w:ind w:left="20"/>
              <w:spacing w:after="0"/>
              <w:rPr>
                <w:sz w:val="20"/>
                <w:szCs w:val="20"/>
                <w:color w:val="auto"/>
              </w:rPr>
            </w:pPr>
            <w:r>
              <w:rPr>
                <w:rFonts w:ascii="Arial" w:cs="Arial" w:eastAsia="Arial" w:hAnsi="Arial"/>
                <w:sz w:val="18"/>
                <w:szCs w:val="18"/>
                <w:color w:val="auto"/>
              </w:rPr>
              <w:t>5% Senior Notes</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$700M</w:t>
            </w:r>
          </w:p>
        </w:tc>
        <w:tc>
          <w:tcPr>
            <w:tcW w:w="2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4.75% Senior Notes</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700,000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16"/>
        </w:trPr>
        <w:tc>
          <w:tcPr>
            <w:tcW w:w="2640" w:type="dxa"/>
            <w:vAlign w:val="bottom"/>
            <w:gridSpan w:val="4"/>
          </w:tcPr>
          <w:p>
            <w:pPr>
              <w:ind w:left="20"/>
              <w:spacing w:after="0"/>
              <w:rPr>
                <w:sz w:val="20"/>
                <w:szCs w:val="20"/>
                <w:color w:val="auto"/>
              </w:rPr>
            </w:pPr>
            <w:r>
              <w:rPr>
                <w:rFonts w:ascii="Arial" w:cs="Arial" w:eastAsia="Arial" w:hAnsi="Arial"/>
                <w:sz w:val="18"/>
                <w:szCs w:val="18"/>
                <w:color w:val="auto"/>
              </w:rPr>
              <w:t>$800M Term Loan (1)</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10"/>
        </w:trPr>
        <w:tc>
          <w:tcPr>
            <w:tcW w:w="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3"/>
              </w:rPr>
              <w:t>5,000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7"/>
              </w:rPr>
              <w:t>5,000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1,205,000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$ 472,250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5"/>
              </w:rPr>
              <w:t>300,000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5"/>
              </w:rPr>
              <w:t>700,000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2,687,250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The $800 million term loan is indebtedness of the Gaylord Rockies joint venture.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On October 31, 2019, the Company entered into a Sixth Amended and Restated Credit Agreement (the “Credit Agreement”) among the Company, as guarantor, the Operating Partnership, as borrower, certain other subsidiaries of the Company party thereto, as guarantors, certain subsidiaries of the Company party thereto, as pledgors, the lenders party thereto and Wells Fargo Bank, N.A., as administrative agent, which amended and restated the Company’s existing credit facility. As amended, the Company’s credit facility consists of a $700.0 million senior secured revolving credit facility (the “Revolver”), a $300.0 million senior secured term loan A (the “Term Loan A”) which was increased from $200.0 million pursuant to the amended agreement, and a $500.0 million senior secured term loan B (the “Term Loan B”), each as discussed below. The Credit Agreement also includes an accordion feature of $600 million and a $50.0 million letter of credit sublimit. On April 23, 2020, the Company entered into Amendment No. 1 (the “First Amendment”) to the Credit Agreement among the same parties, and on December 22, 2020, the Company entered into Amendment No. 2 (the “Second Amendment” and collectively with the First Amendment, the “Amendments”), to the Credit Agreement among the same parties, each as discussed below.</w:t>
      </w:r>
    </w:p>
    <w:p>
      <w:pPr>
        <w:spacing w:after="0" w:line="179" w:lineRule="exact"/>
        <w:rPr>
          <w:sz w:val="20"/>
          <w:szCs w:val="20"/>
          <w:color w:val="auto"/>
        </w:rPr>
      </w:pPr>
    </w:p>
    <w:p>
      <w:pPr>
        <w:ind w:left="60" w:right="279"/>
        <w:spacing w:after="0" w:line="301" w:lineRule="auto"/>
        <w:rPr>
          <w:sz w:val="20"/>
          <w:szCs w:val="20"/>
          <w:color w:val="auto"/>
        </w:rPr>
      </w:pPr>
      <w:r>
        <w:rPr>
          <w:rFonts w:ascii="Arial" w:cs="Arial" w:eastAsia="Arial" w:hAnsi="Arial"/>
          <w:sz w:val="16"/>
          <w:szCs w:val="16"/>
          <w:color w:val="auto"/>
        </w:rPr>
        <w:t>Each of the Revolver, Term Loan A and Term Loan B is guaranteed by the Company, each of the four wholly-owned subsidiaries that own the four wholly-owned Gaylord Hotels properties, and certain other of the Company’s subsidiaries. Each is secured by (i) a first mortgage lien on the real property of each of the four wholly-owned Gaylord Hotels properties, (ii) pledges of equity interests in the Company’s subsidiaries that own the four wholly-owned Gaylord Hotels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4" w:lineRule="auto"/>
        <w:rPr>
          <w:sz w:val="20"/>
          <w:szCs w:val="20"/>
          <w:color w:val="auto"/>
        </w:rPr>
      </w:pPr>
      <w:r>
        <w:rPr>
          <w:rFonts w:ascii="Arial" w:cs="Arial" w:eastAsia="Arial" w:hAnsi="Arial"/>
          <w:sz w:val="18"/>
          <w:szCs w:val="18"/>
          <w:color w:val="auto"/>
        </w:rPr>
        <w:t>properties, (iii) pledges of equity interests in the Operating Partnership, the subsidiaries that guarantee the Credit Agreement, and certain other of the Company’s subsidiaries, (iv) the personal property of the Company, the Operating Partnership and the subsidiaries that guarantee the Credit Agreement and (v) all proceeds and products from the Company’s four wholly-owned Gaylord Hotels properties. Advances are subject to a 55% borrowing base, based on the appraisal value of the four wholly-owned Gaylord Hotels properties (reduced to 50% in the event one of the four wholly-owned Gaylord Hotel properties is sold). Assets of the Gaylord Rockies joint venture are not subject to the liens of the credit facility.</w:t>
      </w:r>
    </w:p>
    <w:p>
      <w:pPr>
        <w:spacing w:after="0" w:line="195"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auto"/>
        </w:rPr>
        <w:t>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w:t>
      </w:r>
    </w:p>
    <w:p>
      <w:pPr>
        <w:spacing w:after="0" w:line="165"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The First Amendment provided for a waiver of the foregoing financial covenants through March 31, 2021 and the Second Amendment extended that waiver through March 31, 2022 (the “Temporary Waiver Period”). In addition, the Amendments contain a covenant that the Company must maintain unrestricted liquidity (in the form of unrestricted cash on hand or undrawn availability under the Revolver) of at least $100 million. In the event the Company is unable to comply with the Credit Agreement’s financial covenants following the Temporary Waiver Period, it expects to further amend the Credit Agreement or take other mitigating actions prior to a potential breach.</w:t>
      </w:r>
    </w:p>
    <w:p>
      <w:pPr>
        <w:spacing w:after="0" w:line="178" w:lineRule="exact"/>
        <w:rPr>
          <w:sz w:val="20"/>
          <w:szCs w:val="20"/>
          <w:color w:val="auto"/>
        </w:rPr>
      </w:pPr>
    </w:p>
    <w:p>
      <w:pPr>
        <w:ind w:left="60" w:right="299"/>
        <w:spacing w:after="0" w:line="342" w:lineRule="auto"/>
        <w:rPr>
          <w:sz w:val="20"/>
          <w:szCs w:val="20"/>
          <w:color w:val="auto"/>
        </w:rPr>
      </w:pPr>
      <w:r>
        <w:rPr>
          <w:rFonts w:ascii="Arial" w:cs="Arial" w:eastAsia="Arial" w:hAnsi="Arial"/>
          <w:sz w:val="16"/>
          <w:szCs w:val="16"/>
          <w:color w:val="auto"/>
        </w:rPr>
        <w:t>During the Temporary Waiver Period, the Amendments provide for increased interest and fees, additional restrictions on debt, investments, dividends, share repurchases and capital expenditures, and a minimum liquidity requirement.</w:t>
      </w:r>
    </w:p>
    <w:p>
      <w:pPr>
        <w:spacing w:after="0" w:line="124"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color w:val="auto"/>
        </w:rPr>
        <w:t>The Company may elect to terminate the Temporary Waiver Period prior to expiration. For the first quarter following expiration or termination of the Temporary Waiver Period, it will calculate compliance with the financial covenants in the Credit Agreement using a designated annualized calculation based on the Company’s most recently completed fiscal quarter. Thereafter, the Company will be required to satisfy financial covenants at the levels set forth in the Credit Agreement using a designated annualized calculation based on the Company’s most recently completed fiscal quarters, as applicable. Pursuant to the Amendments, the Company is required to use any proceeds from borrowings drawn during the Temporary Waiver Period and until the Company can demonstrate financial covenant compliance following the expiration or earlier termination of the Temporary Waiver Period (the “Restricted Period”) to fund operating expenses, debt service of the Company and its subsidiaries, and permitted capital expenditures and investments.</w:t>
      </w:r>
    </w:p>
    <w:p>
      <w:pPr>
        <w:spacing w:after="0" w:line="166"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6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As a result of refinancings of its credit facility, the Company wrote off $0.1 million, $0.2 million and $2.0 million of DFCs during 2020, 2019 and 2018, respectively, which are included in interest expense in the accompanying consolidated statements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$700 Million Revolving Credit Facility</w:t>
      </w:r>
    </w:p>
    <w:p>
      <w:pPr>
        <w:spacing w:after="0" w:line="225" w:lineRule="exact"/>
        <w:rPr>
          <w:sz w:val="20"/>
          <w:szCs w:val="20"/>
          <w:color w:val="auto"/>
        </w:rPr>
      </w:pPr>
    </w:p>
    <w:p>
      <w:pPr>
        <w:ind w:left="60" w:right="219"/>
        <w:spacing w:after="0" w:line="272" w:lineRule="auto"/>
        <w:rPr>
          <w:sz w:val="20"/>
          <w:szCs w:val="20"/>
          <w:color w:val="auto"/>
        </w:rPr>
      </w:pPr>
      <w:r>
        <w:rPr>
          <w:rFonts w:ascii="Arial" w:cs="Arial" w:eastAsia="Arial" w:hAnsi="Arial"/>
          <w:sz w:val="17"/>
          <w:szCs w:val="17"/>
          <w:color w:val="auto"/>
        </w:rPr>
        <w:t>Pursuant to the Credit Agreement, the Company extended the maturity of the Revolver to March 31, 2024. Borrowings under the Revolver bear interest at an annual rate equal to, at the Company’s option, either (i) LIBOR plus the applicable margin ranging from 1.40% to 1.95%, dependent upon the Company’s funded debt to total asset value ratio (as defined in the Credit Agreement) or (ii) a base rate as set in the Credit Agreement. Pursuant to the Amendments, through March 31, 2021, the interest rate on LIBOR-based borrowings under the Revolver will be LIBOR plus 1.95%. Beginning April 1, 2021 through the end of the Restricted Period, the interest rate on LIBOR-based borrowings under the Revolver will be LIBOR plus 2.25%.</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$300 Million Term Loan A</w:t>
      </w:r>
    </w:p>
    <w:p>
      <w:pPr>
        <w:spacing w:after="0" w:line="225" w:lineRule="exact"/>
        <w:rPr>
          <w:sz w:val="20"/>
          <w:szCs w:val="20"/>
          <w:color w:val="auto"/>
        </w:rPr>
      </w:pPr>
    </w:p>
    <w:p>
      <w:pPr>
        <w:ind w:left="60" w:right="359"/>
        <w:spacing w:after="0" w:line="342" w:lineRule="auto"/>
        <w:rPr>
          <w:sz w:val="20"/>
          <w:szCs w:val="20"/>
          <w:color w:val="auto"/>
        </w:rPr>
      </w:pPr>
      <w:r>
        <w:rPr>
          <w:rFonts w:ascii="Arial" w:cs="Arial" w:eastAsia="Arial" w:hAnsi="Arial"/>
          <w:sz w:val="16"/>
          <w:szCs w:val="16"/>
          <w:color w:val="auto"/>
        </w:rPr>
        <w:t>Pursuant to the Credit Agreement, the Company increased its Term Loan A from $200 million to $300 million and extended the maturity to March 31, 2025. Borrowings under the Term Loan A bear interest at an annual rate equal to, at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the Company’s option, either (i) LIBOR plus the applicable margin ranging from 1.35% to 1.90%, dependent upon the Company’s funded debt to total asset value ratio (as defined in the Credit Agreement) or (ii) a base rate as set in the Credit Agreement. Pursuant to the Amendments, through March 31, 2021, the interest rate on LIBOR-based borrowings under the Term Loan A will be LIBOR plus 1.90%. Beginning April 1, 2021 through the end of the Restricted Period, the interest rate on LIBOR-based borrowings under the Term Loan A will be LIBOR plus 2.25%. Amounts borrowed under the Term Loan A that are repaid or prepaid may not be reborrowed. At original closing, the Company drew down on the Term Loan A in full. Net proceeds of the 2019 increase in the Term Loan A, after certain transaction expenses payable at closing, were approximately $94 million and, along with cash on hand, were used to repay $100 million of the outstanding indebtedness under the Term Loan B.</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$500 Million Term Loan B</w:t>
      </w:r>
    </w:p>
    <w:p>
      <w:pPr>
        <w:spacing w:after="0" w:line="225" w:lineRule="exact"/>
        <w:rPr>
          <w:sz w:val="20"/>
          <w:szCs w:val="20"/>
          <w:color w:val="auto"/>
        </w:rPr>
      </w:pPr>
    </w:p>
    <w:p>
      <w:pPr>
        <w:ind w:left="60" w:right="179"/>
        <w:spacing w:after="0" w:line="269" w:lineRule="auto"/>
        <w:rPr>
          <w:sz w:val="20"/>
          <w:szCs w:val="20"/>
          <w:color w:val="auto"/>
        </w:rPr>
      </w:pPr>
      <w:r>
        <w:rPr>
          <w:rFonts w:ascii="Arial" w:cs="Arial" w:eastAsia="Arial" w:hAnsi="Arial"/>
          <w:sz w:val="17"/>
          <w:szCs w:val="17"/>
          <w:color w:val="auto"/>
        </w:rPr>
        <w:t>The Term Loan B has a maturity of May 11, 2024. The applicable interest rate margins for borrowings under the Term Loan B are, at the Company’s option, either (i) LIBOR plus 2.00% or (ii) a base rate as set in the Credit Agreement. At December 31, 2020, the interest rate on the Term Loan B was LIBOR plus 2.00%. In October 2019, we entered into four interest rate swaps with a total notional amount of $350.0 million to fix the LIBOR portion of the interest rate, at rates between 1.2235% and 1.2315%, through May 11, 2023. The Company has designated these swaps as effective cash flow hedges. The Term Loan B amortizes in equal quarterly installments in aggregate annual amounts equal to 1.0% of the original principal amount of $500.0 million, with the balance due at maturity. In addition, if for any fiscal year there is Excess Cash Flow (as defined in the Credit Agreement), payment of an additional principal payment is required. Amounts borrowed under the Term Loan B that are repaid or prepaid may not be reborrowed. At closing, the Company drew down on the Term Loan B in full.</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$350 Million 5% Senior Notes Due 2021</w:t>
      </w:r>
    </w:p>
    <w:p>
      <w:pPr>
        <w:spacing w:after="0" w:line="225"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color w:val="auto"/>
        </w:rPr>
        <w:t>In 2013, the Operating Partnership and Finco completed the private placement of $350.0 million in aggregate principal amount of senior notes due 2021 (the “$350 Million 5% Senior Notes”), which were guaranteed by the Company and its subsidiaries that guarantee the Credit Agreement.</w:t>
      </w:r>
    </w:p>
    <w:p>
      <w:pPr>
        <w:spacing w:after="0" w:line="184" w:lineRule="exact"/>
        <w:rPr>
          <w:sz w:val="20"/>
          <w:szCs w:val="20"/>
          <w:color w:val="auto"/>
        </w:rPr>
      </w:pPr>
    </w:p>
    <w:p>
      <w:pPr>
        <w:ind w:left="60" w:right="439"/>
        <w:spacing w:after="0" w:line="273" w:lineRule="auto"/>
        <w:rPr>
          <w:sz w:val="20"/>
          <w:szCs w:val="20"/>
          <w:color w:val="auto"/>
        </w:rPr>
      </w:pPr>
      <w:r>
        <w:rPr>
          <w:rFonts w:ascii="Arial" w:cs="Arial" w:eastAsia="Arial" w:hAnsi="Arial"/>
          <w:sz w:val="17"/>
          <w:szCs w:val="17"/>
          <w:color w:val="auto"/>
        </w:rPr>
        <w:t>In September 2019, the Company commenced a cash tender offer for any and all outstanding $350 Million 5% Senior Notes at a redemption price of $1,002.50 per $1,000 principal amount. Pursuant to the tender offer, $197.5 million aggregate principal amount of the $350 Million 5% Senior Notes were validly tendered. As a result of the Company’s purchase of tendered $350 Million 5% Senior Notes, the Company recognized a loss on extinguishment of debt of $0.5 million in 2019. The Company used a portion of the proceeds from the issuance of the $700 million 4.75% senior notes discussed below to fund the tender offer.</w:t>
      </w:r>
    </w:p>
    <w:p>
      <w:pPr>
        <w:spacing w:after="0" w:line="151"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In accordance with the indenture governing the $350 Million 5% Senior Notes, subsequent to expiration of the tender offer, in September 2019 the Company gave irrevocable notice of the redemption of all remaining $350 Million 5% Senior Notes not tendered in the tender offer and irrevocably deposited with the trustee for the $350 Million 5% Senior Notes an amount sufficient to pay the redemption price of the $350 Million 5% Senior Notes called for redemption at that date, including interest. The Company used a portion of the proceeds from the issuance of the $700 million 4.75% senior notes discussed below to fund the redemption.</w:t>
      </w:r>
    </w:p>
    <w:p>
      <w:pPr>
        <w:spacing w:after="0" w:line="152" w:lineRule="exact"/>
        <w:rPr>
          <w:sz w:val="20"/>
          <w:szCs w:val="20"/>
          <w:color w:val="auto"/>
        </w:rPr>
      </w:pPr>
    </w:p>
    <w:p>
      <w:pPr>
        <w:ind w:left="60" w:right="339"/>
        <w:spacing w:after="0" w:line="342" w:lineRule="auto"/>
        <w:rPr>
          <w:sz w:val="20"/>
          <w:szCs w:val="20"/>
          <w:color w:val="auto"/>
        </w:rPr>
      </w:pPr>
      <w:r>
        <w:rPr>
          <w:rFonts w:ascii="Arial" w:cs="Arial" w:eastAsia="Arial" w:hAnsi="Arial"/>
          <w:sz w:val="16"/>
          <w:szCs w:val="16"/>
          <w:color w:val="auto"/>
        </w:rPr>
        <w:t>As a result of the refinancing of the $350 Million 5% Senior Notes, the Company wrote off $1.7 million of unamortized DFCs, which are recorded as interest expense in the accompanying consolidated statement of operations for 2019.</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$400 Million 5% Senior Notes Due 2023</w:t>
      </w:r>
    </w:p>
    <w:p>
      <w:pPr>
        <w:spacing w:after="0" w:line="225" w:lineRule="exact"/>
        <w:rPr>
          <w:sz w:val="20"/>
          <w:szCs w:val="20"/>
          <w:color w:val="auto"/>
        </w:rPr>
      </w:pPr>
    </w:p>
    <w:p>
      <w:pPr>
        <w:ind w:left="60" w:right="219"/>
        <w:spacing w:after="0" w:line="293" w:lineRule="auto"/>
        <w:rPr>
          <w:sz w:val="20"/>
          <w:szCs w:val="20"/>
          <w:color w:val="auto"/>
        </w:rPr>
      </w:pPr>
      <w:r>
        <w:rPr>
          <w:rFonts w:ascii="Arial" w:cs="Arial" w:eastAsia="Arial" w:hAnsi="Arial"/>
          <w:sz w:val="16"/>
          <w:szCs w:val="16"/>
          <w:color w:val="auto"/>
        </w:rPr>
        <w:t>On April 14, 2015, the Operating Partnership and Finco completed the private placement of $400.0 million in aggregate principal amount of senior notes due 2023 (the “$400 Million 5% Senior Notes”), which are guaranteed by the Company and its subsidiaries that guarantee the Credit Facility. The $400 Million 5% Senior Notes and guarantees were issued pursuant to an indenture by and among the issuing subsidiaries and the guarantors and U.S. Bank National Association as trustee. The $400 Million 5% Senior Notes have a maturity date of April 15, 2023 and bear interest at 5% per annum, payable semi-annually in cash in arrears on April 15 and October 15 of each year. The $400 Million 5% Senior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Notes are general unsecured and unsubordinated obligations of the issuing subsidiaries and rank equal in right of payment with such subsidiaries’ existing and future senior unsecured indebtedness and senior in right of payment to future subordinated indebtedness, if any. The $400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5% Senior Notes.</w:t>
      </w:r>
    </w:p>
    <w:p>
      <w:pPr>
        <w:spacing w:after="0" w:line="181"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color w:val="auto"/>
        </w:rPr>
        <w:t>The $400 Million 5% Senior Notes are redeemable, in whole or in part, at a redemption price expressed as a percentage of the principal amount thereof, which percentage is 101.25% and 100.00% beginning on April 15 of 2020 and 2021, respectively, plus accrued and unpaid interest thereon to, but not including, the redemption date.</w:t>
      </w:r>
    </w:p>
    <w:p>
      <w:pPr>
        <w:spacing w:after="0" w:line="165"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color w:val="auto"/>
        </w:rPr>
        <w:t>In connection with the issuance of the $400 Million 5% Senior Notes, in September 2015, the Company completed a registered offer to exchange the $400 Million 5% Senior Notes for registered notes with substantially identical terms as the $400 Million 5% Senior Notes. See Note 16, “Subsequent Events” for further disclosure.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$700 Million 4.75% Senior Notes Due 2027</w:t>
      </w:r>
    </w:p>
    <w:p>
      <w:pPr>
        <w:spacing w:after="0" w:line="225"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In September 2019, the Operating Partnership and Finco completed the private placement of $500.0 million in aggregate principal amount of senior notes due 2027 (the “$500 Million 4.75% Senior Notes”),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beginning on April 15, 2020. The $500 Million 4.75%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67" w:lineRule="exact"/>
        <w:rPr>
          <w:sz w:val="20"/>
          <w:szCs w:val="20"/>
          <w:color w:val="auto"/>
        </w:rPr>
      </w:pPr>
    </w:p>
    <w:p>
      <w:pPr>
        <w:ind w:left="60" w:right="379"/>
        <w:spacing w:after="0" w:line="296" w:lineRule="auto"/>
        <w:rPr>
          <w:sz w:val="20"/>
          <w:szCs w:val="20"/>
          <w:color w:val="auto"/>
        </w:rPr>
      </w:pPr>
      <w:r>
        <w:rPr>
          <w:rFonts w:ascii="Arial" w:cs="Arial" w:eastAsia="Arial" w:hAnsi="Arial"/>
          <w:sz w:val="16"/>
          <w:szCs w:val="16"/>
          <w:color w:val="auto"/>
        </w:rPr>
        <w:t>The net proceeds from the issuance of the $500 Million 4.75% Senior Notes totaled approximately $493 million, after deducting the initial purchasers’ discounts, commissions and offering expenses. The Company used substantially all of these proceeds to repurchase a portion of the $350 Million 5% Senior Notes validly tendered and accepted for purchase pursuant to the cash tender offer discussed above, redeem the remaining portion of the $350 Million 5% Senior Notes discussed above, and to repay a portion of the amounts outstanding under the Revolver.</w:t>
      </w:r>
    </w:p>
    <w:p>
      <w:pPr>
        <w:spacing w:after="0" w:line="161"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In October 2019, the Operating Partnership and Finco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 4.75% Senior Notes”). All other terms and conditions of the additional 2027 notes are identical to the $500 Million 4.75% Senior Notes.</w:t>
      </w:r>
    </w:p>
    <w:p>
      <w:pPr>
        <w:spacing w:after="0" w:line="192"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The net proceeds of the additional 2027 notes totaled approximately $199 million, after deducting the initial purchasers’ discounts, commissions and offering expenses. The Company used substantially all of these proceeds to repay a portion of the amounts outstanding under the Revolver.</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6" w:lineRule="auto"/>
        <w:rPr>
          <w:sz w:val="20"/>
          <w:szCs w:val="20"/>
          <w:color w:val="auto"/>
        </w:rPr>
      </w:pPr>
      <w:r>
        <w:rPr>
          <w:rFonts w:ascii="Arial" w:cs="Arial" w:eastAsia="Arial" w:hAnsi="Arial"/>
          <w:sz w:val="16"/>
          <w:szCs w:val="16"/>
          <w:color w:val="auto"/>
        </w:rPr>
        <w:t>The $700 Million 4.75% Senior Notes are redeemable before October 15, 2022, in whole or in part, at 100.00% of the principal amount thereof, plus accrued and unpaid interest thereon to, but not including, the redemption date plus a make-whole redemption premium. The $700 Million 4.75% Senior Notes will be redeemable, in whole or in part, at any time on or after October 15, 2022 at a redemption price expressed as a percentage of the principal amount thereof,</w:t>
      </w:r>
    </w:p>
    <w:p>
      <w:pPr>
        <w:spacing w:after="0" w:line="1" w:lineRule="exact"/>
        <w:rPr>
          <w:sz w:val="20"/>
          <w:szCs w:val="20"/>
          <w:color w:val="auto"/>
        </w:rPr>
      </w:pPr>
    </w:p>
    <w:p>
      <w:pPr>
        <w:ind w:left="60" w:right="379"/>
        <w:spacing w:after="0" w:line="290" w:lineRule="auto"/>
        <w:rPr>
          <w:sz w:val="20"/>
          <w:szCs w:val="20"/>
          <w:color w:val="auto"/>
        </w:rPr>
      </w:pPr>
      <w:r>
        <w:rPr>
          <w:rFonts w:ascii="Arial" w:cs="Arial" w:eastAsia="Arial" w:hAnsi="Arial"/>
          <w:sz w:val="17"/>
          <w:szCs w:val="17"/>
          <w:color w:val="auto"/>
        </w:rPr>
        <w:t>which percentage is 103.563%, 102.375%, 101.188%, and 100.00% beginning on October 15 of 2022, 2023, 2024, and 2025, respectively, plus accrued and unpaid interest thereon to, but not including, the redemption date.</w:t>
      </w:r>
    </w:p>
    <w:p>
      <w:pPr>
        <w:spacing w:after="0" w:line="134"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The Company completed a registered offer to exchange the $700 Million 4.75% Senior Notes for registered notes with substantially identical terms as the $700 Million 4.75% Senior Notes in July 2020.</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$800 Million Term Loan (Gaylord Rockies Joint Venture)</w:t>
      </w:r>
    </w:p>
    <w:p>
      <w:pPr>
        <w:spacing w:after="0" w:line="185"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On July 2, 2019, Aurora Convention Center Hotel, LLC (“Hotel Owner”) and Aurora Convention Center Hotel Lessee, LLC (collectively, “Borrower”), subsidiaries of the entities comprising the Gaylord Rockies joint venture, entered into a Second Amended and Restated Loan Agreement (the “Gaylord Rockies Loan”) with Wells Fargo Bank, National Association, as administrative agent, which refinanced the Gaylord Rockies joint venture’s previous $500 million construction loan and $39 million mezzanine loan, which were scheduled to mature in December 2019. The Gaylord Rockies Loan consists of an $800.0 million secured term loan facility and also includes the option for an additional $80.0 million of borrowing capacity should the Gaylord Rockies joint venture intend to pursue a future expansion of Gaylord Rockies, which was announced in February 2020, but has been postponed as a result of the COVID-19 pandemic. The Gaylord Rockies Loan matures July 2, 2023 with three, one-year extension options, subject to certain requirements in the Gaylord Rockies Loan, and bears interest at LIBOR plus 2.50%. Simultaneous with closing, the Gaylord Rockies joint venture entered into an interest rate swap to fix the LIBOR portion of the interest rate at 1.65% for the first three years of the loan. The Company has designated this interest rate swap as an effective cash flow hedge.</w:t>
      </w:r>
    </w:p>
    <w:p>
      <w:pPr>
        <w:spacing w:after="0" w:line="141" w:lineRule="exact"/>
        <w:rPr>
          <w:sz w:val="20"/>
          <w:szCs w:val="20"/>
          <w:color w:val="auto"/>
        </w:rPr>
      </w:pPr>
    </w:p>
    <w:p>
      <w:pPr>
        <w:ind w:left="60" w:right="239"/>
        <w:spacing w:after="0" w:line="286" w:lineRule="auto"/>
        <w:rPr>
          <w:sz w:val="20"/>
          <w:szCs w:val="20"/>
          <w:color w:val="auto"/>
        </w:rPr>
      </w:pPr>
      <w:r>
        <w:rPr>
          <w:rFonts w:ascii="Arial" w:cs="Arial" w:eastAsia="Arial" w:hAnsi="Arial"/>
          <w:sz w:val="16"/>
          <w:szCs w:val="16"/>
          <w:color w:val="auto"/>
        </w:rPr>
        <w:t>The proceeds from the Gaylord Rockies Loan were used by the Gaylord Rockies joint venture to repay the previously outstanding $500 million construction loan and $39 million mezzanine loan, and, after payment of expenses, the Gaylord Rockies joint venture distributed the excess proceeds to the owners of the Gaylord Rockies joint venture pro rata in proportion to their interests therein. The noncontrolling interest owners received a distribution of approximately</w:t>
      </w:r>
    </w:p>
    <w:p>
      <w:pPr>
        <w:spacing w:after="0" w:line="1"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$95 million, and the Company received a distribution of approximately $153 million, which was used to repay a portion of the outstanding indebtedness under the Revolver.</w:t>
      </w:r>
    </w:p>
    <w:p>
      <w:pPr>
        <w:spacing w:after="0" w:line="185"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The Gaylord Rockies Loan is secured by a deed of trust lien on the Gaylord Rockies real estate and related assets. The Company and an affiliate of RIDA each entered into limited repayment and carry guaranties that, in the aggregate, guarantee repayment of 10% of the principal debt, together with interest and operating expenses, which are to be released once the Gaylord Rockies joint venture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64" w:lineRule="exact"/>
        <w:rPr>
          <w:sz w:val="20"/>
          <w:szCs w:val="20"/>
          <w:color w:val="auto"/>
        </w:rPr>
      </w:pPr>
    </w:p>
    <w:p>
      <w:pPr>
        <w:ind w:left="60" w:right="59"/>
        <w:spacing w:after="0" w:line="271" w:lineRule="auto"/>
        <w:rPr>
          <w:sz w:val="20"/>
          <w:szCs w:val="20"/>
          <w:color w:val="auto"/>
        </w:rPr>
      </w:pPr>
      <w:r>
        <w:rPr>
          <w:rFonts w:ascii="Arial" w:cs="Arial" w:eastAsia="Arial" w:hAnsi="Arial"/>
          <w:sz w:val="17"/>
          <w:szCs w:val="17"/>
          <w:color w:val="auto"/>
        </w:rPr>
        <w:t>On June 30, 2020, the Loan Parties entered into Amendment No. 1 (the “Loan Amendment”) to the Gaylord Rockies Loan, by and among the Loan Parties, Wells Fargo Bank, National Association, as administrative agent, and the lenders from time to time party thereto. The Loan Amendment modified the Gaylord Rockies Loan to (i) provide for the ability to use cash for certain purposes, even during a Cash Sweep Period (as defined in the Loan Agreement), which the Gaylord Rockies joint venture is in beginning in July 2020, (ii) extend the deadline for Hotel Owner to commence construction of an expansion to Gaylord Rockies, and (iii) provide favorable changes to the debt service coverage ratio provisions. The Loan Amendment includes restrictions on distributions to the owners of the Gaylord Rockies joint venture and requires a certain level of equity financing for a Gaylord Rockies expansion.</w:t>
      </w:r>
    </w:p>
    <w:p>
      <w:pPr>
        <w:spacing w:after="0" w:line="178"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As a result of the above refinancings, the Gaylord Rockies joint venture wrote off $0.1 million and $1.1 million of unamortized DFCs, which are recorded as interest expense in the accompanying consolidated statements of operations for 2020 and 2019,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Derivatives</w:t>
      </w:r>
    </w:p>
    <w:p>
      <w:pPr>
        <w:spacing w:after="0" w:line="225"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In October 2019, the Company entered into interest rate swaps to manage interest rate risk associated with the Term Loan B and has designated these swaps as effective cash flow hedges whereby the Company receives variable-rate amounts in exchange for fixed-rate payments over the life of the agreement without exchange of the underlying principal amount. In July 2019, the Gaylord Rockies joint venture entered into an interest rate swap to manage interest rate risk associated with the Gaylord Rockies Loan. The Gaylord Rockies joint venture has designated this swap as a cash flow hedge whereby the joint venture receives variable-rate amounts in exchange for fixed-rate payments over the life of the agreement without exchange of the underlying principal amount.</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estimated fair value of the Company’s derivative financial instruments at December 31 is as follows (in thousands):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Strike</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4"/>
                <w:szCs w:val="14"/>
                <w:color w:val="auto"/>
              </w:rPr>
            </w:pPr>
          </w:p>
        </w:tc>
        <w:tc>
          <w:tcPr>
            <w:tcW w:w="17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Asset (Liability) Balance</w:t>
            </w:r>
          </w:p>
        </w:tc>
        <w:tc>
          <w:tcPr>
            <w:tcW w:w="0" w:type="dxa"/>
            <w:vAlign w:val="bottom"/>
          </w:tcPr>
          <w:p>
            <w:pPr>
              <w:spacing w:after="0"/>
              <w:rPr>
                <w:sz w:val="1"/>
                <w:szCs w:val="1"/>
                <w:color w:val="auto"/>
              </w:rPr>
            </w:pPr>
          </w:p>
        </w:tc>
      </w:tr>
      <w:tr>
        <w:trPr>
          <w:trHeight w:val="119"/>
        </w:trPr>
        <w:tc>
          <w:tcPr>
            <w:tcW w:w="20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Hedged Debt</w:t>
            </w:r>
          </w:p>
        </w:tc>
        <w:tc>
          <w:tcPr>
            <w:tcW w:w="12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Type</w:t>
            </w:r>
          </w:p>
        </w:tc>
        <w:tc>
          <w:tcPr>
            <w:tcW w:w="660" w:type="dxa"/>
            <w:vAlign w:val="bottom"/>
            <w:gridSpan w:val="2"/>
            <w:vMerge w:val="continue"/>
          </w:tcPr>
          <w:p>
            <w:pPr>
              <w:spacing w:after="0"/>
              <w:rPr>
                <w:sz w:val="10"/>
                <w:szCs w:val="10"/>
                <w:color w:val="auto"/>
              </w:rPr>
            </w:pPr>
          </w:p>
        </w:tc>
        <w:tc>
          <w:tcPr>
            <w:tcW w:w="11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Index</w:t>
            </w:r>
          </w:p>
        </w:tc>
        <w:tc>
          <w:tcPr>
            <w:tcW w:w="10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9"/>
              </w:rPr>
              <w:t>Maturity Date</w:t>
            </w:r>
          </w:p>
        </w:tc>
        <w:tc>
          <w:tcPr>
            <w:tcW w:w="900" w:type="dxa"/>
            <w:vAlign w:val="bottom"/>
            <w:gridSpan w:val="2"/>
            <w:vMerge w:val="continue"/>
          </w:tcPr>
          <w:p>
            <w:pPr>
              <w:spacing w:after="0"/>
              <w:rPr>
                <w:sz w:val="10"/>
                <w:szCs w:val="10"/>
                <w:color w:val="auto"/>
              </w:rPr>
            </w:pPr>
          </w:p>
        </w:tc>
        <w:tc>
          <w:tcPr>
            <w:tcW w:w="9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6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Rate</w:t>
            </w:r>
          </w:p>
        </w:tc>
        <w:tc>
          <w:tcPr>
            <w:tcW w:w="11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Term Loan B</w:t>
            </w:r>
          </w:p>
        </w:tc>
        <w:tc>
          <w:tcPr>
            <w:tcW w:w="6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Interest Rate Swap</w:t>
            </w:r>
          </w:p>
        </w:tc>
        <w:tc>
          <w:tcPr>
            <w:tcW w:w="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1.2235%</w:t>
            </w:r>
          </w:p>
        </w:tc>
        <w:tc>
          <w:tcPr>
            <w:tcW w:w="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1-month LIBOR</w:t>
            </w:r>
          </w:p>
        </w:tc>
        <w:tc>
          <w:tcPr>
            <w:tcW w:w="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May 11, 2023</w:t>
            </w:r>
          </w:p>
        </w:tc>
        <w:tc>
          <w:tcPr>
            <w:tcW w:w="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$ 87,500</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(2,206)</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Term Loan B</w:t>
            </w:r>
          </w:p>
        </w:tc>
        <w:tc>
          <w:tcPr>
            <w:tcW w:w="12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0"/>
              </w:rPr>
              <w:t>1.2235%</w:t>
            </w:r>
          </w:p>
        </w:tc>
        <w:tc>
          <w:tcPr>
            <w:tcW w:w="4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May 11, 2023</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(2,206)</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Term Loan B</w:t>
            </w:r>
          </w:p>
        </w:tc>
        <w:tc>
          <w:tcPr>
            <w:tcW w:w="128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1.2235%</w:t>
            </w:r>
          </w:p>
        </w:tc>
        <w:tc>
          <w:tcPr>
            <w:tcW w:w="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4"/>
              </w:rPr>
              <w:t>May 11, 2023</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(2,206)</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Term Loan B</w:t>
            </w:r>
          </w:p>
        </w:tc>
        <w:tc>
          <w:tcPr>
            <w:tcW w:w="12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0"/>
              </w:rPr>
              <w:t>1.2315%</w:t>
            </w:r>
          </w:p>
        </w:tc>
        <w:tc>
          <w:tcPr>
            <w:tcW w:w="4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May 11, 2023</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(2,222)</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Gaylord Rockies Loan</w:t>
            </w:r>
          </w:p>
        </w:tc>
        <w:tc>
          <w:tcPr>
            <w:tcW w:w="128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1.6500%</w:t>
            </w:r>
          </w:p>
        </w:tc>
        <w:tc>
          <w:tcPr>
            <w:tcW w:w="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3"/>
              </w:rPr>
              <w:t>August 1, 2022</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$ 800,000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(18,979)</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(27,819)</w:t>
            </w: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619"/>
        <w:spacing w:after="0" w:line="308" w:lineRule="auto"/>
        <w:rPr>
          <w:sz w:val="20"/>
          <w:szCs w:val="20"/>
          <w:color w:val="auto"/>
        </w:rPr>
      </w:pPr>
      <w:r>
        <w:rPr>
          <w:rFonts w:ascii="Arial" w:cs="Arial" w:eastAsia="Arial" w:hAnsi="Arial"/>
          <w:sz w:val="17"/>
          <w:szCs w:val="17"/>
          <w:color w:val="auto"/>
        </w:rPr>
        <w:t>Derivative financial instruments in an asset position are included in prepaid expenses and other assets and those in a liability position are included in other liabilities in the accompanying consolidated balance sheets.</w:t>
      </w:r>
    </w:p>
    <w:p>
      <w:pPr>
        <w:spacing w:after="0" w:line="146"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color w:val="auto"/>
        </w:rPr>
        <w:t>The effect of the Company’s derivative financial instruments on the accompanying consolidated statements of operations and comprehensive income (loss) for the years ended December 31 is as follows (in thousands):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center"/>
              <w:ind w:right="25"/>
              <w:spacing w:after="0"/>
              <w:rPr>
                <w:sz w:val="20"/>
                <w:szCs w:val="20"/>
                <w:color w:val="auto"/>
              </w:rPr>
            </w:pPr>
            <w:r>
              <w:rPr>
                <w:rFonts w:ascii="Arial" w:cs="Arial" w:eastAsia="Arial" w:hAnsi="Arial"/>
                <w:sz w:val="14"/>
                <w:szCs w:val="14"/>
                <w:b w:val="1"/>
                <w:bCs w:val="1"/>
                <w:color w:val="auto"/>
                <w:w w:val="92"/>
              </w:rPr>
              <w:t>Amount of Gain (Loss)</w:t>
            </w:r>
          </w:p>
        </w:tc>
        <w:tc>
          <w:tcPr>
            <w:tcW w:w="10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100" w:type="dxa"/>
            <w:vAlign w:val="bottom"/>
          </w:tcPr>
          <w:p>
            <w:pPr>
              <w:spacing w:after="0"/>
              <w:rPr>
                <w:sz w:val="14"/>
                <w:szCs w:val="14"/>
                <w:color w:val="auto"/>
              </w:rPr>
            </w:pPr>
          </w:p>
        </w:tc>
        <w:tc>
          <w:tcPr>
            <w:tcW w:w="1860" w:type="dxa"/>
            <w:vAlign w:val="bottom"/>
            <w:gridSpan w:val="4"/>
          </w:tcPr>
          <w:p>
            <w:pPr>
              <w:jc w:val="center"/>
              <w:ind w:right="25"/>
              <w:spacing w:after="0"/>
              <w:rPr>
                <w:sz w:val="20"/>
                <w:szCs w:val="20"/>
                <w:color w:val="auto"/>
              </w:rPr>
            </w:pPr>
            <w:r>
              <w:rPr>
                <w:rFonts w:ascii="Arial" w:cs="Arial" w:eastAsia="Arial" w:hAnsi="Arial"/>
                <w:sz w:val="14"/>
                <w:szCs w:val="14"/>
                <w:b w:val="1"/>
                <w:bCs w:val="1"/>
                <w:color w:val="auto"/>
                <w:w w:val="92"/>
              </w:rPr>
              <w:t>Amount of Gain (Loss)</w:t>
            </w: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25"/>
              <w:spacing w:after="0" w:line="149" w:lineRule="exact"/>
              <w:rPr>
                <w:sz w:val="20"/>
                <w:szCs w:val="20"/>
                <w:color w:val="auto"/>
              </w:rPr>
            </w:pPr>
            <w:r>
              <w:rPr>
                <w:rFonts w:ascii="Arial" w:cs="Arial" w:eastAsia="Arial" w:hAnsi="Arial"/>
                <w:sz w:val="14"/>
                <w:szCs w:val="14"/>
                <w:b w:val="1"/>
                <w:bCs w:val="1"/>
                <w:color w:val="auto"/>
                <w:w w:val="93"/>
              </w:rPr>
              <w:t>Recognized in OCI</w:t>
            </w:r>
          </w:p>
        </w:tc>
        <w:tc>
          <w:tcPr>
            <w:tcW w:w="10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r>
      <w:tr>
        <w:trPr>
          <w:trHeight w:val="171"/>
        </w:trPr>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25"/>
              <w:spacing w:after="0"/>
              <w:rPr>
                <w:sz w:val="20"/>
                <w:szCs w:val="20"/>
                <w:color w:val="auto"/>
              </w:rPr>
            </w:pPr>
            <w:r>
              <w:rPr>
                <w:rFonts w:ascii="Arial" w:cs="Arial" w:eastAsia="Arial" w:hAnsi="Arial"/>
                <w:sz w:val="14"/>
                <w:szCs w:val="14"/>
                <w:b w:val="1"/>
                <w:bCs w:val="1"/>
                <w:color w:val="auto"/>
                <w:w w:val="95"/>
              </w:rPr>
              <w:t>on Derivative</w:t>
            </w:r>
          </w:p>
        </w:tc>
        <w:tc>
          <w:tcPr>
            <w:tcW w:w="10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Accumulated OCI</w:t>
            </w: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25"/>
              <w:spacing w:after="0"/>
              <w:rPr>
                <w:sz w:val="20"/>
                <w:szCs w:val="20"/>
                <w:color w:val="auto"/>
              </w:rPr>
            </w:pPr>
            <w:r>
              <w:rPr>
                <w:rFonts w:ascii="Arial" w:cs="Arial" w:eastAsia="Arial" w:hAnsi="Arial"/>
                <w:sz w:val="14"/>
                <w:szCs w:val="14"/>
                <w:b w:val="1"/>
                <w:bCs w:val="1"/>
                <w:color w:val="auto"/>
                <w:w w:val="94"/>
              </w:rPr>
              <w:t>OCI into Income (Expense)</w:t>
            </w:r>
          </w:p>
        </w:tc>
      </w:tr>
      <w:tr>
        <w:trPr>
          <w:trHeight w:val="142"/>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07"/>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8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5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into Income (Expense)</w:t>
            </w:r>
          </w:p>
        </w:tc>
        <w:tc>
          <w:tcPr>
            <w:tcW w:w="100" w:type="dxa"/>
            <w:vAlign w:val="bottom"/>
          </w:tcPr>
          <w:p>
            <w:pPr>
              <w:spacing w:after="0"/>
              <w:rPr>
                <w:sz w:val="12"/>
                <w:szCs w:val="12"/>
                <w:color w:val="auto"/>
              </w:rPr>
            </w:pPr>
          </w:p>
        </w:tc>
        <w:tc>
          <w:tcPr>
            <w:tcW w:w="860" w:type="dxa"/>
            <w:vAlign w:val="bottom"/>
          </w:tcPr>
          <w:p>
            <w:pPr>
              <w:jc w:val="right"/>
              <w:ind w:right="266"/>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45"/>
              <w:spacing w:after="0" w:line="142" w:lineRule="exact"/>
              <w:rPr>
                <w:sz w:val="20"/>
                <w:szCs w:val="20"/>
                <w:color w:val="auto"/>
              </w:rPr>
            </w:pPr>
            <w:r>
              <w:rPr>
                <w:rFonts w:ascii="Arial" w:cs="Arial" w:eastAsia="Arial" w:hAnsi="Arial"/>
                <w:sz w:val="14"/>
                <w:szCs w:val="14"/>
                <w:b w:val="1"/>
                <w:bCs w:val="1"/>
                <w:color w:val="auto"/>
              </w:rPr>
              <w:t>2019</w:t>
            </w:r>
          </w:p>
        </w:tc>
      </w:tr>
      <w:tr>
        <w:trPr>
          <w:trHeight w:val="155"/>
        </w:trPr>
        <w:tc>
          <w:tcPr>
            <w:tcW w:w="36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62"/>
        </w:trPr>
        <w:tc>
          <w:tcPr>
            <w:tcW w:w="3660" w:type="dxa"/>
            <w:vAlign w:val="bottom"/>
          </w:tcPr>
          <w:p>
            <w:pPr>
              <w:ind w:left="20"/>
              <w:spacing w:after="0" w:line="162" w:lineRule="exact"/>
              <w:rPr>
                <w:sz w:val="20"/>
                <w:szCs w:val="20"/>
                <w:color w:val="auto"/>
              </w:rPr>
            </w:pPr>
            <w:r>
              <w:rPr>
                <w:rFonts w:ascii="Arial" w:cs="Arial" w:eastAsia="Arial" w:hAnsi="Arial"/>
                <w:sz w:val="15"/>
                <w:szCs w:val="15"/>
                <w:color w:val="auto"/>
              </w:rPr>
              <w:t>Interest rate swaps</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(39,958)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3,539</w:t>
            </w:r>
          </w:p>
        </w:tc>
        <w:tc>
          <w:tcPr>
            <w:tcW w:w="100" w:type="dxa"/>
            <w:vAlign w:val="bottom"/>
          </w:tcPr>
          <w:p>
            <w:pPr>
              <w:spacing w:after="0"/>
              <w:rPr>
                <w:sz w:val="14"/>
                <w:szCs w:val="14"/>
                <w:color w:val="auto"/>
              </w:rPr>
            </w:pPr>
          </w:p>
        </w:tc>
        <w:tc>
          <w:tcPr>
            <w:tcW w:w="1500" w:type="dxa"/>
            <w:vAlign w:val="bottom"/>
            <w:gridSpan w:val="2"/>
          </w:tcPr>
          <w:p>
            <w:pPr>
              <w:jc w:val="center"/>
              <w:ind w:right="100"/>
              <w:spacing w:after="0" w:line="162" w:lineRule="exact"/>
              <w:rPr>
                <w:sz w:val="20"/>
                <w:szCs w:val="20"/>
                <w:color w:val="auto"/>
              </w:rPr>
            </w:pPr>
            <w:r>
              <w:rPr>
                <w:rFonts w:ascii="Arial" w:cs="Arial" w:eastAsia="Arial" w:hAnsi="Arial"/>
                <w:sz w:val="15"/>
                <w:szCs w:val="15"/>
                <w:color w:val="auto"/>
                <w:w w:val="90"/>
              </w:rPr>
              <w:t>Interest expense</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(10,505)</w:t>
            </w:r>
          </w:p>
        </w:tc>
        <w:tc>
          <w:tcPr>
            <w:tcW w:w="200" w:type="dxa"/>
            <w:vAlign w:val="bottom"/>
          </w:tcPr>
          <w:p>
            <w:pPr>
              <w:jc w:val="right"/>
              <w:ind w:right="44"/>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1,905</w:t>
            </w:r>
          </w:p>
        </w:tc>
      </w:tr>
      <w:tr>
        <w:trPr>
          <w:trHeight w:val="155"/>
        </w:trPr>
        <w:tc>
          <w:tcPr>
            <w:tcW w:w="366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Total derivatives</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(39,958)</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3,539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(10,505)</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1,905</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499"/>
        <w:spacing w:after="0" w:line="263" w:lineRule="auto"/>
        <w:rPr>
          <w:sz w:val="20"/>
          <w:szCs w:val="20"/>
          <w:color w:val="auto"/>
        </w:rPr>
      </w:pPr>
      <w:r>
        <w:rPr>
          <w:rFonts w:ascii="Arial" w:cs="Arial" w:eastAsia="Arial" w:hAnsi="Arial"/>
          <w:sz w:val="18"/>
          <w:szCs w:val="18"/>
          <w:color w:val="auto"/>
        </w:rPr>
        <w:t>Reclassifications from accumulated other comprehensive loss for interest rate swaps are shown in the table above and included in interest expense. Total consolidated interest expense for 2020, 2019 and 2018 was $115.8 million, $131.6 million and $75.0 million, respectively.</w:t>
      </w:r>
    </w:p>
    <w:p>
      <w:pPr>
        <w:spacing w:after="0" w:line="143" w:lineRule="exact"/>
        <w:rPr>
          <w:sz w:val="20"/>
          <w:szCs w:val="20"/>
          <w:color w:val="auto"/>
        </w:rPr>
      </w:pPr>
    </w:p>
    <w:p>
      <w:pPr>
        <w:ind w:left="60" w:right="219"/>
        <w:spacing w:after="0" w:line="254" w:lineRule="auto"/>
        <w:rPr>
          <w:sz w:val="20"/>
          <w:szCs w:val="20"/>
          <w:color w:val="auto"/>
        </w:rPr>
      </w:pPr>
      <w:r>
        <w:rPr>
          <w:rFonts w:ascii="Arial" w:cs="Arial" w:eastAsia="Arial" w:hAnsi="Arial"/>
          <w:sz w:val="18"/>
          <w:szCs w:val="18"/>
          <w:color w:val="auto"/>
        </w:rPr>
        <w:t>At December 31, 2020, the fair value of derivatives in a net liability position including accrued interest but excluding any adjustment for nonperformance risk related to these agreements was $29.4 million. As of December 31, 2020,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$29.4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Deferred Management Rights Proceeds</w:t>
      </w:r>
    </w:p>
    <w:p>
      <w:pPr>
        <w:spacing w:after="0" w:line="229"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On October 1, 2012, the Company consummated its agreement to sell the Gaylord Hotels brand and rights to manage the four wholly-owned Gaylord Hotels properties (the “Management Rights”) to Marriott for $210.0 million in cash. Effective October 1, 2012, Marriott assumed responsibility for managing the day-to-day operations of the four wholly-owned Gaylord Hotels properties pursuant to a management agreement for each such property. The Company allocated $190.0 million of the purchase price to the Management Rights, based on the Company’s estimates of the fair values for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311" w:lineRule="auto"/>
        <w:rPr>
          <w:sz w:val="20"/>
          <w:szCs w:val="20"/>
          <w:color w:val="auto"/>
        </w:rPr>
      </w:pPr>
      <w:r>
        <w:rPr>
          <w:rFonts w:ascii="Arial" w:cs="Arial" w:eastAsia="Arial" w:hAnsi="Arial"/>
          <w:sz w:val="16"/>
          <w:szCs w:val="16"/>
          <w:color w:val="auto"/>
        </w:rPr>
        <w:t>the respective components. For financial reporting purposes, the amount related to the Management Rights was deferred and is amortized on a straight-line basis over the 65-year term of the hotel management agreements, including extensions, as a reduction in management fee expense in the accompanying consolidated statements of operations.</w:t>
      </w:r>
    </w:p>
    <w:p>
      <w:pPr>
        <w:spacing w:after="0" w:line="149" w:lineRule="exact"/>
        <w:rPr>
          <w:sz w:val="20"/>
          <w:szCs w:val="20"/>
          <w:color w:val="auto"/>
        </w:rPr>
      </w:pPr>
    </w:p>
    <w:p>
      <w:pPr>
        <w:jc w:val="both"/>
        <w:ind w:left="60" w:right="479"/>
        <w:spacing w:after="0" w:line="311" w:lineRule="auto"/>
        <w:rPr>
          <w:sz w:val="20"/>
          <w:szCs w:val="20"/>
          <w:color w:val="auto"/>
        </w:rPr>
      </w:pPr>
      <w:r>
        <w:rPr>
          <w:rFonts w:ascii="Arial" w:cs="Arial" w:eastAsia="Arial" w:hAnsi="Arial"/>
          <w:sz w:val="16"/>
          <w:szCs w:val="16"/>
          <w:color w:val="auto"/>
        </w:rPr>
        <w:t>In addition, the Gaylord Rockies joint venture sold its management rights to Marriott for $4.9 million, which was also deferred and is amortized on a straight-line basis over the 70-year term of the hotel management agreement, including extensions, as a reduction in management fee expense in the accompanying consolidated statements of operations.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The Company is a lessee of a 65.3 acre site in Osceola County, Florida on which Gaylord Palms is located, building or land leases for Ole Red Gatlinburg, Ole Red Orlando and Ole Red Tishomingo,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Extension options are not considered reasonably assured and thus are not included in the Company’s calculation of its right-of-use assets and liabilities.</w:t>
      </w:r>
    </w:p>
    <w:p>
      <w:pPr>
        <w:spacing w:after="0" w:line="178"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The terms of the Gaylord Palms lease include variable lease payments based upon net revenues at Gaylord Palms and certain other of the Company’s leases include rental payments adjusted periodically for inflation. The Company recorded $0.7 million, $2.5 million and $2.2 million of contingent rental expense related to the Gaylord Palms in 2020, 2019 and 2018, respectively. The Company’s lease agreements do not contain any material residual value guarantees or material restrictive covenants.</w:t>
      </w:r>
    </w:p>
    <w:p>
      <w:pPr>
        <w:spacing w:after="0" w:line="188"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As the discount rate implicit in the Company’s operating leases is not readily determinable, the Company applied judgments related to the determination of the discount rates used to calculate the lease liability as required by Accounting Standards Codification Topic 842, “</w:t>
      </w:r>
      <w:r>
        <w:rPr>
          <w:rFonts w:ascii="Arial" w:cs="Arial" w:eastAsia="Arial" w:hAnsi="Arial"/>
          <w:sz w:val="17"/>
          <w:szCs w:val="17"/>
          <w:i w:val="1"/>
          <w:iCs w:val="1"/>
          <w:color w:val="auto"/>
        </w:rPr>
        <w:t>Leases</w:t>
      </w:r>
      <w:r>
        <w:rPr>
          <w:rFonts w:ascii="Arial" w:cs="Arial" w:eastAsia="Arial" w:hAnsi="Arial"/>
          <w:sz w:val="17"/>
          <w:szCs w:val="17"/>
          <w:color w:val="auto"/>
        </w:rPr>
        <w:t>”. The Company calculated its incremental borrowing rates by utilizing judgments and estimates regarding the Company’s secured borrowing rates, market credit rating, comparable bond yield curve, and adjustments to market yield curves to determine a securitized rate.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lease cost for the years ended December 31, 2020 and 2019 is as follows (in thousands):</w:t>
      </w:r>
    </w:p>
    <w:p>
      <w:pPr>
        <w:spacing w:after="0" w:line="29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Finance lease cost: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right-of-use assets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5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on lease liabilities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12,213</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14,097</w:t>
            </w: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Lease expense for operating leases for 2018 was $14.3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Future minimum lease payments under non-cancelable leases at December 31, 2020 are as follows (in thousands):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Finance</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Leases</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10"/>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Year 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Year 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Years thereafter</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568,311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(490,824)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9"/>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present value of minimum payments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CCEEFF"/>
            </w:tcBorders>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1"/>
              </w:rPr>
              <w:t>The remaining lease term and discount rate for the Company’s leases are as follows:</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85"/>
              </w:rPr>
              <w:t>50.2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10.1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173"/>
              <w:spacing w:after="0"/>
              <w:rPr>
                <w:sz w:val="20"/>
                <w:szCs w:val="20"/>
                <w:color w:val="auto"/>
              </w:rPr>
            </w:pPr>
            <w:r>
              <w:rPr>
                <w:rFonts w:ascii="Arial" w:cs="Arial" w:eastAsia="Arial" w:hAnsi="Arial"/>
                <w:sz w:val="18"/>
                <w:szCs w:val="18"/>
                <w:color w:val="auto"/>
              </w:rPr>
              <w:t>6.9 %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gridSpan w:val="3"/>
          </w:tcPr>
          <w:p>
            <w:pPr>
              <w:jc w:val="right"/>
              <w:ind w:right="173"/>
              <w:spacing w:after="0"/>
              <w:rPr>
                <w:sz w:val="20"/>
                <w:szCs w:val="20"/>
                <w:color w:val="auto"/>
              </w:rPr>
            </w:pPr>
            <w:r>
              <w:rPr>
                <w:rFonts w:ascii="Arial" w:cs="Arial" w:eastAsia="Arial" w:hAnsi="Arial"/>
                <w:sz w:val="18"/>
                <w:szCs w:val="18"/>
                <w:color w:val="auto"/>
              </w:rPr>
              <w:t>4.0 %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Stock Plans</w:t>
      </w:r>
    </w:p>
    <w:p>
      <w:pPr>
        <w:spacing w:after="0" w:line="229" w:lineRule="exact"/>
        <w:rPr>
          <w:sz w:val="20"/>
          <w:szCs w:val="20"/>
          <w:color w:val="auto"/>
        </w:rPr>
      </w:pPr>
    </w:p>
    <w:p>
      <w:pPr>
        <w:jc w:val="both"/>
        <w:ind w:left="60" w:right="339"/>
        <w:spacing w:after="0" w:line="259" w:lineRule="auto"/>
        <w:rPr>
          <w:sz w:val="20"/>
          <w:szCs w:val="20"/>
          <w:color w:val="auto"/>
        </w:rPr>
      </w:pPr>
      <w:r>
        <w:rPr>
          <w:rFonts w:ascii="Arial" w:cs="Arial" w:eastAsia="Arial" w:hAnsi="Arial"/>
          <w:sz w:val="18"/>
          <w:szCs w:val="18"/>
          <w:color w:val="auto"/>
        </w:rPr>
        <w:t>The Company’s 2016 Omnibus Incentive Plan (the “Plan”) permits the grant of stock options, stock appreciation rights, restricted stock, restricted stock units, performance awards and other share-based awards to its directors, employees and consultants. At December 31, 2020, approximately 1.2 million shares of common stock remained available for issuance pursuant to future grants of awards under the Plan.</w:t>
      </w:r>
    </w:p>
    <w:p>
      <w:pPr>
        <w:spacing w:after="0" w:line="187"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Restricted stock units granted to employees vest one to four years from the date of grant, and restricted stock units granted to non-employee directors vest one year from the date of grant, unless the recipient chooses to defer the vesting for a period of time. Depending on the type of award, the fair value of restricted stock units is determined either based on the market price of the Company’s stock at the date of grant or based on a Monte-Carlo valuation. Forfeitures are estimated based on historical experience. The Company generally records compensation expense equal to the fair value of each restricted stock unit granted over the vesting period. The weighted-average grant-date fair value of restricted stock units granted during 2020, 2019, and 2018 was $84.26, $89.29, and $71.74, respectively.</w:t>
      </w:r>
    </w:p>
    <w:p>
      <w:pPr>
        <w:spacing w:after="0" w:line="177"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A summary of the status of the Company’s restricted stock units as of December 31, 2020 and changes during the year ended December 31, 2020, is presented below:</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Restricted Stock Units</w:t>
            </w:r>
          </w:p>
        </w:tc>
        <w:tc>
          <w:tcPr>
            <w:tcW w:w="7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jc w:val="center"/>
              <w:ind w:left="54"/>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550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shares at January 1, 2020</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349,358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162,942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(130,623)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Canceled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(21,774)</w:t>
            </w: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86.80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shares at December 31, 2020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359,903</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The fair value of all restricted stock units that vested during 2020, 2019 and 2018 was $4.9 million, $12.7 million and $11.7 million, respectively.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At December 31, 2020, there was $15.5 million of total unrecognized compensation cost related to restricted stock units granted under the Company’s equity incentive plans. That cost is expected to be recognized over a weighted-average period of 2.3 years.</w:t>
      </w:r>
    </w:p>
    <w:p>
      <w:pPr>
        <w:spacing w:after="0" w:line="184"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The compensation cost that has been charged against pre-tax income for all of the Company’s stock-based compensation plans was $8.7 million, $7.8 million, and $7.7 million for 2020, 2019, and 2018, respectively. The total income tax benefit recognized in the accompanying consolidated statements of operations for all of the Company’s stock-based employee compensation plans was $2.1 million, $1.8 million, and $1.7 million for 2020, 2019, and 2018, respectively.</w:t>
      </w:r>
    </w:p>
    <w:p>
      <w:pPr>
        <w:spacing w:after="0" w:line="157" w:lineRule="exact"/>
        <w:rPr>
          <w:sz w:val="20"/>
          <w:szCs w:val="20"/>
          <w:color w:val="auto"/>
        </w:rPr>
      </w:pPr>
    </w:p>
    <w:p>
      <w:pPr>
        <w:ind w:left="60" w:right="719"/>
        <w:spacing w:after="0" w:line="311" w:lineRule="auto"/>
        <w:rPr>
          <w:sz w:val="20"/>
          <w:szCs w:val="20"/>
          <w:color w:val="auto"/>
        </w:rPr>
      </w:pPr>
      <w:r>
        <w:rPr>
          <w:rFonts w:ascii="Arial" w:cs="Arial" w:eastAsia="Arial" w:hAnsi="Arial"/>
          <w:sz w:val="16"/>
          <w:szCs w:val="16"/>
          <w:color w:val="auto"/>
        </w:rPr>
        <w:t>The actual tax benefit realized from exercise, vesting or cancellation of the stock-based employee compensation arrangements during 2020, 2019, and 2018 totaled $0.7 million, $1.5 million, and $1.0 million, respectively, and is reflected as an adjustment to deferred tax liabilities in the accompanying consolidated balance sheets.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Pension Plans</w:t>
      </w:r>
    </w:p>
    <w:p>
      <w:pPr>
        <w:spacing w:after="0" w:line="229"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color w:val="auto"/>
        </w:rPr>
        <w:t>Prior to January 1, 2001, the Company maintained a noncontributory defined benefit pension plan in which substantially all of its employees were eligible to participate upon meeting the pension plan’s participation requirements. The benefits were based on years of service and compensation levels. On December 31, 2000, benefits credited under the plan’s previous formula were frozen. On January 1, 2001, the Company amended its defined benefit pension plan to determine future benefits using a cash balance formula. Under the cash formula, each participant had an account which was</w:t>
      </w:r>
    </w:p>
    <w:p>
      <w:pPr>
        <w:spacing w:after="0" w:line="2"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credited monthly with 3% of qualified earnings and the interest earned on their previous month-end cash balance. In addition, the Company included a “grandfather” clause which assures that those participating at January 1, 2001 will receive the greater of the benefit calculated under the cash balance plan and the benefit that would have been payable if the defined benefit plan had remained in existence. The benefit payable to a terminated vested participant upon retirement at age 65, or as early as age 55 if the participant had 15 years of service at the time the plan was frozen, is equal to the participant’s account balance, which increases with interest credits over time. At retirement, the employee generally receives the balance in the account as a lump sum. The funding policy of the Company is to contribute annually an amount which equals or exceeds the minimum required by applicable law. On December 31, 2001, the plan was frozen such that no new participants were allowed to enter the plan and existing participants were no longer eligible to earn service credits.</w:t>
      </w:r>
    </w:p>
    <w:p>
      <w:pPr>
        <w:spacing w:after="0" w:line="172"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color w:val="auto"/>
        </w:rPr>
        <w:t>As a result of increased lump-sum distributions from the retirement plan during 2020, 2019 and 2018, net settlement losses of $1.7 million, $1.9 million and $1.6 million were recognized in 2020, 2019 and 2018, respectively. These settlement losses have been classified as other gains and (losses), net in the accompanying consolidated statements of operations.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funded status of the retirement plan at December 31 (amounts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Benefit obligation at beginning of year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82,518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77,847</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Actuarial loss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8,436</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r>
      <w:tr>
        <w:trPr>
          <w:trHeight w:val="210"/>
        </w:trPr>
        <w:tc>
          <w:tcPr>
            <w:tcW w:w="20" w:type="dxa"/>
            <w:vAlign w:val="bottom"/>
          </w:tcPr>
          <w:p>
            <w:pPr>
              <w:spacing w:after="0"/>
              <w:rPr>
                <w:sz w:val="18"/>
                <w:szCs w:val="18"/>
                <w:color w:val="auto"/>
              </w:rPr>
            </w:pPr>
          </w:p>
        </w:tc>
        <w:tc>
          <w:tcPr>
            <w:tcW w:w="4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Benefit obligation at end of year</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86,748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82,518</w:t>
            </w: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Fair value of plan assets at beginning of year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59,653</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Actual return on plan assets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Employer contributions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1,479</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r>
      <w:tr>
        <w:trPr>
          <w:trHeight w:val="209"/>
        </w:trPr>
        <w:tc>
          <w:tcPr>
            <w:tcW w:w="20" w:type="dxa"/>
            <w:vAlign w:val="bottom"/>
          </w:tcPr>
          <w:p>
            <w:pPr>
              <w:spacing w:after="0"/>
              <w:rPr>
                <w:sz w:val="18"/>
                <w:szCs w:val="18"/>
                <w:color w:val="auto"/>
              </w:rPr>
            </w:pPr>
          </w:p>
        </w:tc>
        <w:tc>
          <w:tcPr>
            <w:tcW w:w="4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Fair value of plan assets at end of year</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66,000</w:t>
            </w:r>
          </w:p>
        </w:tc>
      </w:tr>
      <w:tr>
        <w:trPr>
          <w:trHeight w:val="210"/>
        </w:trPr>
        <w:tc>
          <w:tcPr>
            <w:tcW w:w="2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Funded status and accrued pension cost</w:t>
            </w: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(15,527)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(16,518)</w:t>
            </w: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Net periodic pension expense reflected in other gains and (losses), net in the accompanying consolidated statements of operations included the following components for the years ended December 31 (amounts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r>
      <w:tr>
        <w:trPr>
          <w:trHeight w:val="209"/>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(4,101)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(3,849)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(4,363)</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settlement loss</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r>
      <w:tr>
        <w:trPr>
          <w:trHeight w:val="209"/>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periodic pension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assumptions used to determine the benefit obligation at December 31 are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1.95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3.95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weighted-average assumptions used to determine the net periodic pension expense for years ended December 31 are as follows: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2.40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3.51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long-term rate of return on plan assets</w:t>
            </w: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6"/>
              </w:rPr>
              <w:t>6.50 %</w:t>
            </w: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6"/>
              </w:rPr>
              <w:t>6.50 %</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6.50 %</w:t>
            </w:r>
          </w:p>
        </w:tc>
      </w:tr>
    </w:tbl>
    <w:p>
      <w:pPr>
        <w:spacing w:after="0" w:line="202"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rate of increase in future compensation levels was not applicable for any reported years due to the Company amending the plan to freeze the cash balance benefit as described above.</w:t>
      </w:r>
    </w:p>
    <w:p>
      <w:pPr>
        <w:spacing w:after="0" w:line="170"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The Company determines the overall expected long-term rate of return on plan assets based on its estimate of the return that plan assets will provide over the period that benefits are expected to be paid out. In preparing this estimate, the Company assesses the rates of return on each current allocation of plan assets, and advice from its third-party actuary and investment consultants. The expected return on plan assets is a long-term assumption and generally does not significantly change annually. While historical returns are considered, the rate of return assumption is primarily based on projections of expected returns based on fair value, using economic data and financial models to estimate the probability of returns. The probability distribution of annualized returns for the portfolio using current asset allocations is used to determine the expected range of returns for a ten-to-twenty-year horizon. While management believes that the assumptions used are appropriate, differences in actual experience or changes in assumptions may affect the Company’s pension obligations and expense.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Plan Assets</w:t>
      </w:r>
    </w:p>
    <w:p>
      <w:pPr>
        <w:spacing w:after="0" w:line="225" w:lineRule="exact"/>
        <w:rPr>
          <w:sz w:val="20"/>
          <w:szCs w:val="20"/>
          <w:color w:val="auto"/>
        </w:rPr>
      </w:pPr>
    </w:p>
    <w:p>
      <w:pPr>
        <w:ind w:left="60" w:right="299"/>
        <w:spacing w:after="0" w:line="311" w:lineRule="auto"/>
        <w:rPr>
          <w:sz w:val="20"/>
          <w:szCs w:val="20"/>
          <w:color w:val="auto"/>
        </w:rPr>
      </w:pPr>
      <w:r>
        <w:rPr>
          <w:rFonts w:ascii="Arial" w:cs="Arial" w:eastAsia="Arial" w:hAnsi="Arial"/>
          <w:sz w:val="16"/>
          <w:szCs w:val="16"/>
          <w:color w:val="auto"/>
        </w:rPr>
        <w:t>The plan’s overall strategy is to achieve a rate of return necessary to fund benefit payments by utilizing a variety of asset types, investment strategies and investment managers. The plan seeks to achieve a real long-term rate of return over inflation resulting from income, capital gains, or both, which assists the plan in meeting its long-term objectives.</w:t>
      </w:r>
    </w:p>
    <w:p>
      <w:pPr>
        <w:spacing w:after="0" w:line="149"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The long-term target allocations for the plan’s assets are managed dynamically according to a sliding scale correlating with the funded status of the plan. As the plan’s funded status increases, allocations are moved away from equity securities toward fixed income securities. Equity securities primarily include large cap and mid cap companies. Fixed income securities primarily include corporate bonds of companies in diversified industries, mortgage-backed securities and U.S. Treasuries. Investments in hedge funds and private equity funds are not held by the plan.</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allocation of the defined benefit pension plan’s assets at December 31 is as follows (amounts in thousands):</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Asset Class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Mutual funds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68,764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65,957</w:t>
            </w:r>
          </w:p>
        </w:tc>
      </w:tr>
      <w:tr>
        <w:trPr>
          <w:trHeight w:val="209"/>
        </w:trPr>
        <w:tc>
          <w:tcPr>
            <w:tcW w:w="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71,221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66,000</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color w:val="auto"/>
        </w:rPr>
        <w:t>All of the assets held by the plan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49"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Periodically, and based on market conditions, the entire account is rebalanced to maintain the desired allocation and the investment policy is reviewed. Within each asset class, plan assets are allocated to various investment styles. Professional managers manage all assets of the plan, and professional advisors assist the plan in the attainment of its objectives.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Expected Contributions and Benefit Payments</w:t>
      </w:r>
    </w:p>
    <w:p>
      <w:pPr>
        <w:spacing w:after="0" w:line="225" w:lineRule="exact"/>
        <w:rPr>
          <w:sz w:val="20"/>
          <w:szCs w:val="20"/>
          <w:color w:val="auto"/>
        </w:rPr>
      </w:pPr>
    </w:p>
    <w:p>
      <w:pPr>
        <w:jc w:val="both"/>
        <w:ind w:left="60" w:right="239"/>
        <w:spacing w:after="0" w:line="286" w:lineRule="auto"/>
        <w:rPr>
          <w:sz w:val="20"/>
          <w:szCs w:val="20"/>
          <w:color w:val="auto"/>
        </w:rPr>
      </w:pPr>
      <w:r>
        <w:rPr>
          <w:rFonts w:ascii="Arial" w:cs="Arial" w:eastAsia="Arial" w:hAnsi="Arial"/>
          <w:sz w:val="17"/>
          <w:szCs w:val="17"/>
          <w:color w:val="auto"/>
        </w:rPr>
        <w:t>The Company expects to contribute approximately $0.9 million to its defined benefit pension plan in 2021. Based on the Company’s assumptions discussed above, the Company expects to make the following estimated future benefit payments under the plan during the years ending December 31 (amounts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7,518</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2022</w:t>
            </w:r>
          </w:p>
        </w:tc>
        <w:tc>
          <w:tcPr>
            <w:tcW w:w="3480" w:type="dxa"/>
            <w:vAlign w:val="bottom"/>
          </w:tcPr>
          <w:p>
            <w:pPr>
              <w:jc w:val="right"/>
              <w:spacing w:after="0"/>
              <w:rPr>
                <w:sz w:val="20"/>
                <w:szCs w:val="20"/>
                <w:color w:val="auto"/>
              </w:rPr>
            </w:pPr>
            <w:r>
              <w:rPr>
                <w:rFonts w:ascii="Arial" w:cs="Arial" w:eastAsia="Arial" w:hAnsi="Arial"/>
                <w:sz w:val="18"/>
                <w:szCs w:val="18"/>
                <w:color w:val="auto"/>
              </w:rPr>
              <w:t>5,778</w:t>
            </w: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2024</w:t>
            </w:r>
          </w:p>
        </w:tc>
        <w:tc>
          <w:tcPr>
            <w:tcW w:w="3480" w:type="dxa"/>
            <w:vAlign w:val="bottom"/>
          </w:tcPr>
          <w:p>
            <w:pPr>
              <w:jc w:val="right"/>
              <w:spacing w:after="0"/>
              <w:rPr>
                <w:sz w:val="20"/>
                <w:szCs w:val="20"/>
                <w:color w:val="auto"/>
              </w:rPr>
            </w:pPr>
            <w:r>
              <w:rPr>
                <w:rFonts w:ascii="Arial" w:cs="Arial" w:eastAsia="Arial" w:hAnsi="Arial"/>
                <w:sz w:val="18"/>
                <w:szCs w:val="18"/>
                <w:color w:val="auto"/>
              </w:rPr>
              <w:t>4,837</w:t>
            </w: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2026 - 2030</w:t>
            </w:r>
          </w:p>
        </w:tc>
        <w:tc>
          <w:tcPr>
            <w:tcW w:w="3480" w:type="dxa"/>
            <w:vAlign w:val="bottom"/>
          </w:tcPr>
          <w:p>
            <w:pPr>
              <w:jc w:val="right"/>
              <w:spacing w:after="0"/>
              <w:rPr>
                <w:sz w:val="20"/>
                <w:szCs w:val="20"/>
                <w:color w:val="auto"/>
              </w:rPr>
            </w:pPr>
            <w:r>
              <w:rPr>
                <w:rFonts w:ascii="Arial" w:cs="Arial" w:eastAsia="Arial" w:hAnsi="Arial"/>
                <w:sz w:val="18"/>
                <w:szCs w:val="18"/>
                <w:color w:val="auto"/>
              </w:rPr>
              <w:t>28,698</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Information</w:t>
      </w:r>
    </w:p>
    <w:p>
      <w:pPr>
        <w:spacing w:after="0" w:line="225"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The Company also maintains non-qualified pension plans (the “Non-Qualified Plans”) to provide benefits to certain key employees. The Non-Qualified Plans are not funded and the beneficiaries’ rights to receive distributions under these plans constitute unsecured claims to be paid from the Company’s general assets. At December 31, 2020, the Non-Qualified Plans’ projected benefit obligations and accumulated benefit obligations were $15.3 million.</w:t>
      </w:r>
    </w:p>
    <w:p>
      <w:pPr>
        <w:spacing w:after="0" w:line="171"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The Company’s accrued cost related to its qualified and non-qualified pension plans of $30.8 million and $29.9 million at December 31, 2020 and 2019, respectively, is included in other liabilities in the accompanying consolidated balance sheets. The change in the deferred net loss related to the Company’s retirement plans during 2020, 2019 and 2018 resulted in an increase (decrease) in equity of $(2.3) million, $2.1 million and $(1.3) million, respectively, net of taxes of $0, $0.5 million, and $(0.4) million, respectively. Each of these adjustments to equity due to the change in the minimum liability are included in other comprehensive loss in the accompanying consolidated statements of stockholders’ equity and noncontrolling interest.</w:t>
      </w:r>
    </w:p>
    <w:p>
      <w:pPr>
        <w:spacing w:after="0" w:line="195"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The combined net loss, amortization of net loss, and new prior service credit and amortization of prior service credit recognized in other comprehensive income (loss) for the years ended December 31, 2020 and 2019 was $(2.3) million and $2.1 million, respectively. Included in accumulated other comprehensive loss at December 31, 2020 and 2019 are unrecognized actuarial losses of $37.4 million and $35.2 million ($30.7 million and $28.4 million net of tax), respectively, that have not yet been recognized in net periodic pension expense. Net losses are amortized into net periodic pension expense based on the life expectancy of plan participants expected to receive benefits, using a corridor approach based on the greater of projected benefit obligation or fair value of plan assets.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Postretirement Benefits Other than Pensions</w:t>
      </w:r>
    </w:p>
    <w:p>
      <w:pPr>
        <w:spacing w:after="0" w:line="229" w:lineRule="exact"/>
        <w:rPr>
          <w:sz w:val="20"/>
          <w:szCs w:val="20"/>
          <w:color w:val="auto"/>
        </w:rPr>
      </w:pPr>
    </w:p>
    <w:p>
      <w:pPr>
        <w:ind w:left="60" w:right="179"/>
        <w:spacing w:after="0" w:line="290" w:lineRule="auto"/>
        <w:rPr>
          <w:sz w:val="20"/>
          <w:szCs w:val="20"/>
          <w:color w:val="auto"/>
        </w:rPr>
      </w:pPr>
      <w:r>
        <w:rPr>
          <w:rFonts w:ascii="Arial" w:cs="Arial" w:eastAsia="Arial" w:hAnsi="Arial"/>
          <w:sz w:val="16"/>
          <w:szCs w:val="16"/>
          <w:color w:val="auto"/>
        </w:rPr>
        <w:t>The Company sponsors an unfunded defined benefit postretirement health care plan for certain employees and contributes toward the cost of health insurance benefits. In order to be eligible for these postretirement benefits, an employee must retire after attainment of age 55 and completion of 15 years of service, or attainment of age 65 and completion of 10 years of service. The Company’s Benefits Trust Committee determines retiree premiums. The Company amended the plans effective December 31, 2001 such that only retirees who were receiving benefits under the plans at that time and active employees at that time whose age plus years of service totaled at least 60 and who had at least 10 years of service as of December 31, 2001 remain eligible. In addition, as a result of the continued impact of the COVID-19 pandemic, the Company amended the plans effective January 1, 2021 to reduce the benefits offered by the plan.</w:t>
      </w:r>
    </w:p>
    <w:p>
      <w:pPr>
        <w:spacing w:after="0" w:line="165"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The following table reconciles the change in benefit obligation of the postretirement plans to the accrued postretirement liability as reflected in other liabilities in the accompanying consolidated balance sheets at December 31 (amounts in thousands):</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1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at beginning of year</w:t>
            </w:r>
          </w:p>
        </w:tc>
        <w:tc>
          <w:tcPr>
            <w:tcW w:w="14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$ 2,735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$ 2,774</w:t>
            </w:r>
          </w:p>
        </w:tc>
      </w:tr>
      <w:tr>
        <w:trPr>
          <w:trHeight w:val="216"/>
        </w:trPr>
        <w:tc>
          <w:tcPr>
            <w:tcW w:w="2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Arial" w:cs="Arial" w:eastAsia="Arial" w:hAnsi="Arial"/>
                <w:sz w:val="18"/>
                <w:szCs w:val="18"/>
                <w:color w:val="auto"/>
              </w:rPr>
              <w:t>Interest cost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Actuarial loss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Arial" w:cs="Arial" w:eastAsia="Arial" w:hAnsi="Arial"/>
                <w:sz w:val="18"/>
                <w:szCs w:val="18"/>
                <w:color w:val="auto"/>
              </w:rPr>
              <w:t>Plan amendment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Benefits paid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09"/>
        </w:trPr>
        <w:tc>
          <w:tcPr>
            <w:tcW w:w="4280" w:type="dxa"/>
            <w:vAlign w:val="bottom"/>
            <w:gridSpan w:val="2"/>
          </w:tcPr>
          <w:p>
            <w:pPr>
              <w:spacing w:after="0"/>
              <w:rPr>
                <w:sz w:val="20"/>
                <w:szCs w:val="20"/>
                <w:color w:val="auto"/>
              </w:rPr>
            </w:pPr>
            <w:r>
              <w:rPr>
                <w:rFonts w:ascii="Arial" w:cs="Arial" w:eastAsia="Arial" w:hAnsi="Arial"/>
                <w:sz w:val="18"/>
                <w:szCs w:val="18"/>
                <w:color w:val="auto"/>
              </w:rPr>
              <w:t>Benefit obligation at end of year</w:t>
            </w:r>
          </w:p>
        </w:tc>
        <w:tc>
          <w:tcPr>
            <w:tcW w:w="14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$ 1,875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$ 2,735</w:t>
            </w: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Net postretirement benefit income reflected in other gains and (losses), net in the accompanying statements of operations included the following components for the years ended December 31 (amounts in thousands):</w:t>
      </w:r>
    </w:p>
    <w:p>
      <w:pPr>
        <w:spacing w:after="0" w:line="108"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(1,314)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(1,314)</w:t>
            </w:r>
          </w:p>
        </w:tc>
      </w:tr>
      <w:tr>
        <w:trPr>
          <w:trHeight w:val="210"/>
        </w:trPr>
        <w:tc>
          <w:tcPr>
            <w:tcW w:w="5720" w:type="dxa"/>
            <w:vAlign w:val="bottom"/>
            <w:gridSpan w:val="2"/>
          </w:tcPr>
          <w:p>
            <w:pPr>
              <w:spacing w:after="0"/>
              <w:rPr>
                <w:sz w:val="20"/>
                <w:szCs w:val="20"/>
                <w:color w:val="auto"/>
              </w:rPr>
            </w:pPr>
            <w:r>
              <w:rPr>
                <w:rFonts w:ascii="Arial" w:cs="Arial" w:eastAsia="Arial" w:hAnsi="Arial"/>
                <w:sz w:val="18"/>
                <w:szCs w:val="18"/>
                <w:color w:val="auto"/>
              </w:rPr>
              <w:t>Total net postretirement benefit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(1,000)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The discount rate used to determine the benefit obligation at December 31, 2020, 2019 and 2018 was 1.70%, 2.70% and 3.83%, respectively. The discount rate used to determine the net postretirement benefit income for years ended December 31, 2020, 2019 and 2018 was 2.70%, 3.83% and 3.15%, respectively.</w:t>
      </w:r>
    </w:p>
    <w:p>
      <w:pPr>
        <w:spacing w:after="0" w:line="184" w:lineRule="exact"/>
        <w:rPr>
          <w:sz w:val="20"/>
          <w:szCs w:val="20"/>
          <w:color w:val="auto"/>
        </w:rPr>
      </w:pPr>
    </w:p>
    <w:p>
      <w:pPr>
        <w:jc w:val="both"/>
        <w:ind w:left="60" w:right="499"/>
        <w:spacing w:after="0" w:line="263" w:lineRule="auto"/>
        <w:rPr>
          <w:sz w:val="20"/>
          <w:szCs w:val="20"/>
          <w:color w:val="auto"/>
        </w:rPr>
      </w:pPr>
      <w:r>
        <w:rPr>
          <w:rFonts w:ascii="Arial" w:cs="Arial" w:eastAsia="Arial" w:hAnsi="Arial"/>
          <w:sz w:val="18"/>
          <w:szCs w:val="18"/>
          <w:color w:val="auto"/>
        </w:rPr>
        <w:t>The Company expects to contribute $0.2 million to the plan in 2021. Based on the Company’s assumptions discussed above, the Company expects to make the following estimated future benefit payments under the plan during the years ending December 31 (amounts in thousands):</w:t>
      </w:r>
    </w:p>
    <w:p>
      <w:pPr>
        <w:spacing w:after="0" w:line="211"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191</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2022</w:t>
            </w:r>
          </w:p>
        </w:tc>
        <w:tc>
          <w:tcPr>
            <w:tcW w:w="34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2024</w:t>
            </w:r>
          </w:p>
        </w:tc>
        <w:tc>
          <w:tcPr>
            <w:tcW w:w="34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2026 - 2030</w:t>
            </w:r>
          </w:p>
        </w:tc>
        <w:tc>
          <w:tcPr>
            <w:tcW w:w="3400" w:type="dxa"/>
            <w:vAlign w:val="bottom"/>
          </w:tcPr>
          <w:p>
            <w:pPr>
              <w:jc w:val="right"/>
              <w:spacing w:after="0"/>
              <w:rPr>
                <w:sz w:val="20"/>
                <w:szCs w:val="20"/>
                <w:color w:val="auto"/>
              </w:rPr>
            </w:pPr>
            <w:r>
              <w:rPr>
                <w:rFonts w:ascii="Arial" w:cs="Arial" w:eastAsia="Arial" w:hAnsi="Arial"/>
                <w:sz w:val="18"/>
                <w:szCs w:val="18"/>
                <w:color w:val="auto"/>
              </w:rPr>
              <w:t>549</w:t>
            </w:r>
          </w:p>
        </w:tc>
      </w:tr>
    </w:tbl>
    <w:p>
      <w:pPr>
        <w:spacing w:after="0" w:line="187"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The net loss, amortization of net loss, and new prior service credit and amortization of prior service credit recognized in other comprehensive income (loss) for 2020 was $0.1 million, $0.2 million, and $0.6 million, respectively. Included in accumulated other comprehensive loss at December 31, 2020 are the following amounts that have not yet been recognized in net postretirement benefit expense: unrecognized actuarial losses of $3.0 million ($2.0 million net of tax) and unrecognized prior service credits of $9.2 million ($6.4 million net of tax). The net loss, amortization of net loss and amortization of prior service credit recognized in other comprehensive income (loss) for 2019 was $0.2 million, $0.2</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million, and $1.3 million, respectively. Included in accumulated other comprehensive loss at December 31, 2019 are the following amounts that have not yet been recognized in net postretirement benefit expense: unrecognized actuarial losses of $3.1 million ($2.2 million net of tax) and unrecognized prior service credits of $9.8 million ($7.0 million net of tax). The net gain, amortization of net loss and amortization of prior service credit recognized in other comprehensive income (loss) for 2018 was $0.1 million, $0.3 million, and $1.3 million, respectively.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 Offering</w:t>
      </w:r>
    </w:p>
    <w:p>
      <w:pPr>
        <w:spacing w:after="0" w:line="225"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In December 2019, the Company completed an underwritten public offering of approximately 3.5 million shares of its common stock, par value $0.01 per share, at a price to the public of $85.60 per share. Net proceeds to the Company, after deducting underwriting discounts and commissions and other expenses paid by the Company, were approximately $283 million. The Company used the net proceeds for general corporate purposes.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During 2020, the Company’s board of directors declared a first quarter dividend of $0.95 per share of common stock, or an aggregate of $52.2 million in cash. Following the payment of the first quarter 2020 cash dividend, the Company suspended its regular quarterly dividend payments. The Company’s board of directors will consider a future dividend as permitted by the Company’s credit agreement. The Amendment described in Note 5, “Debt,” permits payment of dividends as necessary to maintain the Company’s REIT status and permits the Company to pay a dividend of $0.01 per share each quarter. Any future dividend is subject to the Company’s board of director’s determination as to the amount of distributions and the timing thereof.</w:t>
      </w:r>
    </w:p>
    <w:p>
      <w:pPr>
        <w:spacing w:after="0" w:line="195"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During 2019, the Company’s board of directors declared quarterly dividends totaling $3.60 per share of common stock for the full year, or an aggregate of $188.3 million in cash.</w:t>
      </w:r>
    </w:p>
    <w:p>
      <w:pPr>
        <w:spacing w:after="0" w:line="170"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During 2018, the Company’s board of directors declared quarterly dividends totaling $3.40 per share of common stock for the full year, or an aggregate of $174.5 million in cash.</w:t>
      </w:r>
    </w:p>
    <w:p>
      <w:pPr>
        <w:spacing w:after="0" w:line="170"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To maintain its qualification as a REIT for federal income tax purposes, the Company must distribute at least 90% of its REIT taxable income each year. Prior to the suspension of dividends due to the COVID-19 pandemic, the Company had planned to continue to pay a quarterly cash dividend to stockholders in an amount equal to an annualized payment of at least 50% of adjusted funds from operations (as defined by the Company) less maintenance capital expenditures or 100% of REIT taxable income on an annual basis, whichever is greater. The declaration, timing and amount of dividends will be determined by future action of the Company’s board of directors. The dividend policy may be altered at any time by the Company’s board of directors.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On December 18, 2008, following approval by the Human Resources Committee and the Board of Directors, the Company and the Company’s Chairman of the Board of Directors and Chief Executive Officer (“Executive”) entered into an amendment to Executive’s employment agreement. The amendment provided Executive with the option of making an irrevocable election to invest his existing Supplemental Employee Retirement Plan (“SERP”) benefit in Company common stock, which election Executive subsequently made. The investment was made by a rabbi trust in which, during</w:t>
      </w:r>
    </w:p>
    <w:p>
      <w:pPr>
        <w:spacing w:after="0" w:line="2" w:lineRule="exact"/>
        <w:rPr>
          <w:sz w:val="20"/>
          <w:szCs w:val="20"/>
          <w:color w:val="auto"/>
        </w:rPr>
      </w:pPr>
    </w:p>
    <w:p>
      <w:pPr>
        <w:ind w:left="60" w:right="119"/>
        <w:spacing w:after="0" w:line="288" w:lineRule="auto"/>
        <w:rPr>
          <w:sz w:val="20"/>
          <w:szCs w:val="20"/>
          <w:color w:val="auto"/>
        </w:rPr>
      </w:pPr>
      <w:r>
        <w:rPr>
          <w:rFonts w:ascii="Arial" w:cs="Arial" w:eastAsia="Arial" w:hAnsi="Arial"/>
          <w:sz w:val="16"/>
          <w:szCs w:val="16"/>
          <w:color w:val="auto"/>
        </w:rPr>
        <w:t>January 2009, the independent trustee of the rabbi trust purchased shares of Company common stock in the open market in compliance with applicable law. Executive is only entitled to a distribution of the Company common stock held by the rabbi trust in satisfaction of his SERP benefit. As such, the Company believes that the ownership of shares of common stock by the rabbi trust and the distribution of those shares to Executive in satisfaction of his SERP benefit meets the requirements necessary so that the Company will not recognize any increase or decrease in expense as a result of subsequent changes in the value of the Company common stock and the purchased shares are treated as treasury stock and the SERP benefit is included in additional paid-in capital in the Company’s accompanying</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consolidated financial statements. The increase in treasury stock for a particular year represents dividends received on shares of Company common stock held by the rabbi trust.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Noncontrolling Interest in Operating Partnership</w:t>
      </w:r>
    </w:p>
    <w:p>
      <w:pPr>
        <w:spacing w:after="0" w:line="225"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December 31, 2020, 0.4 million outstanding OP Units, or less than 1% of the outstanding OP Units, were held by the noncontrolling limited partners and are included as a component of equity in the accompanying consolidated balance sheet. The Company owns, directly or indirectly, the remaining 99.2% of the outstanding OP Units.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Accumulated Other Comprehensive Loss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accumulated other comprehensive loss by component consisted of the following (amounts in thousands):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Minimum</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Other-Than-</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Temporary</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Pension</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 of</w:t>
            </w: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(20,149)</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(6,543)</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Losses arising during period</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(2,231)</w:t>
            </w:r>
          </w:p>
        </w:tc>
        <w:tc>
          <w:tcPr>
            <w:tcW w:w="10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Income tax benefit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other comprehensive income (loss)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December 31,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(21,814)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Gains arising during period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(1,905)</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other comprehensive income</w:t>
            </w: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1,634</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Transition adjustment related to adoption of ASU 2018-02</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December 31,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(23,916)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(5,877)</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Losses arising during period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other comprehensive income (loss)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(29,453)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Transition adjustment related to adoption of ASU 2016-13 (see Note 1)</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(27,819)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 Company pays federal and state corporate income taxes on earnings of its taxable REIT subsidiaries (“TRSs”).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income tax (provision) benefit for continuing operations consists of the following (amounts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r>
      <w:tr>
        <w:trPr>
          <w:trHeight w:val="209"/>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Federal</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10"/>
        </w:trPr>
        <w:tc>
          <w:tcPr>
            <w:tcW w:w="20" w:type="dxa"/>
            <w:vAlign w:val="bottom"/>
          </w:tcPr>
          <w:p>
            <w:pPr>
              <w:spacing w:after="0"/>
              <w:rPr>
                <w:sz w:val="18"/>
                <w:szCs w:val="18"/>
                <w:color w:val="auto"/>
              </w:rPr>
            </w:pPr>
          </w:p>
        </w:tc>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current provision</w:t>
            </w: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r>
      <w:tr>
        <w:trPr>
          <w:trHeight w:val="209"/>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Federal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(13,565)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(13,715)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(7,271)</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(12,961)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r>
      <w:tr>
        <w:trPr>
          <w:trHeight w:val="209"/>
        </w:trPr>
        <w:tc>
          <w:tcPr>
            <w:tcW w:w="20" w:type="dxa"/>
            <w:vAlign w:val="bottom"/>
          </w:tcPr>
          <w:p>
            <w:pPr>
              <w:spacing w:after="0"/>
              <w:rPr>
                <w:sz w:val="18"/>
                <w:szCs w:val="18"/>
                <w:color w:val="auto"/>
              </w:rPr>
            </w:pPr>
          </w:p>
        </w:tc>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 provision</w:t>
            </w: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(26,526)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(14,414)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(10,190)</w:t>
            </w:r>
          </w:p>
        </w:tc>
      </w:tr>
      <w:tr>
        <w:trPr>
          <w:trHeight w:val="209"/>
        </w:trPr>
        <w:tc>
          <w:tcPr>
            <w:tcW w:w="20" w:type="dxa"/>
            <w:vAlign w:val="bottom"/>
          </w:tcPr>
          <w:p>
            <w:pPr>
              <w:spacing w:after="0"/>
              <w:rPr>
                <w:sz w:val="18"/>
                <w:szCs w:val="18"/>
                <w:color w:val="auto"/>
              </w:rPr>
            </w:pPr>
          </w:p>
        </w:tc>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provision for income taxes</w:t>
            </w: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(27,084)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(18,475)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(11,745)</w:t>
            </w: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Due to the financial statement impact of the COVID-19 pandemic, in connection with the preparation of the consolidated financial statements included herein, the Company reassessed the realizability of net deferred tax assets during 2020, and as a result, the Company recorded a full valuation allowance of $26.7 million in 2020 on the beginning net deferred tax assets of its TRSs.</w:t>
      </w:r>
    </w:p>
    <w:p>
      <w:pPr>
        <w:spacing w:after="0" w:line="187"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The Company is required to distribute at least 90% of its annual taxable income, excluding net capital gains, to its stockholders in order to maintain its qualification as a REIT. The taxability of distributions to stockholders is determined by the Company’s earnings and profits, which differs from net income (loss) reported for financial reporting purposes. The estimated taxability of cash distributions to common shareholders is as follows (per common share):</w:t>
      </w:r>
    </w:p>
    <w:p>
      <w:pPr>
        <w:spacing w:after="0" w:line="16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2020</w:t>
            </w:r>
          </w:p>
        </w:tc>
        <w:tc>
          <w:tcPr>
            <w:tcW w:w="6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$ 2.67</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Capital gains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0.05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1.85</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$ 3.48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$ 2.72</w:t>
            </w: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The differences between the income tax provision calculated at the statutory U.S. federal income tax rate of 21% and the actual income tax (provision) benefit recorded for continuing operations are as follows (amounts in thousands):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9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2018</w:t>
            </w: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federal income tax (provision) benefit</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91,085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(30,822)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(58,047)</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Adjustment for nontaxable income of the REIT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(33,116)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15,803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50,075</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noncontrolling interest in consolidated joint venture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5,876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(4,596)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(4,268)</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Permanent share-based compensation adjustment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permanent items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Change in federal valuation allowance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(65,368)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Change in state valuation allowance (net of federal tax benefit)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(19,293)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09"/>
        </w:trPr>
        <w:tc>
          <w:tcPr>
            <w:tcW w:w="5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(27,084)</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(18,475)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(11,745)</w:t>
            </w:r>
          </w:p>
        </w:tc>
      </w:tr>
      <w:tr>
        <w:trPr>
          <w:trHeight w:val="20"/>
        </w:trPr>
        <w:tc>
          <w:tcPr>
            <w:tcW w:w="5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Significant components of the Company’s deferred tax assets and liabilities at December 31 are as follows (amounts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Accounting reserves and accruals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17,545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15,931</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Defined benefit plan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Deferred management rights proceeds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42,424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43,420</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and State net operating loss carryforwards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110,869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45,794</w:t>
            </w: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Tax credits and other carryforwards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w:t>
            </w:r>
          </w:p>
        </w:tc>
      </w:tr>
      <w:tr>
        <w:trPr>
          <w:trHeight w:val="209"/>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Total deferred tax assets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180,898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114,443</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Valuation allowance</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(97,700)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(12,387)</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 tax assets, net of valuation allowance</w:t>
            </w: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83,198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102,056</w:t>
            </w:r>
          </w:p>
        </w:tc>
      </w:tr>
      <w:tr>
        <w:trPr>
          <w:trHeight w:val="209"/>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70,856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61,970</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in joint ventures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12,639</w:t>
            </w: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Intangibles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717</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209"/>
        </w:trPr>
        <w:tc>
          <w:tcPr>
            <w:tcW w:w="20" w:type="dxa"/>
            <w:vAlign w:val="bottom"/>
          </w:tcPr>
          <w:p>
            <w:pPr>
              <w:spacing w:after="0"/>
              <w:rPr>
                <w:sz w:val="18"/>
                <w:szCs w:val="18"/>
                <w:color w:val="auto"/>
              </w:rPr>
            </w:pPr>
          </w:p>
        </w:tc>
        <w:tc>
          <w:tcPr>
            <w:tcW w:w="4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 tax liabilities</w:t>
            </w: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83,863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76,097</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deferred tax assets (liabilities)</w:t>
            </w: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25,959</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88" w:lineRule="auto"/>
        <w:rPr>
          <w:sz w:val="20"/>
          <w:szCs w:val="20"/>
          <w:color w:val="auto"/>
        </w:rPr>
      </w:pPr>
      <w:r>
        <w:rPr>
          <w:rFonts w:ascii="Arial" w:cs="Arial" w:eastAsia="Arial" w:hAnsi="Arial"/>
          <w:sz w:val="16"/>
          <w:szCs w:val="16"/>
          <w:color w:val="auto"/>
        </w:rPr>
        <w:t>Federal net operating loss carryforwards at the TRS at December 31, 2020 totaled $390.0 million, resulting in a deferred tax benefit of $81.9 million. Of the total TRS federal net operating loss carryforwards, $67.5 million were created prior to 2018 and can be used to offset 100% of taxable income in the future. These federal net operating loss carryforwards will expire between 2033 and 2037. The remaining $322.5 million of federal net operating loss carryforwards have no expiration date and can be used to offset 80% of taxable income in the future. Federal net operating loss carryforwards at the REIT at December 31, 2020 totaled $60.2 million, resulting in no deferred tax benefit. These net operating losses have no expiration date and can be used to offset 80% of REIT taxable income in the future. The use of certain federal net operating losses, credits and other deferred tax assets are limited to the Company’s future taxable earnings. As a result, a valuation allowance has been provided for certain federal deferred tax assets. The valuation allowance related to federal deferred tax assets increased $65.9 million in 2020 and decreased $0.5 million and $0 in 2019 and 2018, respectively.</w:t>
      </w:r>
    </w:p>
    <w:p>
      <w:pPr>
        <w:spacing w:after="0" w:line="168"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State net operating loss carryforwards at December 31, 2020 totaled $678.7 million, resulting in a deferred tax benefit of $29.0 million, which will expire between 2024 and 2040. The use of certain state net operating losses, credits and other state deferred tax assets are limited to the future taxable earnings of separate legal entities. As a result, a valuation allowance has been provided for certain state deferred tax assets, including loss carryforwards. The valuation allowance related to state deferred tax assets increased $19.4 million in 2020 and decreased $1.3 million and $0.4 million in 2019 and 2018, respectively.</w:t>
      </w:r>
    </w:p>
    <w:p>
      <w:pPr>
        <w:spacing w:after="0" w:line="192"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The Company has concluded IRS examinations of the TRS through the 2015 tax year. For federal income tax purposes and substantially all the states with which the Company has nexus, the statute of limitations has expired through 2016. However, the Company has state net operating loss carryforwards from closed years, which could be adjusted upon audit. The Company is routinely subject to other various jurisdictional income tax audits; however, there were no outstanding state or local audits at December 31, 2020.</w:t>
      </w:r>
    </w:p>
    <w:p>
      <w:pPr>
        <w:spacing w:after="0" w:line="188"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color w:val="auto"/>
        </w:rPr>
        <w:t>At December 31, 2020 and 2019, the Company had no accruals for unrecognized tax benefits. The Company recognizes interest and penalties related to uncertain tax positions, if any, in income tax expense. At December 31, 2020 and 2019, the Company has accrued no interest or penalties related to uncertain tax positions.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In April 2019, the Company acquired a 50% equity interest in Circle and has made capital contributions of $12.5 million. The joint venture agreement requires the Company to contribute up to an additional $2.5 million through December 31, 2021, and that additional contribution was made in January 2021.</w:t>
      </w:r>
    </w:p>
    <w:p>
      <w:pPr>
        <w:spacing w:after="0" w:line="184"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The Company is self-insured up to a stop loss for certain losses relating to workers’ compensation claims and general liability claims through September 30, 2012, and for certain losses related to employee medical benefits through December 31, 2012. The Company’s insurance program has subsequently transitioned to a low or no deductible program. The Company has purchased stop-loss coverage in order to limit its exposure to any significant levels of claims relating to workers’ compensation, employee medical benefits and general liability for which it is self-insured.</w:t>
      </w:r>
    </w:p>
    <w:p>
      <w:pPr>
        <w:spacing w:after="0" w:line="161"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 for severance payments upon certain events, including after a change of control.</w:t>
      </w:r>
    </w:p>
    <w:p>
      <w:pPr>
        <w:spacing w:after="0" w:line="170"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The Company, in the ordinary course of business, is involved in certain legal actions and claims on a variety of other matters. It is the opinion of management that such legal actions will not have a material effect on the financial statements of the Company.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Fair Value Measurements</w:t>
      </w:r>
    </w:p>
    <w:p>
      <w:pPr>
        <w:spacing w:after="0" w:line="229"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57"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The investments held by the Company in connection with its deferred compensation plan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87"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The Company’s interest rate swaps and the Gaylord Rockies joint venture’s interest rate swap consist of over-the-counter swap contracts, which are not traded on a public exchange. The Company or the Gaylord Rockies joint venture, as applicable, determines the fair value of these swap contracts based on a widely accepted valuation methodology of netting the discounted future fixed cash flows and the discounted expected variable cash flow,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64"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The Company has consistently applied these valuation techniques in all periods presented and believes it has obtained the most accurate information available for the types of instruments it holds.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The Company’s assets and liabilities that are required to be measured at fair value on a recurring basis at December 31, were as follows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20" w:type="dxa"/>
            <w:vAlign w:val="bottom"/>
            <w:gridSpan w:val="3"/>
            <w:vMerge w:val="restart"/>
          </w:tcPr>
          <w:p>
            <w:pPr>
              <w:ind w:left="94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measured at fair value</w:t>
            </w:r>
          </w:p>
        </w:tc>
        <w:tc>
          <w:tcPr>
            <w:tcW w:w="9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Variable to fixed interest rate swaps</w:t>
            </w:r>
          </w:p>
        </w:tc>
        <w:tc>
          <w:tcPr>
            <w:tcW w:w="11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27,819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27,819</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20" w:type="dxa"/>
            <w:vAlign w:val="bottom"/>
            <w:gridSpan w:val="3"/>
            <w:vMerge w:val="restart"/>
          </w:tcPr>
          <w:p>
            <w:pPr>
              <w:ind w:left="94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to fixed interest rate swaps</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 measured at fair value</w:t>
            </w: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Variable to fixed interest rate swaps</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9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6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color w:val="auto"/>
        </w:rPr>
        <w:t>The remainder of the assets and liabilities held by the Company at December 31, 2020 are not required to be measured at fair value, and the carrying value of these assets and liabilities approximates fair value, except as described below.</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discussed in Note 5, “Debt,” the Company has outstanding $400.0 million in aggregate principal amount of the $400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Million 5% Senior Notes. The carrying value of these notes at December 31, 2020 was $397.7 million, net of unamortized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DFCs. The fair value of these notes, based upon quoted market prices (Level 1), was $403 million at December 31, 2020.</w:t>
      </w:r>
    </w:p>
    <w:p>
      <w:pPr>
        <w:spacing w:after="0" w:line="234"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As discussed in Note 5, “Debt,” the Company has outstanding $700.0 million in aggregate principal amount of the $700 Million 4.75% Senior Notes. The carrying value of these notes at December 31, 2020 was $691.5 million, net of unamortized DFCs and premiums. The fair value of these notes, based upon quoted market prices (Level 1), was $726 million at December 31, 2020.</w:t>
      </w:r>
    </w:p>
    <w:p>
      <w:pPr>
        <w:spacing w:after="0" w:line="187" w:lineRule="exact"/>
        <w:rPr>
          <w:sz w:val="20"/>
          <w:szCs w:val="20"/>
          <w:color w:val="auto"/>
        </w:rPr>
      </w:pPr>
    </w:p>
    <w:p>
      <w:pPr>
        <w:ind w:left="60" w:right="879"/>
        <w:spacing w:after="0" w:line="342" w:lineRule="auto"/>
        <w:rPr>
          <w:sz w:val="20"/>
          <w:szCs w:val="20"/>
          <w:color w:val="auto"/>
        </w:rPr>
      </w:pPr>
      <w:r>
        <w:rPr>
          <w:rFonts w:ascii="Arial" w:cs="Arial" w:eastAsia="Arial" w:hAnsi="Arial"/>
          <w:sz w:val="16"/>
          <w:szCs w:val="16"/>
          <w:color w:val="auto"/>
        </w:rPr>
        <w:t>See Note 4, “Investment in Gaylord Rockies Joint Venture,” for additional disclosures related to the fair value measurements used in accounting for the purchase of an additional interest in the Gaylord Rockies joint venture.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Financial Reporting By Business Segments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continuing operations are organized into the following principal business segments:</w:t>
      </w:r>
    </w:p>
    <w:p>
      <w:pPr>
        <w:spacing w:after="0" w:line="225" w:lineRule="exact"/>
        <w:rPr>
          <w:sz w:val="20"/>
          <w:szCs w:val="20"/>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Hospitality</w:t>
      </w:r>
      <w:r>
        <w:rPr>
          <w:rFonts w:ascii="Arial" w:cs="Arial" w:eastAsia="Arial" w:hAnsi="Arial"/>
          <w:sz w:val="18"/>
          <w:szCs w:val="18"/>
          <w:color w:val="auto"/>
        </w:rPr>
        <w:t>, which includes the Gaylord Hotels properties, the Inn at Opryland and the AC Hotel;</w:t>
      </w:r>
    </w:p>
    <w:p>
      <w:pPr>
        <w:spacing w:after="0" w:line="225" w:lineRule="exact"/>
        <w:rPr>
          <w:rFonts w:ascii="Arial" w:cs="Arial" w:eastAsia="Arial" w:hAnsi="Arial"/>
          <w:sz w:val="18"/>
          <w:szCs w:val="18"/>
          <w:color w:val="auto"/>
        </w:rPr>
      </w:pPr>
    </w:p>
    <w:p>
      <w:pPr>
        <w:ind w:left="720" w:right="139" w:hanging="319"/>
        <w:spacing w:after="0" w:line="308" w:lineRule="auto"/>
        <w:tabs>
          <w:tab w:leader="none" w:pos="72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Entertainment</w:t>
      </w:r>
      <w:r>
        <w:rPr>
          <w:rFonts w:ascii="Arial" w:cs="Arial" w:eastAsia="Arial" w:hAnsi="Arial"/>
          <w:sz w:val="17"/>
          <w:szCs w:val="17"/>
          <w:color w:val="auto"/>
        </w:rPr>
        <w:t>, which includes the Grand Ole Opry, the Ryman Auditorium, WSM-AM, Ole Red,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other Nashville-based attractions, and the Company’s investment in the Circle joint venture; and</w:t>
      </w:r>
    </w:p>
    <w:p>
      <w:pPr>
        <w:spacing w:after="0" w:line="146" w:lineRule="exact"/>
        <w:rPr>
          <w:rFonts w:ascii="Arial" w:cs="Arial" w:eastAsia="Arial" w:hAnsi="Arial"/>
          <w:sz w:val="17"/>
          <w:szCs w:val="17"/>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following information (amounts in thousands) is derived directly from the segments’ internal financial reports used for corporate management purposes.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466,045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1,421,446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1,127,903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1,604,566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1,275,118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198,073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201,068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215,082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213,847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(204,868)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263,203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247,885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(34,242)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(31,433)</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(37,911)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Preopening costs (1)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Gain on sale of assets (2)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Credit loss on held-to-maturity securities (3)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(32,784)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Impairment charges (4)</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income (loss)</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(303,831)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(115,783)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(131,620)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from extinguishment of debt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Income (loss) from unconsolidated joint ventures (5)</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(6,451)</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(1,110)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gains and (losses),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(14,976)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(433,737)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146,769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20" w:right="179" w:hanging="319"/>
        <w:spacing w:after="0" w:line="254"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Preopening costs for 2020 include $0.3 million and $1.4 million for the Hospitality and Entertainment segments, respectively. Preopening costs for 2019 include $1.3 million and $1.9 million for the Hospitality and Entertainment segments, respectively. Preopening costs for 2018 include $2.9 million and $1.9 million for the Hospitality and Entertainment segments, respectively.</w:t>
      </w:r>
    </w:p>
    <w:p>
      <w:pPr>
        <w:spacing w:after="0" w:line="2"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Gain on sale of assets for 2020 relates to the Hospitality segment.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Credit loss on held-to-maturity securities for 2020 relates to the Hospitality segment.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Impairment charges for 2018 relate to the Entertainment segment.</w:t>
      </w:r>
    </w:p>
    <w:p>
      <w:pPr>
        <w:spacing w:after="0" w:line="9" w:lineRule="exact"/>
        <w:rPr>
          <w:rFonts w:ascii="Arial" w:cs="Arial" w:eastAsia="Arial" w:hAnsi="Arial"/>
          <w:sz w:val="18"/>
          <w:szCs w:val="18"/>
          <w:color w:val="auto"/>
        </w:rPr>
      </w:pPr>
    </w:p>
    <w:p>
      <w:pPr>
        <w:ind w:left="720" w:right="139" w:hanging="319"/>
        <w:spacing w:after="0" w:line="255"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Loss from unconsolidated joint ventures for 2020 and 2019 relates to the Entertainment segment. Income from unconsolidated joint ventures for 2018 includes $124.4 million (which includes the gain discussed in Note 4) and $0.6 million for the Hospitality and Entertainment segments, respectively.</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54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08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Hospitality</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$ 3,279,238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$ 3,494,084</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185,178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181,036</w:t>
            </w: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Corporate and Other</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92,079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413,348</w:t>
            </w: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identifiable assets</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$ 3,556,495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$ 4,088,468</w:t>
            </w: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color w:val="auto"/>
        </w:rPr>
        <w:t>The following table represents the capital expenditures by segment for the years ended December 31 (amounts in thousands):</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9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9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2018</w:t>
            </w:r>
          </w:p>
        </w:tc>
      </w:tr>
      <w:tr>
        <w:trPr>
          <w:trHeight w:val="209"/>
        </w:trPr>
        <w:tc>
          <w:tcPr>
            <w:tcW w:w="32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Hospitality</w:t>
            </w:r>
          </w:p>
        </w:tc>
        <w:tc>
          <w:tcPr>
            <w:tcW w:w="1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$ 146,654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$ 120,899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$ 142,738</w:t>
            </w:r>
          </w:p>
        </w:tc>
      </w:tr>
      <w:tr>
        <w:trPr>
          <w:trHeight w:val="216"/>
        </w:trPr>
        <w:tc>
          <w:tcPr>
            <w:tcW w:w="3260" w:type="dxa"/>
            <w:vAlign w:val="bottom"/>
          </w:tcPr>
          <w:p>
            <w:pPr>
              <w:ind w:left="100"/>
              <w:spacing w:after="0"/>
              <w:rPr>
                <w:sz w:val="20"/>
                <w:szCs w:val="20"/>
                <w:color w:val="auto"/>
              </w:rPr>
            </w:pPr>
            <w:r>
              <w:rPr>
                <w:rFonts w:ascii="Arial" w:cs="Arial" w:eastAsia="Arial" w:hAnsi="Arial"/>
                <w:sz w:val="18"/>
                <w:szCs w:val="18"/>
                <w:color w:val="auto"/>
              </w:rPr>
              <w:t>Entertainment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13,697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44,863</w:t>
            </w:r>
          </w:p>
        </w:tc>
      </w:tr>
      <w:tr>
        <w:trPr>
          <w:trHeight w:val="216"/>
        </w:trPr>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other</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10"/>
        </w:trPr>
        <w:tc>
          <w:tcPr>
            <w:tcW w:w="3260" w:type="dxa"/>
            <w:vAlign w:val="bottom"/>
          </w:tcPr>
          <w:p>
            <w:pPr>
              <w:ind w:left="200"/>
              <w:spacing w:after="0"/>
              <w:rPr>
                <w:sz w:val="20"/>
                <w:szCs w:val="20"/>
                <w:color w:val="auto"/>
              </w:rPr>
            </w:pPr>
            <w:r>
              <w:rPr>
                <w:rFonts w:ascii="Arial" w:cs="Arial" w:eastAsia="Arial" w:hAnsi="Arial"/>
                <w:sz w:val="18"/>
                <w:szCs w:val="18"/>
                <w:color w:val="auto"/>
              </w:rPr>
              <w:t>Total capital expenditures</w:t>
            </w:r>
          </w:p>
        </w:tc>
        <w:tc>
          <w:tcPr>
            <w:tcW w:w="1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$ 165,463</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$ 152,541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$ 188,217</w:t>
            </w:r>
          </w:p>
        </w:tc>
      </w:tr>
      <w:tr>
        <w:trPr>
          <w:trHeight w:val="20"/>
        </w:trPr>
        <w:tc>
          <w:tcPr>
            <w:tcW w:w="3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On February 9, 2021, the Company commenced a cash tender offer for any and all outstanding $400 Million 5% Senior Notes at a redemption price of $1,005.00 per $1,000 principal amount of $400 Million 5% Senior Notes accepted for purchase in the tender offer. In accordance with the indenture governing the $400 Million 5% Senior Notes, subsequent to expiration of the tender offer, on February 17, 2021, the Company gave irrevocable notice of the redemption of all remaining $400 Million 5% Senior Notes not tendered in the tender offer and irrevocably deposited with the trustee for the $400 Million 5% Senior Notes and amount sufficient to pay the redemption price of the $400 Million 5% Senior Notes called for redemption at that date, including interest. The Company used a significant portion of the proceeds from the issuance of the $600 Million 4.50% Senior Notes described below to tender and redeem the $400 Million 5% Senior Notes.</w:t>
      </w:r>
    </w:p>
    <w:p>
      <w:pPr>
        <w:spacing w:after="0" w:line="165"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On February 17, 2021, the Operating Partnership and Finco (collectively, the “Issuers”) closed on a private placement of $600 million aggregate principal amount of 4.50% senior notes due 2029 (the “$600 Million 4.50% Senior Notes”). The $600 Million 4.50% Senior Notes will be senior unsecured obligations of the Issuers and guaranteed by the Company and its subsidiaries that guarantee the Credit Facility, the $400 Million 5% Senior Notes and $700 Million 4.75% Senior Notes. The aggregate net proceeds from the sale of the $600 Million 4.5% Senior Notes were approximately $591 million, after deducting the initial purchasers’ discounts and commissions and estimated offering expenses. After using a significant portion of these net proceeds to tender and redeem the Company’s $400 Million 5% Senior Notes, the Company used the net proceeds to repay all of the amounts outstanding under the Revolver. The Company may use any remaining proceeds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1500" w:right="1760"/>
        <w:spacing w:after="0" w:line="266" w:lineRule="auto"/>
        <w:rPr>
          <w:sz w:val="20"/>
          <w:szCs w:val="20"/>
          <w:color w:val="auto"/>
        </w:rPr>
      </w:pPr>
      <w:r>
        <w:rPr>
          <w:rFonts w:ascii="Arial" w:cs="Arial" w:eastAsia="Arial" w:hAnsi="Arial"/>
          <w:sz w:val="18"/>
          <w:szCs w:val="18"/>
          <w:b w:val="1"/>
          <w:bCs w:val="1"/>
          <w:color w:val="auto"/>
        </w:rPr>
        <w:t>RYMAN HOSPITALITY PROPERTIES, INC. AND SUBSIDIARIES SCHEDULE II – VALUATION AND QUALIFYING ACCOUNTS (Amounts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Balance at</w:t>
            </w:r>
          </w:p>
        </w:tc>
        <w:tc>
          <w:tcPr>
            <w:tcW w:w="8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Additions Charged to</w:t>
            </w: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2"/>
              </w:rPr>
              <w:t>Net (Deductions)</w:t>
            </w:r>
          </w:p>
        </w:tc>
        <w:tc>
          <w:tcPr>
            <w:tcW w:w="100" w:type="dxa"/>
            <w:vAlign w:val="bottom"/>
          </w:tcPr>
          <w:p>
            <w:pPr>
              <w:spacing w:after="0"/>
              <w:rPr>
                <w:sz w:val="14"/>
                <w:szCs w:val="14"/>
                <w:color w:val="auto"/>
              </w:rPr>
            </w:pPr>
          </w:p>
        </w:tc>
        <w:tc>
          <w:tcPr>
            <w:tcW w:w="78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Expenses/Other</w:t>
            </w: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Beginning of Year</w:t>
            </w:r>
          </w:p>
        </w:tc>
        <w:tc>
          <w:tcPr>
            <w:tcW w:w="8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Accounts</w:t>
            </w:r>
          </w:p>
        </w:tc>
        <w:tc>
          <w:tcPr>
            <w:tcW w:w="16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Recoveries</w:t>
            </w:r>
          </w:p>
        </w:tc>
        <w:tc>
          <w:tcPr>
            <w:tcW w:w="88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196"/>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Credit loss reserve on notes receivable:</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Year ended December 31, 2020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37,962</w:t>
            </w:r>
          </w:p>
        </w:tc>
        <w:tc>
          <w:tcPr>
            <w:tcW w:w="14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37,962</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Valuation allowance for deferred tax assets: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Year ended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85,313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97,700</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Year ended December 31, 2019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14,210</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(1,823)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12,387</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Year ended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5" w:name="page126"/>
    <w:bookmarkEnd w:id="12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 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2"/>
              </w:rPr>
              <w:t>Costs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5"/>
          </w:tcPr>
          <w:p>
            <w:pPr>
              <w:jc w:val="right"/>
              <w:ind w:right="48"/>
              <w:spacing w:after="0"/>
              <w:rPr>
                <w:sz w:val="20"/>
                <w:szCs w:val="20"/>
                <w:color w:val="auto"/>
              </w:rPr>
            </w:pPr>
            <w:r>
              <w:rPr>
                <w:rFonts w:ascii="Arial" w:cs="Arial" w:eastAsia="Arial" w:hAnsi="Arial"/>
                <w:sz w:val="13"/>
                <w:szCs w:val="13"/>
                <w:b w:val="1"/>
                <w:bCs w:val="1"/>
                <w:color w:val="auto"/>
                <w:w w:val="89"/>
              </w:rPr>
              <w:t>Initital Cost to Company</w:t>
            </w: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Capitalized</w:t>
            </w:r>
          </w:p>
        </w:tc>
        <w:tc>
          <w:tcPr>
            <w:tcW w:w="160" w:type="dxa"/>
            <w:vAlign w:val="bottom"/>
          </w:tcPr>
          <w:p>
            <w:pPr>
              <w:spacing w:after="0"/>
              <w:rPr>
                <w:sz w:val="13"/>
                <w:szCs w:val="13"/>
                <w:color w:val="auto"/>
              </w:rPr>
            </w:pPr>
          </w:p>
        </w:tc>
        <w:tc>
          <w:tcPr>
            <w:tcW w:w="2500" w:type="dxa"/>
            <w:vAlign w:val="bottom"/>
            <w:gridSpan w:val="11"/>
          </w:tcPr>
          <w:p>
            <w:pPr>
              <w:jc w:val="right"/>
              <w:ind w:right="460"/>
              <w:spacing w:after="0"/>
              <w:rPr>
                <w:sz w:val="20"/>
                <w:szCs w:val="20"/>
                <w:color w:val="auto"/>
              </w:rPr>
            </w:pPr>
            <w:r>
              <w:rPr>
                <w:rFonts w:ascii="Arial" w:cs="Arial" w:eastAsia="Arial" w:hAnsi="Arial"/>
                <w:sz w:val="13"/>
                <w:szCs w:val="13"/>
                <w:b w:val="1"/>
                <w:bCs w:val="1"/>
                <w:color w:val="auto"/>
              </w:rPr>
              <w:t>Gross Amount at End of Year</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Date Acq/</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2"/>
              </w:rPr>
              <w:t>Depr Life</w:t>
            </w: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Encmbr</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rPr>
              <w:t>Land</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91"/>
              </w:rPr>
              <w:t>Bldgs &amp; Impr</w:t>
            </w:r>
          </w:p>
        </w:tc>
        <w:tc>
          <w:tcPr>
            <w:tcW w:w="18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1"/>
              </w:rPr>
              <w:t>Subs to Acq</w:t>
            </w:r>
          </w:p>
        </w:tc>
        <w:tc>
          <w:tcPr>
            <w:tcW w:w="160" w:type="dxa"/>
            <w:vAlign w:val="bottom"/>
          </w:tcPr>
          <w:p>
            <w:pPr>
              <w:spacing w:after="0"/>
              <w:rPr>
                <w:sz w:val="11"/>
                <w:szCs w:val="11"/>
                <w:color w:val="auto"/>
              </w:rPr>
            </w:pPr>
          </w:p>
        </w:tc>
        <w:tc>
          <w:tcPr>
            <w:tcW w:w="640" w:type="dxa"/>
            <w:vAlign w:val="bottom"/>
            <w:tcBorders>
              <w:top w:val="single" w:sz="8" w:color="auto"/>
            </w:tcBorders>
            <w:gridSpan w:val="2"/>
          </w:tcPr>
          <w:p>
            <w:pPr>
              <w:jc w:val="right"/>
              <w:ind w:right="90"/>
              <w:spacing w:after="0" w:line="129" w:lineRule="exact"/>
              <w:rPr>
                <w:sz w:val="20"/>
                <w:szCs w:val="20"/>
                <w:color w:val="auto"/>
              </w:rPr>
            </w:pPr>
            <w:r>
              <w:rPr>
                <w:rFonts w:ascii="Arial" w:cs="Arial" w:eastAsia="Arial" w:hAnsi="Arial"/>
                <w:sz w:val="13"/>
                <w:szCs w:val="13"/>
                <w:b w:val="1"/>
                <w:bCs w:val="1"/>
                <w:color w:val="auto"/>
              </w:rPr>
              <w:t>Land</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3"/>
                <w:szCs w:val="13"/>
                <w:b w:val="1"/>
                <w:bCs w:val="1"/>
                <w:color w:val="auto"/>
                <w:w w:val="93"/>
              </w:rPr>
              <w:t>Bldgs &amp; Impr</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3"/>
                <w:szCs w:val="13"/>
                <w:b w:val="1"/>
                <w:bCs w:val="1"/>
                <w:color w:val="auto"/>
                <w:w w:val="94"/>
              </w:rPr>
              <w:t>Total (3)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4"/>
          </w:tcPr>
          <w:p>
            <w:pPr>
              <w:jc w:val="right"/>
              <w:ind w:right="297"/>
              <w:spacing w:after="0" w:line="129" w:lineRule="exact"/>
              <w:rPr>
                <w:sz w:val="20"/>
                <w:szCs w:val="20"/>
                <w:color w:val="auto"/>
              </w:rPr>
            </w:pPr>
            <w:r>
              <w:rPr>
                <w:rFonts w:ascii="Arial" w:cs="Arial" w:eastAsia="Arial" w:hAnsi="Arial"/>
                <w:sz w:val="13"/>
                <w:szCs w:val="13"/>
                <w:b w:val="1"/>
                <w:bCs w:val="1"/>
                <w:color w:val="auto"/>
                <w:w w:val="94"/>
              </w:rPr>
              <w:t>Acc Depr</w:t>
            </w:r>
          </w:p>
        </w:tc>
        <w:tc>
          <w:tcPr>
            <w:tcW w:w="60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5"/>
              </w:rPr>
              <w:t>Constr</w:t>
            </w:r>
          </w:p>
        </w:tc>
        <w:tc>
          <w:tcPr>
            <w:tcW w:w="5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(yrs)</w:t>
            </w:r>
          </w:p>
        </w:tc>
        <w:tc>
          <w:tcPr>
            <w:tcW w:w="0" w:type="dxa"/>
            <w:vAlign w:val="bottom"/>
          </w:tcPr>
          <w:p>
            <w:pPr>
              <w:spacing w:after="0"/>
              <w:rPr>
                <w:sz w:val="1"/>
                <w:szCs w:val="1"/>
                <w:color w:val="auto"/>
              </w:rPr>
            </w:pPr>
          </w:p>
        </w:tc>
      </w:tr>
      <w:tr>
        <w:trPr>
          <w:trHeight w:val="142"/>
        </w:trPr>
        <w:tc>
          <w:tcPr>
            <w:tcW w:w="11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Gaylord Opryland</w:t>
            </w:r>
          </w:p>
        </w:tc>
        <w:tc>
          <w:tcPr>
            <w:tcW w:w="240" w:type="dxa"/>
            <w:vAlign w:val="bottom"/>
            <w:tcBorders>
              <w:top w:val="single" w:sz="8" w:color="CCEEFF"/>
              <w:left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9,817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77,125</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690,718</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  69,613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708,047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777,660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3"/>
            <w:shd w:val="clear" w:color="auto" w:fill="CCEEFF"/>
          </w:tcPr>
          <w:p>
            <w:pPr>
              <w:jc w:val="right"/>
              <w:ind w:right="45"/>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394,058</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right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center"/>
              <w:ind w:right="29"/>
              <w:spacing w:after="0" w:line="142" w:lineRule="exact"/>
              <w:rPr>
                <w:sz w:val="20"/>
                <w:szCs w:val="20"/>
                <w:color w:val="auto"/>
              </w:rPr>
            </w:pPr>
            <w:r>
              <w:rPr>
                <w:rFonts w:ascii="Arial" w:cs="Arial" w:eastAsia="Arial" w:hAnsi="Arial"/>
                <w:sz w:val="14"/>
                <w:szCs w:val="14"/>
                <w:color w:val="auto"/>
                <w:w w:val="89"/>
              </w:rPr>
              <w:t>1983</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8"/>
        </w:trPr>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Gaylord Palms</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21,564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314,661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75,273</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35,512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375,986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411,498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8"/>
              </w:rPr>
              <w:t>186,607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29"/>
              <w:spacing w:after="0" w:line="149" w:lineRule="exact"/>
              <w:rPr>
                <w:sz w:val="20"/>
                <w:szCs w:val="20"/>
                <w:color w:val="auto"/>
              </w:rPr>
            </w:pPr>
            <w:r>
              <w:rPr>
                <w:rFonts w:ascii="Arial" w:cs="Arial" w:eastAsia="Arial" w:hAnsi="Arial"/>
                <w:sz w:val="14"/>
                <w:szCs w:val="14"/>
                <w:color w:val="auto"/>
                <w:w w:val="89"/>
              </w:rPr>
              <w:t>2002</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8"/>
        </w:trPr>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Gaylord Texan</w:t>
            </w:r>
          </w:p>
        </w:tc>
        <w:tc>
          <w:tcPr>
            <w:tcW w:w="68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21,235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388,030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184,213</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48,554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544,924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593,478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202,554</w:t>
            </w: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center"/>
              <w:ind w:right="29"/>
              <w:spacing w:after="0" w:line="149" w:lineRule="exact"/>
              <w:rPr>
                <w:sz w:val="20"/>
                <w:szCs w:val="20"/>
                <w:color w:val="auto"/>
              </w:rPr>
            </w:pPr>
            <w:r>
              <w:rPr>
                <w:rFonts w:ascii="Arial" w:cs="Arial" w:eastAsia="Arial" w:hAnsi="Arial"/>
                <w:sz w:val="14"/>
                <w:szCs w:val="14"/>
                <w:color w:val="auto"/>
                <w:w w:val="89"/>
              </w:rPr>
              <w:t>2004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8"/>
        </w:trPr>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Gaylord National</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43,212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840,261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40,237</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47,609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876,101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923,710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8"/>
              </w:rPr>
              <w:t>275,329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29"/>
              <w:spacing w:after="0" w:line="149" w:lineRule="exact"/>
              <w:rPr>
                <w:sz w:val="20"/>
                <w:szCs w:val="20"/>
                <w:color w:val="auto"/>
              </w:rPr>
            </w:pPr>
            <w:r>
              <w:rPr>
                <w:rFonts w:ascii="Arial" w:cs="Arial" w:eastAsia="Arial" w:hAnsi="Arial"/>
                <w:sz w:val="14"/>
                <w:szCs w:val="14"/>
                <w:color w:val="auto"/>
                <w:w w:val="89"/>
              </w:rPr>
              <w:t>2008</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8"/>
        </w:trPr>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0"/>
              </w:rPr>
              <w:t>Gaylord Rockies (4)</w:t>
            </w:r>
          </w:p>
        </w:tc>
        <w:tc>
          <w:tcPr>
            <w:tcW w:w="68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53,374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760,898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4,170</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55,094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763,348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818,442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46,189</w:t>
            </w: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center"/>
              <w:ind w:right="29"/>
              <w:spacing w:after="0" w:line="149" w:lineRule="exact"/>
              <w:rPr>
                <w:sz w:val="20"/>
                <w:szCs w:val="20"/>
                <w:color w:val="auto"/>
              </w:rPr>
            </w:pPr>
            <w:r>
              <w:rPr>
                <w:rFonts w:ascii="Arial" w:cs="Arial" w:eastAsia="Arial" w:hAnsi="Arial"/>
                <w:sz w:val="14"/>
                <w:szCs w:val="14"/>
                <w:color w:val="auto"/>
                <w:w w:val="89"/>
              </w:rPr>
              <w:t>2018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9"/>
        </w:trPr>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Inn at Opryland</w:t>
            </w:r>
          </w:p>
        </w:tc>
        <w:tc>
          <w:tcPr>
            <w:tcW w:w="24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2,675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7,248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19,189</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3,028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26,084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29,112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10,897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29"/>
              <w:spacing w:after="0" w:line="149" w:lineRule="exact"/>
              <w:rPr>
                <w:sz w:val="20"/>
                <w:szCs w:val="20"/>
                <w:color w:val="auto"/>
              </w:rPr>
            </w:pPr>
            <w:r>
              <w:rPr>
                <w:rFonts w:ascii="Arial" w:cs="Arial" w:eastAsia="Arial" w:hAnsi="Arial"/>
                <w:sz w:val="14"/>
                <w:szCs w:val="14"/>
                <w:color w:val="auto"/>
                <w:w w:val="89"/>
              </w:rPr>
              <w:t>1998</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8"/>
        </w:trPr>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 Hotel</w:t>
            </w:r>
          </w:p>
        </w:tc>
        <w:tc>
          <w:tcPr>
            <w:tcW w:w="240" w:type="dxa"/>
            <w:vAlign w:val="bottom"/>
            <w:tcBorders>
              <w:lef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9,079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17,340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3,776</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9,099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21,096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30,195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3,212</w:t>
            </w: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center"/>
              <w:ind w:right="29"/>
              <w:spacing w:after="0" w:line="149" w:lineRule="exact"/>
              <w:rPr>
                <w:sz w:val="20"/>
                <w:szCs w:val="20"/>
                <w:color w:val="auto"/>
              </w:rPr>
            </w:pPr>
            <w:r>
              <w:rPr>
                <w:rFonts w:ascii="Arial" w:cs="Arial" w:eastAsia="Arial" w:hAnsi="Arial"/>
                <w:sz w:val="14"/>
                <w:szCs w:val="14"/>
                <w:color w:val="auto"/>
                <w:w w:val="89"/>
              </w:rPr>
              <w:t>2014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8"/>
        </w:trPr>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Miscellaneous</w:t>
            </w:r>
          </w:p>
        </w:tc>
        <w:tc>
          <w:tcPr>
            <w:tcW w:w="24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21,290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20,372</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35,927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21,985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57,912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21,718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N/A</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2"/>
        </w:trPr>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left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4"/>
              </w:rPr>
              <w:t>182,246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2,421,813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$ 1,037,948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$ 304,436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6"/>
              </w:rPr>
              <w:t>3,337,571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$ 3,642,007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$ 1,140,564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0" w:type="dxa"/>
            <w:vAlign w:val="bottom"/>
            <w:tcBorders>
              <w:left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Investment in real estate: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0" w:type="dxa"/>
            <w:vAlign w:val="bottom"/>
            <w:gridSpan w:val="9"/>
          </w:tcPr>
          <w:p>
            <w:pPr>
              <w:ind w:left="100"/>
              <w:spacing w:after="0"/>
              <w:rPr>
                <w:sz w:val="20"/>
                <w:szCs w:val="20"/>
                <w:color w:val="auto"/>
              </w:rPr>
            </w:pPr>
            <w:r>
              <w:rPr>
                <w:rFonts w:ascii="Arial" w:cs="Arial" w:eastAsia="Arial" w:hAnsi="Arial"/>
                <w:sz w:val="18"/>
                <w:szCs w:val="18"/>
                <w:color w:val="auto"/>
                <w:w w:val="99"/>
              </w:rPr>
              <w:t>Balance at beginning of year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gridSpan w:val="6"/>
          </w:tcPr>
          <w:p>
            <w:pPr>
              <w:jc w:val="right"/>
              <w:spacing w:after="0"/>
              <w:rPr>
                <w:sz w:val="20"/>
                <w:szCs w:val="20"/>
                <w:color w:val="auto"/>
              </w:rPr>
            </w:pPr>
            <w:r>
              <w:rPr>
                <w:rFonts w:ascii="Arial" w:cs="Arial" w:eastAsia="Arial" w:hAnsi="Arial"/>
                <w:sz w:val="18"/>
                <w:szCs w:val="18"/>
                <w:color w:val="auto"/>
              </w:rPr>
              <w:t>$ 3,615,025</w:t>
            </w:r>
          </w:p>
        </w:tc>
        <w:tc>
          <w:tcPr>
            <w:tcW w:w="1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w w:val="88"/>
              </w:rPr>
              <w:t>$ 3,563,304</w:t>
            </w:r>
          </w:p>
        </w:tc>
        <w:tc>
          <w:tcPr>
            <w:tcW w:w="20" w:type="dxa"/>
            <w:vAlign w:val="bottom"/>
          </w:tcPr>
          <w:p>
            <w:pPr>
              <w:spacing w:after="0"/>
              <w:rPr>
                <w:sz w:val="18"/>
                <w:szCs w:val="18"/>
                <w:color w:val="auto"/>
              </w:rPr>
            </w:pPr>
          </w:p>
        </w:tc>
        <w:tc>
          <w:tcPr>
            <w:tcW w:w="1120" w:type="dxa"/>
            <w:vAlign w:val="bottom"/>
            <w:gridSpan w:val="7"/>
          </w:tcPr>
          <w:p>
            <w:pPr>
              <w:jc w:val="right"/>
              <w:spacing w:after="0"/>
              <w:rPr>
                <w:sz w:val="20"/>
                <w:szCs w:val="20"/>
                <w:color w:val="auto"/>
              </w:rPr>
            </w:pPr>
            <w:r>
              <w:rPr>
                <w:rFonts w:ascii="Arial" w:cs="Arial" w:eastAsia="Arial" w:hAnsi="Arial"/>
                <w:sz w:val="18"/>
                <w:szCs w:val="18"/>
                <w:color w:val="auto"/>
              </w:rPr>
              <w:t>$ 2,570,390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Borders>
              <w:left w:val="single" w:sz="8" w:color="CCEEFF"/>
            </w:tcBorders>
            <w:gridSpan w:val="6"/>
            <w:shd w:val="clear" w:color="auto" w:fill="CCEEFF"/>
          </w:tcPr>
          <w:p>
            <w:pPr>
              <w:ind w:left="10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814,765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gridSpan w:val="6"/>
          </w:tcPr>
          <w:p>
            <w:pPr>
              <w:ind w:left="100"/>
              <w:spacing w:after="0"/>
              <w:rPr>
                <w:sz w:val="20"/>
                <w:szCs w:val="20"/>
                <w:color w:val="auto"/>
              </w:rPr>
            </w:pPr>
            <w:r>
              <w:rPr>
                <w:rFonts w:ascii="Arial" w:cs="Arial" w:eastAsia="Arial" w:hAnsi="Arial"/>
                <w:sz w:val="18"/>
                <w:szCs w:val="18"/>
                <w:color w:val="auto"/>
              </w:rPr>
              <w:t>Improvements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27,911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53,373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179,787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Borders>
              <w:lef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w w:val="92"/>
              </w:rPr>
              <w:t>Disposals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40" w:type="dxa"/>
            <w:vAlign w:val="bottom"/>
            <w:tcBorders>
              <w:bottom w:val="single" w:sz="8" w:color="CCEEFF"/>
            </w:tcBorders>
            <w:gridSpan w:val="8"/>
          </w:tcPr>
          <w:p>
            <w:pPr>
              <w:ind w:left="100"/>
              <w:spacing w:after="0"/>
              <w:rPr>
                <w:sz w:val="20"/>
                <w:szCs w:val="20"/>
                <w:color w:val="auto"/>
              </w:rPr>
            </w:pPr>
            <w:r>
              <w:rPr>
                <w:rFonts w:ascii="Arial" w:cs="Arial" w:eastAsia="Arial" w:hAnsi="Arial"/>
                <w:sz w:val="18"/>
                <w:szCs w:val="18"/>
                <w:color w:val="auto"/>
                <w:w w:val="89"/>
              </w:rPr>
              <w:t>Balance at end of year</w:t>
            </w:r>
          </w:p>
        </w:tc>
        <w:tc>
          <w:tcPr>
            <w:tcW w:w="6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gridSpan w:val="2"/>
          </w:tcPr>
          <w:p>
            <w:pPr>
              <w:spacing w:after="0"/>
              <w:rPr>
                <w:sz w:val="21"/>
                <w:szCs w:val="21"/>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8"/>
              </w:rPr>
              <w:t>$ 3,642,007</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$ 3,615,025</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gridSpan w:val="3"/>
          </w:tcPr>
          <w:p>
            <w:pPr>
              <w:spacing w:after="0"/>
              <w:rPr>
                <w:sz w:val="21"/>
                <w:szCs w:val="21"/>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8"/>
              </w:rPr>
              <w:t>$ 3,563,304</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40" w:type="dxa"/>
            <w:vAlign w:val="bottom"/>
            <w:vMerge w:val="restart"/>
          </w:tcPr>
          <w:p>
            <w:pPr>
              <w:spacing w:after="0"/>
              <w:rPr>
                <w:sz w:val="17"/>
                <w:szCs w:val="17"/>
                <w:color w:val="auto"/>
              </w:rPr>
            </w:pPr>
          </w:p>
        </w:tc>
        <w:tc>
          <w:tcPr>
            <w:tcW w:w="920" w:type="dxa"/>
            <w:vAlign w:val="bottom"/>
            <w:vMerge w:val="restart"/>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400" w:type="dxa"/>
            <w:vAlign w:val="bottom"/>
            <w:gridSpan w:val="9"/>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0" w:type="dxa"/>
            <w:vAlign w:val="bottom"/>
            <w:tcBorders>
              <w:left w:val="single" w:sz="8" w:color="CCEEFF"/>
            </w:tcBorders>
            <w:gridSpan w:val="9"/>
            <w:shd w:val="clear" w:color="auto" w:fill="CCEEFF"/>
          </w:tcPr>
          <w:p>
            <w:pPr>
              <w:ind w:left="100"/>
              <w:spacing w:after="0"/>
              <w:rPr>
                <w:sz w:val="20"/>
                <w:szCs w:val="20"/>
                <w:color w:val="auto"/>
              </w:rPr>
            </w:pPr>
            <w:r>
              <w:rPr>
                <w:rFonts w:ascii="Arial" w:cs="Arial" w:eastAsia="Arial" w:hAnsi="Arial"/>
                <w:sz w:val="18"/>
                <w:szCs w:val="18"/>
                <w:color w:val="auto"/>
                <w:w w:val="99"/>
              </w:rPr>
              <w:t>Balance at beginning of year</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$ 1,044,689</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949,630</w:t>
            </w:r>
          </w:p>
        </w:tc>
        <w:tc>
          <w:tcPr>
            <w:tcW w:w="2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883,445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gridSpan w:val="6"/>
          </w:tcPr>
          <w:p>
            <w:pPr>
              <w:ind w:left="1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96,263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95,415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67,652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Borders>
              <w:lef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w w:val="92"/>
              </w:rPr>
              <w:t>Disposals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40" w:type="dxa"/>
            <w:vAlign w:val="bottom"/>
            <w:gridSpan w:val="8"/>
          </w:tcPr>
          <w:p>
            <w:pPr>
              <w:ind w:left="100"/>
              <w:spacing w:after="0"/>
              <w:rPr>
                <w:sz w:val="20"/>
                <w:szCs w:val="20"/>
                <w:color w:val="auto"/>
              </w:rPr>
            </w:pPr>
            <w:r>
              <w:rPr>
                <w:rFonts w:ascii="Arial" w:cs="Arial" w:eastAsia="Arial" w:hAnsi="Arial"/>
                <w:sz w:val="18"/>
                <w:szCs w:val="18"/>
                <w:color w:val="auto"/>
                <w:w w:val="89"/>
              </w:rPr>
              <w:t>Balance at end of year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w w:val="88"/>
              </w:rPr>
              <w:t>$ 1,140,564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86"/>
              </w:rPr>
              <w:t>$ 1,044,689</w:t>
            </w:r>
          </w:p>
        </w:tc>
        <w:tc>
          <w:tcPr>
            <w:tcW w:w="20" w:type="dxa"/>
            <w:vAlign w:val="bottom"/>
          </w:tcPr>
          <w:p>
            <w:pPr>
              <w:spacing w:after="0"/>
              <w:rPr>
                <w:sz w:val="18"/>
                <w:szCs w:val="18"/>
                <w:color w:val="auto"/>
              </w:rPr>
            </w:pPr>
          </w:p>
        </w:tc>
        <w:tc>
          <w:tcPr>
            <w:tcW w:w="200" w:type="dxa"/>
            <w:vAlign w:val="bottom"/>
            <w:gridSpan w:val="3"/>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949,630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80" w:right="520" w:hanging="330"/>
        <w:spacing w:after="0" w:line="258"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Pledged as collateral under the Company’s credit facility. At December 31, 2020, $788.0 million in borrowings and letters of credit were outstanding under such facility.</w:t>
      </w:r>
    </w:p>
    <w:p>
      <w:pPr>
        <w:spacing w:after="0" w:line="1" w:lineRule="exact"/>
        <w:rPr>
          <w:rFonts w:ascii="Arial" w:cs="Arial" w:eastAsia="Arial" w:hAnsi="Arial"/>
          <w:sz w:val="18"/>
          <w:szCs w:val="18"/>
          <w:color w:val="auto"/>
        </w:rPr>
      </w:pPr>
    </w:p>
    <w:p>
      <w:pPr>
        <w:ind w:left="580" w:right="600" w:hanging="330"/>
        <w:spacing w:after="0" w:line="250"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Pledged as collateral under the Gaylord Rockies joint venture term loan. At December 31, 2020, $800.0 million in borrowings were outstanding under such loan.</w:t>
      </w:r>
    </w:p>
    <w:p>
      <w:pPr>
        <w:ind w:left="580" w:hanging="330"/>
        <w:spacing w:after="0"/>
        <w:tabs>
          <w:tab w:leader="none" w:pos="5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aggregate cost of properties for federal income tax purposes is approximately $3.1 billion at December 31, 2020.</w:t>
      </w:r>
    </w:p>
    <w:p>
      <w:pPr>
        <w:spacing w:after="0" w:line="20" w:lineRule="exact"/>
        <w:rPr>
          <w:rFonts w:ascii="Arial" w:cs="Arial" w:eastAsia="Arial" w:hAnsi="Arial"/>
          <w:sz w:val="17"/>
          <w:szCs w:val="17"/>
          <w:color w:val="auto"/>
        </w:rPr>
      </w:pPr>
    </w:p>
    <w:p>
      <w:pPr>
        <w:ind w:left="580" w:hanging="330"/>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owns a 65.0% investment in the joint venture that owns Gaylord Rockies.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357505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00"/>
          </w:cols>
          <w:pgMar w:left="1240" w:top="517" w:right="125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b w:val="1"/>
          <w:bCs w:val="1"/>
          <w:color w:val="auto"/>
        </w:rPr>
        <w:t>FOURTH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15" w:lineRule="exact"/>
        <w:rPr>
          <w:sz w:val="20"/>
          <w:szCs w:val="20"/>
          <w:color w:val="auto"/>
        </w:rPr>
      </w:pPr>
    </w:p>
    <w:p>
      <w:pPr>
        <w:ind w:left="200" w:right="439" w:firstLine="648"/>
        <w:spacing w:after="0" w:line="279" w:lineRule="auto"/>
        <w:rPr>
          <w:sz w:val="20"/>
          <w:szCs w:val="20"/>
          <w:color w:val="auto"/>
        </w:rPr>
      </w:pPr>
      <w:r>
        <w:rPr>
          <w:rFonts w:ascii="Arial" w:cs="Arial" w:eastAsia="Arial" w:hAnsi="Arial"/>
          <w:sz w:val="19"/>
          <w:szCs w:val="19"/>
          <w:color w:val="auto"/>
        </w:rPr>
        <w:t>THIS FOURTH AMENDMENT, dated as of December 31, 2020 (this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by and between RYMAN HOSPITALITY PROPERTIES,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 Delaware corporation and successor in interest by merger to Gaylord Entertainment Company, formerly a Delaware corporation (“</w:t>
      </w:r>
      <w:r>
        <w:rPr>
          <w:rFonts w:ascii="Arial" w:cs="Arial" w:eastAsia="Arial" w:hAnsi="Arial"/>
          <w:sz w:val="19"/>
          <w:szCs w:val="19"/>
          <w:b w:val="1"/>
          <w:bCs w:val="1"/>
          <w:i w:val="1"/>
          <w:iCs w:val="1"/>
          <w:color w:val="auto"/>
        </w:rPr>
        <w:t>Gaylord</w:t>
      </w:r>
      <w:r>
        <w:rPr>
          <w:rFonts w:ascii="Arial" w:cs="Arial" w:eastAsia="Arial" w:hAnsi="Arial"/>
          <w:sz w:val="19"/>
          <w:szCs w:val="19"/>
          <w:color w:val="auto"/>
        </w:rPr>
        <w:t>”), and COLIN V. REED, a resident of Nashville, Davidson County, Tennessee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is to the Executive Employment Agreement, dated as of February 25, 2008 by and between Gaylord and Executive, as amended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39" w:lineRule="exact"/>
        <w:rPr>
          <w:sz w:val="20"/>
          <w:szCs w:val="20"/>
          <w:color w:val="auto"/>
        </w:rPr>
      </w:pPr>
    </w:p>
    <w:p>
      <w:pPr>
        <w:jc w:val="both"/>
        <w:ind w:left="200" w:right="459" w:firstLine="648"/>
        <w:spacing w:after="0"/>
        <w:rPr>
          <w:sz w:val="20"/>
          <w:szCs w:val="20"/>
          <w:color w:val="auto"/>
        </w:rPr>
      </w:pPr>
      <w:r>
        <w:rPr>
          <w:rFonts w:ascii="Arial" w:cs="Arial" w:eastAsia="Arial" w:hAnsi="Arial"/>
          <w:sz w:val="22"/>
          <w:szCs w:val="22"/>
          <w:color w:val="auto"/>
        </w:rPr>
        <w:t>WHEREAS, effective October 1, 2012, Gaylord merged with and into the Company with the Company surviving the merger and succeeding to Gaylord’s rights and obligations under the Agreement;</w:t>
      </w:r>
    </w:p>
    <w:p>
      <w:pPr>
        <w:spacing w:after="0" w:line="207" w:lineRule="exact"/>
        <w:rPr>
          <w:sz w:val="20"/>
          <w:szCs w:val="20"/>
          <w:color w:val="auto"/>
        </w:rPr>
      </w:pPr>
    </w:p>
    <w:p>
      <w:pPr>
        <w:jc w:val="both"/>
        <w:ind w:left="200" w:right="699" w:firstLine="648"/>
        <w:spacing w:after="0" w:line="260" w:lineRule="auto"/>
        <w:rPr>
          <w:sz w:val="20"/>
          <w:szCs w:val="20"/>
          <w:color w:val="auto"/>
        </w:rPr>
      </w:pPr>
      <w:r>
        <w:rPr>
          <w:rFonts w:ascii="Arial" w:cs="Arial" w:eastAsia="Arial" w:hAnsi="Arial"/>
          <w:sz w:val="21"/>
          <w:szCs w:val="21"/>
          <w:color w:val="auto"/>
        </w:rPr>
        <w:t>WHEREAS</w:t>
      </w:r>
      <w:r>
        <w:rPr>
          <w:rFonts w:ascii="Arial" w:cs="Arial" w:eastAsia="Arial" w:hAnsi="Arial"/>
          <w:sz w:val="21"/>
          <w:szCs w:val="21"/>
          <w:b w:val="1"/>
          <w:bCs w:val="1"/>
          <w:color w:val="auto"/>
        </w:rPr>
        <w:t>,</w:t>
      </w:r>
      <w:r>
        <w:rPr>
          <w:rFonts w:ascii="Arial" w:cs="Arial" w:eastAsia="Arial" w:hAnsi="Arial"/>
          <w:sz w:val="21"/>
          <w:szCs w:val="21"/>
          <w:color w:val="auto"/>
        </w:rPr>
        <w:t xml:space="preserve"> the Tax Cuts and Jobs Act of 2017 (P.L. 115-97) and associated guidance made certain changes to the rules and application of the $1 million deduction limitation under Section 162(m) of the Internal Revenue Code (“</w:t>
      </w:r>
      <w:r>
        <w:rPr>
          <w:rFonts w:ascii="Arial" w:cs="Arial" w:eastAsia="Arial" w:hAnsi="Arial"/>
          <w:sz w:val="21"/>
          <w:szCs w:val="21"/>
          <w:b w:val="1"/>
          <w:bCs w:val="1"/>
          <w:i w:val="1"/>
          <w:iCs w:val="1"/>
          <w:color w:val="auto"/>
        </w:rPr>
        <w:t>Section 162(m)</w:t>
      </w:r>
      <w:r>
        <w:rPr>
          <w:rFonts w:ascii="Arial" w:cs="Arial" w:eastAsia="Arial" w:hAnsi="Arial"/>
          <w:sz w:val="21"/>
          <w:szCs w:val="21"/>
          <w:color w:val="auto"/>
        </w:rPr>
        <w:t>”);</w:t>
      </w:r>
    </w:p>
    <w:p>
      <w:pPr>
        <w:spacing w:after="0" w:line="193" w:lineRule="exact"/>
        <w:rPr>
          <w:sz w:val="20"/>
          <w:szCs w:val="20"/>
          <w:color w:val="auto"/>
        </w:rPr>
      </w:pPr>
    </w:p>
    <w:p>
      <w:pPr>
        <w:ind w:left="200" w:right="459" w:firstLine="648"/>
        <w:spacing w:after="0" w:line="238" w:lineRule="auto"/>
        <w:rPr>
          <w:sz w:val="20"/>
          <w:szCs w:val="20"/>
          <w:color w:val="auto"/>
        </w:rPr>
      </w:pPr>
      <w:r>
        <w:rPr>
          <w:rFonts w:ascii="Arial" w:cs="Arial" w:eastAsia="Arial" w:hAnsi="Arial"/>
          <w:sz w:val="22"/>
          <w:szCs w:val="22"/>
          <w:color w:val="auto"/>
        </w:rPr>
        <w:t>WHEREAS, the Company and Executive wish to amend the Agreement for the sole purpose of clarifying that certain payments made pursuant to the Agreement are “grandfathered” under Section 162(m) and to take advantage of certain transition rules made available under the revised Section 162(m);</w:t>
      </w:r>
    </w:p>
    <w:p>
      <w:pPr>
        <w:spacing w:after="0" w:line="212" w:lineRule="exact"/>
        <w:rPr>
          <w:sz w:val="20"/>
          <w:szCs w:val="20"/>
          <w:color w:val="auto"/>
        </w:rPr>
      </w:pPr>
    </w:p>
    <w:p>
      <w:pPr>
        <w:ind w:left="200" w:right="299" w:firstLine="648"/>
        <w:spacing w:after="0" w:line="297" w:lineRule="auto"/>
        <w:rPr>
          <w:sz w:val="20"/>
          <w:szCs w:val="20"/>
          <w:color w:val="auto"/>
        </w:rPr>
      </w:pPr>
      <w:r>
        <w:rPr>
          <w:rFonts w:ascii="Arial" w:cs="Arial" w:eastAsia="Arial" w:hAnsi="Arial"/>
          <w:sz w:val="19"/>
          <w:szCs w:val="19"/>
          <w:color w:val="auto"/>
        </w:rPr>
        <w:t>NOW, THEREFORE, in consideration of the continued employment of Executive by the Company, the agreements made herein and in the Agreement and other good and valuable consideration, the receipt and sufficiency of which are acknowledged, the parties agree as follows:</w:t>
      </w:r>
    </w:p>
    <w:p>
      <w:pPr>
        <w:spacing w:after="0" w:line="161" w:lineRule="exact"/>
        <w:rPr>
          <w:sz w:val="20"/>
          <w:szCs w:val="20"/>
          <w:color w:val="auto"/>
        </w:rPr>
      </w:pPr>
    </w:p>
    <w:p>
      <w:pPr>
        <w:ind w:left="200" w:right="599" w:firstLine="657"/>
        <w:spacing w:after="0" w:line="250" w:lineRule="auto"/>
        <w:tabs>
          <w:tab w:leader="none" w:pos="1496"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new paragraph at the end of Section 4(a) of the Agreement is hereby added to provide as follows:</w:t>
      </w:r>
    </w:p>
    <w:p>
      <w:pPr>
        <w:spacing w:after="0" w:line="202" w:lineRule="exact"/>
        <w:rPr>
          <w:sz w:val="20"/>
          <w:szCs w:val="20"/>
          <w:color w:val="auto"/>
        </w:rPr>
      </w:pPr>
    </w:p>
    <w:p>
      <w:pPr>
        <w:ind w:left="200" w:right="339"/>
        <w:spacing w:after="0" w:line="236" w:lineRule="auto"/>
        <w:rPr>
          <w:sz w:val="20"/>
          <w:szCs w:val="20"/>
          <w:color w:val="auto"/>
        </w:rPr>
      </w:pPr>
      <w:r>
        <w:rPr>
          <w:rFonts w:ascii="Arial" w:cs="Arial" w:eastAsia="Arial" w:hAnsi="Arial"/>
          <w:sz w:val="22"/>
          <w:szCs w:val="22"/>
          <w:color w:val="auto"/>
        </w:rPr>
        <w:t>The Company intends that the amounts described in this Section 4(a) be “grandfathered” to the maximum extent permitted by Section 13601(e) of the Tax Cuts and Jobs Act of 2017 and Section 162(m) of the Code and the guidance and regulations thereunder (collectively, “Applicable Grandfathering Rules” and such effectively grandfathered amounts, the “SERP Grandfathered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27" w:name="page128"/>
    <w:bookmarkEnd w:id="127"/>
    <w:p>
      <w:pPr>
        <w:ind w:left="200" w:right="559" w:firstLine="657"/>
        <w:spacing w:after="0" w:line="251" w:lineRule="auto"/>
        <w:tabs>
          <w:tab w:leader="none" w:pos="1496"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last sentence of Section 4(j) of the Agreement is amended and restated in its entirety to provide as follows:</w:t>
      </w:r>
    </w:p>
    <w:p>
      <w:pPr>
        <w:spacing w:after="0" w:line="200" w:lineRule="exact"/>
        <w:rPr>
          <w:sz w:val="20"/>
          <w:szCs w:val="20"/>
          <w:color w:val="auto"/>
        </w:rPr>
      </w:pPr>
    </w:p>
    <w:p>
      <w:pPr>
        <w:ind w:left="200" w:right="579"/>
        <w:spacing w:after="0" w:line="277" w:lineRule="auto"/>
        <w:rPr>
          <w:sz w:val="20"/>
          <w:szCs w:val="20"/>
          <w:color w:val="auto"/>
        </w:rPr>
      </w:pPr>
      <w:r>
        <w:rPr>
          <w:rFonts w:ascii="Arial" w:cs="Arial" w:eastAsia="Arial" w:hAnsi="Arial"/>
          <w:sz w:val="19"/>
          <w:szCs w:val="19"/>
          <w:color w:val="auto"/>
        </w:rPr>
        <w:t>In the event a payment arising from one of these paragraphs is determined to be deferred compensation subject to Code Section 409A, and in the event that the Executive can make an election regarding the timing of the payment, the payment will instead be made in the calendar year following the calendar year in which the liability for reimbursement arose or, if later, and solely in the case of Grandfathered Amounts (as defined below), at the earliest time possible so that the deduction related to such payment will not be limited or eliminated by application of Internal Revenue Code Section 162(m).</w:t>
      </w:r>
    </w:p>
    <w:p>
      <w:pPr>
        <w:spacing w:after="0" w:line="179" w:lineRule="exact"/>
        <w:rPr>
          <w:sz w:val="20"/>
          <w:szCs w:val="20"/>
          <w:color w:val="auto"/>
        </w:rPr>
      </w:pPr>
    </w:p>
    <w:p>
      <w:pPr>
        <w:ind w:left="1500" w:hanging="643"/>
        <w:spacing w:after="0"/>
        <w:tabs>
          <w:tab w:leader="none" w:pos="15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Section 5(a) of the Agreement is amended and restated in its entirety to provide as</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15" w:lineRule="exact"/>
        <w:rPr>
          <w:sz w:val="20"/>
          <w:szCs w:val="20"/>
          <w:color w:val="auto"/>
        </w:rPr>
      </w:pPr>
    </w:p>
    <w:p>
      <w:pPr>
        <w:ind w:left="200" w:right="279" w:firstLine="657"/>
        <w:spacing w:after="0" w:line="235" w:lineRule="auto"/>
        <w:tabs>
          <w:tab w:leader="none" w:pos="1499"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Deferral of Current Compensation</w:t>
      </w:r>
      <w:r>
        <w:rPr>
          <w:rFonts w:ascii="Arial" w:cs="Arial" w:eastAsia="Arial" w:hAnsi="Arial"/>
          <w:sz w:val="22"/>
          <w:szCs w:val="22"/>
          <w:color w:val="auto"/>
        </w:rPr>
        <w:t>. Subject to Section 5(e) hereof, during any period in which Executive is a “covered employee” within the meaning of Section 162(m)(3), any “applicable employee remuneration” otherwise payable to Executive in excess of the limit specified in Section 162(m)(1) or any successor provision of the Code (currently $1,000,000) shall not be currently paid, but shall be a deferred payment obligation of the Company governed by the provisions of this Section 5.</w:t>
      </w:r>
    </w:p>
    <w:p>
      <w:pPr>
        <w:spacing w:after="0" w:line="215" w:lineRule="exact"/>
        <w:rPr>
          <w:sz w:val="20"/>
          <w:szCs w:val="20"/>
          <w:color w:val="auto"/>
        </w:rPr>
      </w:pPr>
    </w:p>
    <w:p>
      <w:pPr>
        <w:ind w:left="1500" w:hanging="643"/>
        <w:spacing w:after="0"/>
        <w:tabs>
          <w:tab w:leader="none" w:pos="15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new Section 5(e) of the Agreement is added to provide as follows:</w:t>
      </w:r>
    </w:p>
    <w:p>
      <w:pPr>
        <w:spacing w:after="0" w:line="233" w:lineRule="exact"/>
        <w:rPr>
          <w:sz w:val="20"/>
          <w:szCs w:val="20"/>
          <w:color w:val="auto"/>
        </w:rPr>
      </w:pPr>
    </w:p>
    <w:p>
      <w:pPr>
        <w:ind w:left="200" w:right="279" w:firstLine="657"/>
        <w:spacing w:after="0" w:line="287" w:lineRule="auto"/>
        <w:tabs>
          <w:tab w:leader="none" w:pos="149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162(m) Grandfathering</w:t>
      </w:r>
      <w:r>
        <w:rPr>
          <w:rFonts w:ascii="Arial" w:cs="Arial" w:eastAsia="Arial" w:hAnsi="Arial"/>
          <w:sz w:val="19"/>
          <w:szCs w:val="19"/>
          <w:color w:val="auto"/>
        </w:rPr>
        <w:t>. Notwithstanding anything in this Section 5 to the contrary, the provisions of this Section 5 shall only apply and be of any force and effect with respect to amounts deferred under this Section 5 (if any) that are “grandfathered” pursuant to Applicable Grandfathering Rules (with the SERP Grandfathered Amounts, the “Grandfathered Amounts”).</w:t>
      </w:r>
    </w:p>
    <w:p>
      <w:pPr>
        <w:spacing w:after="0" w:line="170" w:lineRule="exact"/>
        <w:rPr>
          <w:sz w:val="20"/>
          <w:szCs w:val="20"/>
          <w:color w:val="auto"/>
        </w:rPr>
      </w:pPr>
    </w:p>
    <w:p>
      <w:pPr>
        <w:ind w:left="1500" w:hanging="643"/>
        <w:spacing w:after="0"/>
        <w:tabs>
          <w:tab w:leader="none" w:pos="15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new Section 15(m) of the Agreement is added to provide as follows:</w:t>
      </w:r>
    </w:p>
    <w:p>
      <w:pPr>
        <w:spacing w:after="0" w:line="233" w:lineRule="exact"/>
        <w:rPr>
          <w:sz w:val="20"/>
          <w:szCs w:val="20"/>
          <w:color w:val="auto"/>
        </w:rPr>
      </w:pPr>
    </w:p>
    <w:p>
      <w:pPr>
        <w:ind w:left="200" w:right="439" w:firstLine="657"/>
        <w:spacing w:after="0" w:line="273" w:lineRule="auto"/>
        <w:tabs>
          <w:tab w:leader="none" w:pos="1489"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Section 162(m) Grandfathering Compliance</w:t>
      </w:r>
      <w:r>
        <w:rPr>
          <w:rFonts w:ascii="Arial" w:cs="Arial" w:eastAsia="Arial" w:hAnsi="Arial"/>
          <w:sz w:val="19"/>
          <w:szCs w:val="19"/>
          <w:color w:val="auto"/>
        </w:rPr>
        <w:t>. It is intended that Grandfathered Amounts shall be ‘grandfathered’ from the changes to Code Section 162(m) to the maximum extent permitted under Applicable Grandfathering Rules, and that this Agreement and the payments described herein shall be administered consistent with this intention so that Grandfathered Amounts payable to the Executive will be deductible by the Company or its subsidiaries. The Company may establish rules in its sole discretion in order to prohibit any modifications with respect to Grandfathered Amounts for the Executive that it determines will or may be material modifications under Applicable Grandfathering Rules, which may include restricting or prohibiting the exercise of rights that might otherwise be permitted under this Agreement. No amendment to this Agreement after November 2, 2017 shall apply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8" w:name="page129"/>
    <w:bookmarkEnd w:id="128"/>
    <w:p>
      <w:pPr>
        <w:ind w:left="200"/>
        <w:spacing w:after="0"/>
        <w:rPr>
          <w:sz w:val="20"/>
          <w:szCs w:val="20"/>
          <w:color w:val="auto"/>
        </w:rPr>
      </w:pPr>
      <w:r>
        <w:rPr>
          <w:rFonts w:ascii="Arial" w:cs="Arial" w:eastAsia="Arial" w:hAnsi="Arial"/>
          <w:sz w:val="19"/>
          <w:szCs w:val="19"/>
          <w:color w:val="auto"/>
        </w:rPr>
        <w:t>to amounts that are intended to be Grandfathered Amounts unless it explicitly provides otherwise.</w:t>
      </w:r>
    </w:p>
    <w:p>
      <w:pPr>
        <w:spacing w:after="0" w:line="268" w:lineRule="exact"/>
        <w:rPr>
          <w:sz w:val="20"/>
          <w:szCs w:val="20"/>
          <w:color w:val="auto"/>
        </w:rPr>
      </w:pPr>
    </w:p>
    <w:p>
      <w:pPr>
        <w:ind w:left="200" w:right="599" w:firstLine="657"/>
        <w:spacing w:after="0" w:line="328" w:lineRule="auto"/>
        <w:tabs>
          <w:tab w:leader="none" w:pos="1496"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This Amendment shall be deemed to be a contract under the laws of the State of Tennessee and shall be construed and enforced with the internal laws of said state.</w:t>
      </w:r>
    </w:p>
    <w:p>
      <w:pPr>
        <w:spacing w:after="0" w:line="131" w:lineRule="exact"/>
        <w:rPr>
          <w:rFonts w:ascii="Arial" w:cs="Arial" w:eastAsia="Arial" w:hAnsi="Arial"/>
          <w:sz w:val="19"/>
          <w:szCs w:val="19"/>
          <w:color w:val="auto"/>
        </w:rPr>
      </w:pPr>
    </w:p>
    <w:p>
      <w:pPr>
        <w:ind w:left="200" w:right="379" w:firstLine="657"/>
        <w:spacing w:after="0" w:line="250" w:lineRule="auto"/>
        <w:tabs>
          <w:tab w:leader="none" w:pos="149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This Amendment may be executed in two or more counterparts, all of which taken together shall be deemed one original.</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9" w:name="page130"/>
    <w:bookmarkEnd w:id="129"/>
    <w:p>
      <w:pPr>
        <w:ind w:left="200" w:right="299" w:firstLine="648"/>
        <w:spacing w:after="0" w:line="250" w:lineRule="auto"/>
        <w:rPr>
          <w:sz w:val="20"/>
          <w:szCs w:val="20"/>
          <w:color w:val="auto"/>
        </w:rPr>
      </w:pPr>
      <w:r>
        <w:rPr>
          <w:rFonts w:ascii="Arial" w:cs="Arial" w:eastAsia="Arial" w:hAnsi="Arial"/>
          <w:sz w:val="22"/>
          <w:szCs w:val="22"/>
          <w:color w:val="auto"/>
        </w:rPr>
        <w:t>IN WITNESS WHEREOF, the parties have caused this Amendment to be duly executed as of the date first written above.</w:t>
      </w:r>
    </w:p>
    <w:p>
      <w:pPr>
        <w:spacing w:after="0" w:line="196"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RYMAN HOSPITALITY PROPERTIES, INC.</w:t>
      </w:r>
    </w:p>
    <w:p>
      <w:pPr>
        <w:spacing w:after="0" w:line="23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-17780</wp:posOffset>
            </wp:positionV>
            <wp:extent cx="23145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ind w:left="410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-22860</wp:posOffset>
            </wp:positionV>
            <wp:extent cx="23145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jc w:val="center"/>
        <w:ind w:right="379"/>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3053080</wp:posOffset>
            </wp:positionH>
            <wp:positionV relativeFrom="paragraph">
              <wp:posOffset>-29210</wp:posOffset>
            </wp:positionV>
            <wp:extent cx="23145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7">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294005</wp:posOffset>
            </wp:positionV>
            <wp:extent cx="27774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Colin V. Reed</w:t>
      </w: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Acknowledged and Agreed by:</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RHP CORPORATE PROPERTIES, LLC</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-17780</wp:posOffset>
            </wp:positionV>
            <wp:extent cx="20574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ind w:left="20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-22860</wp:posOffset>
            </wp:positionV>
            <wp:extent cx="20574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-29210</wp:posOffset>
            </wp:positionV>
            <wp:extent cx="20574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30" w:name="page131"/>
    <w:bookmarkEnd w:id="130"/>
    <w:p>
      <w:pPr>
        <w:jc w:val="right"/>
        <w:ind w:right="219"/>
        <w:spacing w:after="0"/>
        <w:rPr>
          <w:sz w:val="20"/>
          <w:szCs w:val="20"/>
          <w:color w:val="auto"/>
        </w:rPr>
      </w:pPr>
      <w:r>
        <w:rPr>
          <w:rFonts w:ascii="Arial" w:cs="Arial" w:eastAsia="Arial" w:hAnsi="Arial"/>
          <w:sz w:val="18"/>
          <w:szCs w:val="18"/>
          <w:b w:val="1"/>
          <w:bCs w:val="1"/>
          <w:color w:val="auto"/>
        </w:rPr>
        <w:t>Exhibit 10.27</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Ryman Hospitality Properties, Inc. (the “Company”)</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Director and Executive Officer Compensation</w:t>
      </w:r>
    </w:p>
    <w:p>
      <w:pPr>
        <w:spacing w:after="0" w:line="306" w:lineRule="exact"/>
        <w:rPr>
          <w:sz w:val="20"/>
          <w:szCs w:val="20"/>
          <w:color w:val="auto"/>
        </w:rPr>
      </w:pPr>
    </w:p>
    <w:p>
      <w:pPr>
        <w:jc w:val="both"/>
        <w:ind w:left="640" w:right="259" w:hanging="431"/>
        <w:spacing w:after="0" w:line="281"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Director Compensation</w:t>
      </w:r>
      <w:r>
        <w:rPr>
          <w:rFonts w:ascii="Arial" w:cs="Arial" w:eastAsia="Arial" w:hAnsi="Arial"/>
          <w:sz w:val="18"/>
          <w:szCs w:val="18"/>
          <w:color w:val="auto"/>
        </w:rPr>
        <w:t>. Directors who are employees of the Company do not receive additional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serving as directors of the Company. The following table sets forth current rates of cash compensation for the Company’s non-employee directors.</w:t>
      </w:r>
    </w:p>
    <w:p>
      <w:pPr>
        <w:spacing w:after="0" w:line="285" w:lineRule="exact"/>
        <w:rPr>
          <w:sz w:val="20"/>
          <w:szCs w:val="20"/>
          <w:color w:val="auto"/>
        </w:rPr>
      </w:pPr>
    </w:p>
    <w:tbl>
      <w:tblPr>
        <w:tblLayout w:type="fixed"/>
        <w:tblInd w:w="640" w:type="dxa"/>
        <w:tblCellMar>
          <w:top w:w="0" w:type="dxa"/>
          <w:left w:w="0" w:type="dxa"/>
          <w:bottom w:w="0" w:type="dxa"/>
          <w:right w:w="0" w:type="dxa"/>
        </w:tblCellMar>
      </w:tblPr>
      <w:tr>
        <w:trPr>
          <w:trHeight w:val="254"/>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Retainer</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2"/>
                <w:szCs w:val="22"/>
                <w:color w:val="auto"/>
              </w:rPr>
            </w:pPr>
          </w:p>
        </w:tc>
      </w:tr>
      <w:tr>
        <w:trPr>
          <w:trHeight w:val="217"/>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Board retainer</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Lead Non-Management Director retainer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30,000</w:t>
            </w:r>
          </w:p>
        </w:tc>
      </w:tr>
      <w:tr>
        <w:trPr>
          <w:trHeight w:val="22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Audit chair retainer</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25,000</w:t>
            </w: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Human Resources chair retainer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20,000</w:t>
            </w: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chair retainer</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15,000</w:t>
            </w: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Audit member retainer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10,000</w:t>
            </w:r>
          </w:p>
        </w:tc>
      </w:tr>
      <w:tr>
        <w:trPr>
          <w:trHeight w:val="22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Human Resources member retainer</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10,000</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Nominating member retainer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r>
    </w:tbl>
    <w:p>
      <w:pPr>
        <w:spacing w:after="0" w:line="214" w:lineRule="exact"/>
        <w:rPr>
          <w:sz w:val="20"/>
          <w:szCs w:val="20"/>
          <w:color w:val="auto"/>
        </w:rPr>
      </w:pPr>
    </w:p>
    <w:p>
      <w:pPr>
        <w:ind w:left="700" w:right="319"/>
        <w:spacing w:after="0" w:line="292" w:lineRule="auto"/>
        <w:rPr>
          <w:sz w:val="20"/>
          <w:szCs w:val="20"/>
          <w:color w:val="auto"/>
        </w:rPr>
      </w:pPr>
      <w:r>
        <w:rPr>
          <w:rFonts w:ascii="Arial" w:cs="Arial" w:eastAsia="Arial" w:hAnsi="Arial"/>
          <w:sz w:val="17"/>
          <w:szCs w:val="17"/>
          <w:color w:val="auto"/>
        </w:rPr>
        <w:t>Non-employee directors may elect payment in cash or may defer this portion of their compensation and receive restricted stock units pursuant to the Company’s 2016 Omnibus Incentive Plan with a value equal to the fees, based on the fair market value of the Company’s common stock on the date of issuance. Such restricted stock units will be deferred until a specified date or the end of the director’s service on the Board of Directors. All directors are reimbursed for expenses incurred in attending meetings.</w:t>
      </w:r>
    </w:p>
    <w:p>
      <w:pPr>
        <w:spacing w:after="0" w:line="174" w:lineRule="exact"/>
        <w:rPr>
          <w:sz w:val="20"/>
          <w:szCs w:val="20"/>
          <w:color w:val="auto"/>
        </w:rPr>
      </w:pPr>
    </w:p>
    <w:p>
      <w:pPr>
        <w:ind w:left="700" w:right="359"/>
        <w:spacing w:after="0" w:line="290" w:lineRule="auto"/>
        <w:rPr>
          <w:sz w:val="20"/>
          <w:szCs w:val="20"/>
          <w:color w:val="auto"/>
        </w:rPr>
      </w:pPr>
      <w:r>
        <w:rPr>
          <w:rFonts w:ascii="Arial" w:cs="Arial" w:eastAsia="Arial" w:hAnsi="Arial"/>
          <w:sz w:val="17"/>
          <w:szCs w:val="17"/>
          <w:color w:val="auto"/>
        </w:rPr>
        <w:t>In addition, as of the date of our board meeting following our annual meeting of stockholders, each non-employee director will receive an annual grant of restricted stock units having a dollar value of $95,000, based on the fair market value of the Company’s common stock on the date of grant. The restricted stock units vest fully on the first anniversary of the date of grant, pursuant to the Company’s 2016 Omnibus Incentive Plan, unless deferred by the director until either a specified date or the end of the director’s service on the Board of Directors. Directors will not receive fees for attending meetings.</w:t>
      </w:r>
    </w:p>
    <w:p>
      <w:pPr>
        <w:spacing w:after="0" w:line="135" w:lineRule="exact"/>
        <w:rPr>
          <w:sz w:val="20"/>
          <w:szCs w:val="20"/>
          <w:color w:val="auto"/>
        </w:rPr>
      </w:pPr>
    </w:p>
    <w:p>
      <w:pPr>
        <w:ind w:left="700" w:right="259"/>
        <w:spacing w:after="0" w:line="272" w:lineRule="auto"/>
        <w:rPr>
          <w:sz w:val="20"/>
          <w:szCs w:val="20"/>
          <w:color w:val="auto"/>
        </w:rPr>
      </w:pPr>
      <w:r>
        <w:rPr>
          <w:rFonts w:ascii="Arial" w:cs="Arial" w:eastAsia="Arial" w:hAnsi="Arial"/>
          <w:sz w:val="18"/>
          <w:szCs w:val="18"/>
          <w:color w:val="auto"/>
        </w:rPr>
        <w:t>The following table sets forth the 2021 annual base salaries (which are unchanged from 2020) and the fiscal 2020 discretionary cash bonuses provided to the Company’s Chief Executive Officer, the Company’s Chief Financial Officer and the three other most highly compensated executive officers to be named in the Company’s proxy statement to be filed in connection with the 2021 annual meeting of stockholders (the “Named Executive Officers” or the “NEOs”).</w:t>
      </w:r>
    </w:p>
    <w:p>
      <w:pPr>
        <w:spacing w:after="0" w:line="128" w:lineRule="exact"/>
        <w:rPr>
          <w:sz w:val="20"/>
          <w:szCs w:val="20"/>
          <w:color w:val="auto"/>
        </w:rPr>
      </w:pPr>
    </w:p>
    <w:tbl>
      <w:tblPr>
        <w:tblLayout w:type="fixed"/>
        <w:tblInd w:w="12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Fiscal 2020</w:t>
            </w:r>
          </w:p>
        </w:tc>
      </w:tr>
      <w:tr>
        <w:trPr>
          <w:trHeight w:val="18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2021 Salary</w:t>
            </w:r>
          </w:p>
        </w:tc>
        <w:tc>
          <w:tcPr>
            <w:tcW w:w="340" w:type="dxa"/>
            <w:vAlign w:val="bottom"/>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Bonus Amount</w:t>
            </w:r>
          </w:p>
        </w:tc>
      </w:tr>
      <w:tr>
        <w:trPr>
          <w:trHeight w:val="223"/>
        </w:trPr>
        <w:tc>
          <w:tcPr>
            <w:tcW w:w="20" w:type="dxa"/>
            <w:vAlign w:val="bottom"/>
          </w:tcPr>
          <w:p>
            <w:pPr>
              <w:spacing w:after="0"/>
              <w:rPr>
                <w:sz w:val="19"/>
                <w:szCs w:val="19"/>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Colin Reed</w:t>
            </w:r>
          </w:p>
        </w:tc>
        <w:tc>
          <w:tcPr>
            <w:tcW w:w="1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1,100,000</w:t>
            </w: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Mark Fioravanti</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Patrick Chaffin</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Scott Lynn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Jennifer Hutcheson</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9"/>
                <w:szCs w:val="19"/>
                <w:color w:val="auto"/>
              </w:rPr>
            </w:pPr>
          </w:p>
        </w:tc>
      </w:tr>
    </w:tbl>
    <w:p>
      <w:pPr>
        <w:spacing w:after="0" w:line="269" w:lineRule="exact"/>
        <w:rPr>
          <w:sz w:val="20"/>
          <w:szCs w:val="20"/>
          <w:color w:val="auto"/>
        </w:rPr>
      </w:pPr>
    </w:p>
    <w:p>
      <w:pPr>
        <w:ind w:left="600" w:right="479"/>
        <w:spacing w:after="0" w:line="324" w:lineRule="auto"/>
        <w:rPr>
          <w:sz w:val="20"/>
          <w:szCs w:val="20"/>
          <w:color w:val="auto"/>
        </w:rPr>
      </w:pPr>
      <w:r>
        <w:rPr>
          <w:rFonts w:ascii="Arial" w:cs="Arial" w:eastAsia="Arial" w:hAnsi="Arial"/>
          <w:sz w:val="16"/>
          <w:szCs w:val="16"/>
          <w:color w:val="auto"/>
        </w:rPr>
        <w:t>No annual cash incentives were earned or paid based on our financial performance pursuant to the Company’s short-term cash incentive compensation program under the Company’s 2016 Omnibus Incentive Plan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294005</wp:posOffset>
            </wp:positionV>
            <wp:extent cx="545211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131" w:name="page132"/>
    <w:bookmarkEnd w:id="131"/>
    <w:p>
      <w:pPr>
        <w:ind w:left="600" w:right="359"/>
        <w:spacing w:after="0" w:line="259" w:lineRule="auto"/>
        <w:rPr>
          <w:sz w:val="20"/>
          <w:szCs w:val="20"/>
          <w:color w:val="auto"/>
        </w:rPr>
      </w:pPr>
      <w:r>
        <w:rPr>
          <w:rFonts w:ascii="Arial" w:cs="Arial" w:eastAsia="Arial" w:hAnsi="Arial"/>
          <w:sz w:val="17"/>
          <w:szCs w:val="17"/>
          <w:color w:val="auto"/>
        </w:rPr>
        <w:t>2020 fiscal year. The NEOs were awarded the discretionary cash bonus amounts listed above for 2020 in recognition of their efforts to stabilize the Company’s businesses and financial condition following the outbreak of the COVID-19 pandemic. In addition, the following amounts of 2020 base salary, which were voluntarily forgone by each NEO in 2020, will be paid to each NEO as follows: Mr. Reed: $415,385; Mr. Fioravanti: $82,000; Mr. Chaffin: $63,462; Mr. Lynn: $54,173; and Ms. Hutcheson: $52,308.</w:t>
      </w:r>
    </w:p>
    <w:p>
      <w:pPr>
        <w:spacing w:after="0" w:line="187" w:lineRule="exact"/>
        <w:rPr>
          <w:sz w:val="20"/>
          <w:szCs w:val="20"/>
          <w:color w:val="auto"/>
        </w:rPr>
      </w:pPr>
    </w:p>
    <w:p>
      <w:pPr>
        <w:ind w:left="620" w:right="299"/>
        <w:spacing w:after="0" w:line="279" w:lineRule="auto"/>
        <w:rPr>
          <w:sz w:val="20"/>
          <w:szCs w:val="20"/>
          <w:color w:val="auto"/>
        </w:rPr>
      </w:pPr>
      <w:r>
        <w:rPr>
          <w:rFonts w:ascii="Arial" w:cs="Arial" w:eastAsia="Arial" w:hAnsi="Arial"/>
          <w:sz w:val="18"/>
          <w:szCs w:val="18"/>
          <w:color w:val="auto"/>
        </w:rPr>
        <w:t>Certain performance-based restricted stock unit awards under the Company’s 2016 Omnibus Incentive Plan with respect to performance periods ended December 31, 2020 will vest on March 15, 2021, as will be reflected in Form 4 filings to be made with the SEC.</w:t>
      </w:r>
    </w:p>
    <w:p>
      <w:pPr>
        <w:spacing w:after="0" w:line="183" w:lineRule="exact"/>
        <w:rPr>
          <w:sz w:val="20"/>
          <w:szCs w:val="20"/>
          <w:color w:val="auto"/>
        </w:rPr>
      </w:pPr>
    </w:p>
    <w:p>
      <w:pPr>
        <w:ind w:left="620" w:right="439"/>
        <w:spacing w:after="0" w:line="293" w:lineRule="auto"/>
        <w:rPr>
          <w:sz w:val="20"/>
          <w:szCs w:val="20"/>
          <w:color w:val="auto"/>
        </w:rPr>
      </w:pPr>
      <w:r>
        <w:rPr>
          <w:rFonts w:ascii="Arial" w:cs="Arial" w:eastAsia="Arial" w:hAnsi="Arial"/>
          <w:sz w:val="18"/>
          <w:szCs w:val="18"/>
          <w:color w:val="auto"/>
        </w:rPr>
        <w:t>The following table sets forth the fiscal 2021 cash incentive compensation targets as a percentage of 2021 base salary set for the NEOs:</w:t>
      </w:r>
    </w:p>
    <w:p>
      <w:pPr>
        <w:spacing w:after="0" w:line="220"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87"/>
              </w:rPr>
              <w:t>Threshold</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87"/>
              </w:rPr>
              <w:t>Target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Colin V. Reed</w:t>
            </w:r>
          </w:p>
        </w:tc>
        <w:tc>
          <w:tcPr>
            <w:tcW w:w="7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vMerge w:val="continue"/>
            <w:shd w:val="clear" w:color="auto" w:fill="CCEEFF"/>
          </w:tcPr>
          <w:p>
            <w:pPr>
              <w:spacing w:after="0"/>
              <w:rPr>
                <w:sz w:val="19"/>
                <w:szCs w:val="19"/>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Mark Fioravanti</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62.5%</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125%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Patrick Chaffin</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Scott Lynn</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50%</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Jennifer Hutcheson</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37.5%</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20" w:right="419"/>
        <w:spacing w:after="0" w:line="303" w:lineRule="auto"/>
        <w:rPr>
          <w:sz w:val="20"/>
          <w:szCs w:val="20"/>
          <w:color w:val="auto"/>
        </w:rPr>
      </w:pPr>
      <w:r>
        <w:rPr>
          <w:rFonts w:ascii="Arial" w:cs="Arial" w:eastAsia="Arial" w:hAnsi="Arial"/>
          <w:sz w:val="17"/>
          <w:szCs w:val="17"/>
          <w:color w:val="auto"/>
        </w:rPr>
        <w:t>The fiscal 2021 bonuses will be determined based upon the achievement of a combination of certain financial goals and designated strategic objectives, and, if earned, will be paid pursuant to the Company’s cash incentive compensation program under the Company’s 2016 Omnibus Incentive Plan.</w:t>
      </w:r>
    </w:p>
    <w:p>
      <w:pPr>
        <w:spacing w:after="0" w:line="164" w:lineRule="exact"/>
        <w:rPr>
          <w:sz w:val="20"/>
          <w:szCs w:val="20"/>
          <w:color w:val="auto"/>
        </w:rPr>
      </w:pPr>
    </w:p>
    <w:p>
      <w:pPr>
        <w:ind w:left="620" w:right="579"/>
        <w:spacing w:after="0" w:line="279" w:lineRule="auto"/>
        <w:rPr>
          <w:sz w:val="20"/>
          <w:szCs w:val="20"/>
          <w:color w:val="auto"/>
        </w:rPr>
      </w:pPr>
      <w:r>
        <w:rPr>
          <w:rFonts w:ascii="Arial" w:cs="Arial" w:eastAsia="Arial" w:hAnsi="Arial"/>
          <w:sz w:val="18"/>
          <w:szCs w:val="18"/>
          <w:color w:val="auto"/>
        </w:rPr>
        <w:t>On February 25, 2021, as part of an annual grant to designated management-level employees, including the NEOs, the NEOs received the following long-term incentive awards pursuant to the Company’s stockholder-approved equity incentive plans:</w:t>
      </w:r>
    </w:p>
    <w:p>
      <w:pPr>
        <w:spacing w:after="0" w:line="169" w:lineRule="exact"/>
        <w:rPr>
          <w:sz w:val="20"/>
          <w:szCs w:val="20"/>
          <w:color w:val="auto"/>
        </w:rPr>
      </w:pPr>
    </w:p>
    <w:p>
      <w:pPr>
        <w:ind w:left="1260" w:right="239" w:hanging="322"/>
        <w:spacing w:after="0" w:line="239" w:lineRule="auto"/>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Awards of time-based vesting restricted stock units, as listed in the table below, vesting ratably over four years beginning on March 15, 2022 (the “Time-Based RSUs”). The form of Time-Based RSU agreement is filed as Exhibit 10.44 to this Annual Report on Form 10-K and is incorporated herein by this reference.</w:t>
      </w:r>
    </w:p>
    <w:p>
      <w:pPr>
        <w:spacing w:after="0" w:line="1" w:lineRule="exact"/>
        <w:rPr>
          <w:rFonts w:ascii="Arial" w:cs="Arial" w:eastAsia="Arial" w:hAnsi="Arial"/>
          <w:sz w:val="18"/>
          <w:szCs w:val="18"/>
          <w:color w:val="auto"/>
        </w:rPr>
      </w:pPr>
    </w:p>
    <w:p>
      <w:pPr>
        <w:ind w:left="1260" w:right="239" w:hanging="322"/>
        <w:spacing w:after="0" w:line="264" w:lineRule="auto"/>
        <w:tabs>
          <w:tab w:leader="none" w:pos="1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Awards of performance-vesting restricted stock units for the 2021-2023 performance period (of which up to 150% will vest on March 15, 2024 based on the achievement of Total Stockholder Return, or TSR, against a designated peer group), pursuant to the Company’s 2016 Omnibus Incentive Plan (the “Performance-Based RSUs”). The form of Performance-Based RSU agreement is filed as Exhibit 10.45 to this Annual Report on Form 10-K and is incorporated herein by this reference.</w:t>
      </w:r>
    </w:p>
    <w:p>
      <w:pPr>
        <w:ind w:left="1260" w:right="379" w:hanging="322"/>
        <w:spacing w:after="0" w:line="237" w:lineRule="auto"/>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Awards of restricted stock units for a three-year performance period (of which up to 100% will vest on March 15, 2024 based on the achievement of designated stock price targets during the performance period) pursuant to the Company’s 2016 Omnibus Incentive Plan (the “Long-Term Stockholder Value Creation Program RSUs”). The form of Long-Term Stockholder Value Creation Program RSU agreement is filed as Exhibit 10.46 to this Annual Report on Form 10-K and is incorporated herein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480060</wp:posOffset>
            </wp:positionV>
            <wp:extent cx="545211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2" w:name="page133"/>
    <w:bookmarkEnd w:id="132"/>
    <w:p>
      <w:pPr>
        <w:ind w:left="620"/>
        <w:spacing w:after="0"/>
        <w:rPr>
          <w:sz w:val="20"/>
          <w:szCs w:val="20"/>
          <w:color w:val="auto"/>
        </w:rPr>
      </w:pPr>
      <w:r>
        <w:rPr>
          <w:rFonts w:ascii="Arial" w:cs="Arial" w:eastAsia="Arial" w:hAnsi="Arial"/>
          <w:sz w:val="18"/>
          <w:szCs w:val="18"/>
          <w:color w:val="auto"/>
        </w:rPr>
        <w:t>The long-term incentive awards to each NEO were as follows:</w:t>
      </w:r>
    </w:p>
    <w:p>
      <w:pPr>
        <w:spacing w:after="0" w:line="181"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Long-Term</w:t>
            </w:r>
          </w:p>
        </w:tc>
      </w:tr>
      <w:tr>
        <w:trPr>
          <w:trHeight w:val="229"/>
        </w:trPr>
        <w:tc>
          <w:tcPr>
            <w:tcW w:w="390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Time-</w:t>
            </w: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Performance-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Value Creation</w:t>
            </w:r>
          </w:p>
        </w:tc>
      </w:tr>
      <w:tr>
        <w:trPr>
          <w:trHeight w:val="229"/>
        </w:trPr>
        <w:tc>
          <w:tcPr>
            <w:tcW w:w="390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Based</w:t>
            </w: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Based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Program</w:t>
            </w:r>
          </w:p>
        </w:tc>
      </w:tr>
      <w:tr>
        <w:trPr>
          <w:trHeight w:val="234"/>
        </w:trPr>
        <w:tc>
          <w:tcPr>
            <w:tcW w:w="390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RSUs</w:t>
            </w: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RSUs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RSUs</w:t>
            </w:r>
          </w:p>
        </w:tc>
      </w:tr>
      <w:tr>
        <w:trPr>
          <w:trHeight w:val="223"/>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Colin V. Reed</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22,355</w:t>
            </w:r>
          </w:p>
        </w:tc>
        <w:tc>
          <w:tcPr>
            <w:tcW w:w="3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23,158</w:t>
            </w:r>
          </w:p>
        </w:tc>
        <w:tc>
          <w:tcPr>
            <w:tcW w:w="3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47,059</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Mark Fioravanti</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9,000</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9,000</w:t>
            </w:r>
          </w:p>
        </w:tc>
        <w:tc>
          <w:tcPr>
            <w:tcW w:w="1260" w:type="dxa"/>
            <w:vAlign w:val="bottom"/>
          </w:tcPr>
          <w:p>
            <w:pPr>
              <w:jc w:val="right"/>
              <w:spacing w:after="0"/>
              <w:rPr>
                <w:sz w:val="20"/>
                <w:szCs w:val="20"/>
                <w:color w:val="auto"/>
              </w:rPr>
            </w:pPr>
            <w:r>
              <w:rPr>
                <w:rFonts w:ascii="Arial" w:cs="Arial" w:eastAsia="Arial" w:hAnsi="Arial"/>
                <w:sz w:val="18"/>
                <w:szCs w:val="18"/>
                <w:color w:val="auto"/>
              </w:rPr>
              <w:t>15,882</w:t>
            </w:r>
          </w:p>
        </w:tc>
      </w:tr>
      <w:tr>
        <w:trPr>
          <w:trHeight w:val="22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Patrick Chaffin</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Scott Lynn</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3,500</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3,500</w:t>
            </w:r>
          </w:p>
        </w:tc>
        <w:tc>
          <w:tcPr>
            <w:tcW w:w="1260" w:type="dxa"/>
            <w:vAlign w:val="bottom"/>
          </w:tcPr>
          <w:p>
            <w:pPr>
              <w:jc w:val="right"/>
              <w:spacing w:after="0"/>
              <w:rPr>
                <w:sz w:val="20"/>
                <w:szCs w:val="20"/>
                <w:color w:val="auto"/>
              </w:rPr>
            </w:pPr>
            <w:r>
              <w:rPr>
                <w:rFonts w:ascii="Arial" w:cs="Arial" w:eastAsia="Arial" w:hAnsi="Arial"/>
                <w:sz w:val="18"/>
                <w:szCs w:val="18"/>
                <w:color w:val="auto"/>
              </w:rPr>
              <w:t>7,059</w:t>
            </w: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Jennifer Hutcheson</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bl>
    <w:p>
      <w:pPr>
        <w:spacing w:after="0" w:line="200" w:lineRule="exact"/>
        <w:rPr>
          <w:sz w:val="20"/>
          <w:szCs w:val="20"/>
          <w:color w:val="auto"/>
        </w:rPr>
      </w:pPr>
    </w:p>
    <w:p>
      <w:pPr>
        <w:spacing w:after="0" w:line="227" w:lineRule="exact"/>
        <w:rPr>
          <w:sz w:val="20"/>
          <w:szCs w:val="20"/>
          <w:color w:val="auto"/>
        </w:rPr>
      </w:pPr>
    </w:p>
    <w:p>
      <w:pPr>
        <w:jc w:val="both"/>
        <w:ind w:left="640" w:right="239" w:hanging="431"/>
        <w:spacing w:after="0" w:line="332" w:lineRule="auto"/>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Additional Information</w:t>
      </w:r>
      <w:r>
        <w:rPr>
          <w:rFonts w:ascii="Arial" w:cs="Arial" w:eastAsia="Arial" w:hAnsi="Arial"/>
          <w:sz w:val="16"/>
          <w:szCs w:val="16"/>
          <w:color w:val="auto"/>
        </w:rPr>
        <w:t>. The foregoing information is summary in nature. Additional information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of directors and named executive officers may be provided in the Company’s filings with the SEC, including the proxy statement to be filed in connection with the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546735</wp:posOffset>
            </wp:positionV>
            <wp:extent cx="545211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133" w:name="page134"/>
    <w:bookmarkEnd w:id="133"/>
    <w:p>
      <w:pPr>
        <w:jc w:val="center"/>
        <w:ind w:left="200" w:right="219"/>
        <w:spacing w:after="0" w:line="252" w:lineRule="auto"/>
        <w:rPr>
          <w:sz w:val="20"/>
          <w:szCs w:val="20"/>
          <w:color w:val="auto"/>
        </w:rPr>
      </w:pPr>
      <w:r>
        <w:rPr>
          <w:rFonts w:ascii="Arial" w:cs="Arial" w:eastAsia="Arial" w:hAnsi="Arial"/>
          <w:sz w:val="22"/>
          <w:szCs w:val="22"/>
          <w:b w:val="1"/>
          <w:bCs w:val="1"/>
          <w:color w:val="auto"/>
        </w:rPr>
        <w:t>RYMAN HOSPITALITY PROPERTIES, INC. LONG-TERM STOCKHOLDER VALUE CREATION RESTRICTED STOCK UNIT AWARD AGREEMENT (2016 OMNIBUS INCENTIVE PLAN)</w:t>
      </w:r>
    </w:p>
    <w:p>
      <w:pPr>
        <w:spacing w:after="0" w:line="234"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0"/>
          <w:szCs w:val="20"/>
          <w:b w:val="1"/>
          <w:bCs w:val="1"/>
          <w:color w:val="auto"/>
        </w:rPr>
        <w:t xml:space="preserve">THIS RESTRICTED STOCK UNIT AWARD AGREEMENT </w:t>
      </w:r>
      <w:r>
        <w:rPr>
          <w:rFonts w:ascii="Arial" w:cs="Arial" w:eastAsia="Arial" w:hAnsi="Arial"/>
          <w:sz w:val="20"/>
          <w:szCs w:val="20"/>
          <w:color w:val="auto"/>
        </w:rPr>
        <w:t>(this “</w:t>
      </w:r>
      <w:r>
        <w:rPr>
          <w:rFonts w:ascii="Arial" w:cs="Arial" w:eastAsia="Arial" w:hAnsi="Arial"/>
          <w:sz w:val="20"/>
          <w:szCs w:val="20"/>
          <w:u w:val="single" w:color="auto"/>
          <w:color w:val="auto"/>
        </w:rPr>
        <w:t>Agreement</w:t>
      </w:r>
      <w:r>
        <w:rPr>
          <w:rFonts w:ascii="Arial" w:cs="Arial" w:eastAsia="Arial" w:hAnsi="Arial"/>
          <w:sz w:val="20"/>
          <w:szCs w:val="20"/>
          <w:color w:val="auto"/>
        </w:rPr>
        <w:t>”) is</w:t>
      </w:r>
      <w:r>
        <w:rPr>
          <w:rFonts w:ascii="Arial" w:cs="Arial" w:eastAsia="Arial" w:hAnsi="Arial"/>
          <w:sz w:val="20"/>
          <w:szCs w:val="20"/>
          <w:b w:val="1"/>
          <w:bCs w:val="1"/>
          <w:color w:val="auto"/>
        </w:rPr>
        <w:t xml:space="preserve"> </w:t>
      </w:r>
      <w:r>
        <w:rPr>
          <w:rFonts w:ascii="Arial" w:cs="Arial" w:eastAsia="Arial" w:hAnsi="Arial"/>
          <w:sz w:val="20"/>
          <w:szCs w:val="20"/>
          <w:color w:val="auto"/>
        </w:rPr>
        <w:t>made and entered into as of the 25</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day of February, 2021 (the “</w:t>
      </w:r>
      <w:r>
        <w:rPr>
          <w:rFonts w:ascii="Arial" w:cs="Arial" w:eastAsia="Arial" w:hAnsi="Arial"/>
          <w:sz w:val="20"/>
          <w:szCs w:val="20"/>
          <w:u w:val="single" w:color="auto"/>
          <w:color w:val="auto"/>
        </w:rPr>
        <w:t>Grant Date</w:t>
      </w:r>
      <w:r>
        <w:rPr>
          <w:rFonts w:ascii="Arial" w:cs="Arial" w:eastAsia="Arial" w:hAnsi="Arial"/>
          <w:sz w:val="20"/>
          <w:szCs w:val="20"/>
          <w:color w:val="auto"/>
        </w:rPr>
        <w:t>”), between Ryman Hospitality Properties, Inc., a Delaware corporation (together with its subsidiaries, the “</w:t>
      </w:r>
      <w:r>
        <w:rPr>
          <w:rFonts w:ascii="Arial" w:cs="Arial" w:eastAsia="Arial" w:hAnsi="Arial"/>
          <w:sz w:val="20"/>
          <w:szCs w:val="20"/>
          <w:u w:val="single" w:color="auto"/>
          <w:color w:val="auto"/>
        </w:rPr>
        <w:t>Company</w:t>
      </w:r>
      <w:r>
        <w:rPr>
          <w:rFonts w:ascii="Arial" w:cs="Arial" w:eastAsia="Arial" w:hAnsi="Arial"/>
          <w:sz w:val="20"/>
          <w:szCs w:val="20"/>
          <w:color w:val="auto"/>
        </w:rPr>
        <w:t>”), and ___________ (the “</w:t>
      </w:r>
      <w:r>
        <w:rPr>
          <w:rFonts w:ascii="Arial" w:cs="Arial" w:eastAsia="Arial" w:hAnsi="Arial"/>
          <w:sz w:val="20"/>
          <w:szCs w:val="20"/>
          <w:u w:val="single" w:color="auto"/>
          <w:color w:val="auto"/>
        </w:rPr>
        <w:t>Grantee</w:t>
      </w:r>
      <w:r>
        <w:rPr>
          <w:rFonts w:ascii="Arial" w:cs="Arial" w:eastAsia="Arial" w:hAnsi="Arial"/>
          <w:sz w:val="20"/>
          <w:szCs w:val="20"/>
          <w:color w:val="auto"/>
        </w:rPr>
        <w:t>”). Capitalized terms not otherwise defined herein</w:t>
      </w:r>
    </w:p>
    <w:p>
      <w:pPr>
        <w:spacing w:after="0" w:line="2"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2"/>
          <w:szCs w:val="22"/>
          <w:color w:val="auto"/>
        </w:rPr>
        <w:t>shall have the meaning ascribed to such terms in the Ryman Hospitality Properties, Inc. 2016 Omnibus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240"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has adopted the Plan, which permits the issuance of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units of the Company (the “</w:t>
      </w:r>
      <w:r>
        <w:rPr>
          <w:rFonts w:ascii="Arial" w:cs="Arial" w:eastAsia="Arial" w:hAnsi="Arial"/>
          <w:sz w:val="22"/>
          <w:szCs w:val="22"/>
          <w:u w:val="single" w:color="auto"/>
          <w:color w:val="auto"/>
        </w:rPr>
        <w:t>Restricted Stock Units</w:t>
      </w:r>
      <w:r>
        <w:rPr>
          <w:rFonts w:ascii="Arial" w:cs="Arial" w:eastAsia="Arial" w:hAnsi="Arial"/>
          <w:sz w:val="22"/>
          <w:szCs w:val="22"/>
          <w:color w:val="auto"/>
        </w:rPr>
        <w:t>” or the “</w:t>
      </w:r>
      <w:r>
        <w:rPr>
          <w:rFonts w:ascii="Arial" w:cs="Arial" w:eastAsia="Arial" w:hAnsi="Arial"/>
          <w:sz w:val="22"/>
          <w:szCs w:val="22"/>
          <w:u w:val="single" w:color="auto"/>
          <w:color w:val="auto"/>
        </w:rPr>
        <w:t>RSUs</w:t>
      </w:r>
      <w:r>
        <w:rPr>
          <w:rFonts w:ascii="Arial" w:cs="Arial" w:eastAsia="Arial" w:hAnsi="Arial"/>
          <w:sz w:val="22"/>
          <w:szCs w:val="22"/>
          <w:color w:val="auto"/>
        </w:rPr>
        <w:t>”); and</w:t>
      </w:r>
    </w:p>
    <w:p>
      <w:pPr>
        <w:spacing w:after="0" w:line="216" w:lineRule="exact"/>
        <w:rPr>
          <w:sz w:val="20"/>
          <w:szCs w:val="20"/>
          <w:color w:val="auto"/>
        </w:rPr>
      </w:pPr>
    </w:p>
    <w:p>
      <w:pPr>
        <w:jc w:val="both"/>
        <w:ind w:left="200" w:right="239" w:firstLine="648"/>
        <w:spacing w:after="0" w:line="293"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pursuant to the Plan, the Committee responsible for administering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has granted an award of Restricted Stock Units to the Grantee as provided herein.</w:t>
      </w:r>
    </w:p>
    <w:p>
      <w:pPr>
        <w:spacing w:after="0" w:line="193" w:lineRule="exact"/>
        <w:rPr>
          <w:sz w:val="20"/>
          <w:szCs w:val="20"/>
          <w:color w:val="auto"/>
        </w:rPr>
      </w:pPr>
    </w:p>
    <w:p>
      <w:pPr>
        <w:jc w:val="both"/>
        <w:ind w:left="200" w:right="219" w:firstLine="648"/>
        <w:spacing w:after="0" w:line="315"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consideration of the mutual covenants hereinafter set forth and</w:t>
      </w:r>
      <w:r>
        <w:rPr>
          <w:rFonts w:ascii="Arial" w:cs="Arial" w:eastAsia="Arial" w:hAnsi="Arial"/>
          <w:sz w:val="19"/>
          <w:szCs w:val="19"/>
          <w:b w:val="1"/>
          <w:bCs w:val="1"/>
          <w:color w:val="auto"/>
        </w:rPr>
        <w:t xml:space="preserve"> </w:t>
      </w:r>
      <w:r>
        <w:rPr>
          <w:rFonts w:ascii="Arial" w:cs="Arial" w:eastAsia="Arial" w:hAnsi="Arial"/>
          <w:sz w:val="19"/>
          <w:szCs w:val="19"/>
          <w:color w:val="auto"/>
        </w:rPr>
        <w:t>for other good and valuable consideration, the receipt and sufficiency of which are hereby acknowledged, the parties hereto, intending to be legally bound hereby, agree as follows:</w:t>
      </w:r>
    </w:p>
    <w:p>
      <w:pPr>
        <w:spacing w:after="0" w:line="172" w:lineRule="exact"/>
        <w:rPr>
          <w:sz w:val="20"/>
          <w:szCs w:val="20"/>
          <w:color w:val="auto"/>
        </w:rPr>
      </w:pPr>
    </w:p>
    <w:p>
      <w:pPr>
        <w:ind w:left="1500" w:hanging="643"/>
        <w:spacing w:after="0"/>
        <w:tabs>
          <w:tab w:leader="none" w:pos="150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200" w:right="219" w:firstLine="1305"/>
        <w:spacing w:after="0" w:line="294" w:lineRule="auto"/>
        <w:tabs>
          <w:tab w:leader="none" w:pos="2144" w:val="left"/>
        </w:tabs>
        <w:numPr>
          <w:ilvl w:val="1"/>
          <w:numId w:val="65"/>
        </w:numPr>
        <w:rPr>
          <w:rFonts w:ascii="Arial" w:cs="Arial" w:eastAsia="Arial" w:hAnsi="Arial"/>
          <w:sz w:val="19"/>
          <w:szCs w:val="19"/>
          <w:color w:val="auto"/>
        </w:rPr>
      </w:pPr>
      <w:r>
        <w:rPr>
          <w:rFonts w:ascii="Arial" w:cs="Arial" w:eastAsia="Arial" w:hAnsi="Arial"/>
          <w:sz w:val="19"/>
          <w:szCs w:val="19"/>
          <w:color w:val="auto"/>
        </w:rPr>
        <w:t>The Company hereby grants to the Grantee an award (the “</w:t>
      </w:r>
      <w:r>
        <w:rPr>
          <w:rFonts w:ascii="Arial" w:cs="Arial" w:eastAsia="Arial" w:hAnsi="Arial"/>
          <w:sz w:val="19"/>
          <w:szCs w:val="19"/>
          <w:u w:val="single" w:color="auto"/>
          <w:color w:val="auto"/>
        </w:rPr>
        <w:t>Target Award</w:t>
      </w:r>
      <w:r>
        <w:rPr>
          <w:rFonts w:ascii="Arial" w:cs="Arial" w:eastAsia="Arial" w:hAnsi="Arial"/>
          <w:sz w:val="19"/>
          <w:szCs w:val="19"/>
          <w:color w:val="auto"/>
        </w:rPr>
        <w:t>”) of ___ RSUs on the terms and conditions set forth in this Agreement and the Plan. A bookkeeping account will be maintained by the Company to keep track of the RSUs and any dividend equivalent rights that may accrue as provided in Section 4. This Target Award may not be assigned, alienated, pledged, attached, sold or otherwise transferred or encumbered by Grantee other than by will or the laws of descent and distribution or as otherwise permitted by the Plan.</w:t>
      </w:r>
    </w:p>
    <w:p>
      <w:pPr>
        <w:spacing w:after="0" w:line="176" w:lineRule="exact"/>
        <w:rPr>
          <w:rFonts w:ascii="Arial" w:cs="Arial" w:eastAsia="Arial" w:hAnsi="Arial"/>
          <w:sz w:val="19"/>
          <w:szCs w:val="19"/>
          <w:color w:val="auto"/>
        </w:rPr>
      </w:pPr>
    </w:p>
    <w:p>
      <w:pPr>
        <w:jc w:val="both"/>
        <w:ind w:left="200" w:right="219" w:firstLine="1305"/>
        <w:spacing w:after="0" w:line="246" w:lineRule="auto"/>
        <w:tabs>
          <w:tab w:leader="none" w:pos="2144" w:val="left"/>
        </w:tabs>
        <w:numPr>
          <w:ilvl w:val="1"/>
          <w:numId w:val="65"/>
        </w:numPr>
        <w:rPr>
          <w:rFonts w:ascii="Arial" w:cs="Arial" w:eastAsia="Arial" w:hAnsi="Arial"/>
          <w:sz w:val="22"/>
          <w:szCs w:val="22"/>
          <w:color w:val="auto"/>
        </w:rPr>
      </w:pPr>
      <w:r>
        <w:rPr>
          <w:rFonts w:ascii="Arial" w:cs="Arial" w:eastAsia="Arial" w:hAnsi="Arial"/>
          <w:sz w:val="22"/>
          <w:szCs w:val="22"/>
          <w:color w:val="auto"/>
        </w:rPr>
        <w:t>Except as otherwise provided for herein, all RSUs that are earned pursuant to the provisions of Section 2 below will vest on the fifteenth day following the conclusion of the Performance Period (as such term is defined below), with such date, or such earlier date of vesting provided for below, being known as the “</w:t>
      </w:r>
      <w:r>
        <w:rPr>
          <w:rFonts w:ascii="Arial" w:cs="Arial" w:eastAsia="Arial" w:hAnsi="Arial"/>
          <w:sz w:val="22"/>
          <w:szCs w:val="22"/>
          <w:u w:val="single" w:color="auto"/>
          <w:color w:val="auto"/>
        </w:rPr>
        <w:t>Vesting Date</w:t>
      </w:r>
      <w:r>
        <w:rPr>
          <w:rFonts w:ascii="Arial" w:cs="Arial" w:eastAsia="Arial" w:hAnsi="Arial"/>
          <w:sz w:val="22"/>
          <w:szCs w:val="22"/>
          <w:color w:val="auto"/>
        </w:rPr>
        <w:t>”). Prior to the Vesting Date, the Committee will certify the level of achievement pursuant to the provisions of Section 2 below. On the Vesting Date, the Company shall deliver to the Participant one Share for each vested RSU as described below.</w:t>
      </w:r>
    </w:p>
    <w:p>
      <w:pPr>
        <w:spacing w:after="0" w:line="223" w:lineRule="exact"/>
        <w:rPr>
          <w:rFonts w:ascii="Arial" w:cs="Arial" w:eastAsia="Arial" w:hAnsi="Arial"/>
          <w:sz w:val="22"/>
          <w:szCs w:val="22"/>
          <w:color w:val="auto"/>
        </w:rPr>
      </w:pPr>
    </w:p>
    <w:p>
      <w:pPr>
        <w:ind w:left="1500" w:hanging="643"/>
        <w:spacing w:after="0"/>
        <w:tabs>
          <w:tab w:leader="none" w:pos="150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Target Award Earning and Vesting</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200" w:right="219" w:firstLine="1305"/>
        <w:spacing w:after="0" w:line="294" w:lineRule="auto"/>
        <w:tabs>
          <w:tab w:leader="none" w:pos="2144" w:val="left"/>
        </w:tabs>
        <w:numPr>
          <w:ilvl w:val="1"/>
          <w:numId w:val="65"/>
        </w:numPr>
        <w:rPr>
          <w:rFonts w:ascii="Arial" w:cs="Arial" w:eastAsia="Arial" w:hAnsi="Arial"/>
          <w:sz w:val="19"/>
          <w:szCs w:val="19"/>
          <w:color w:val="auto"/>
        </w:rPr>
      </w:pPr>
      <w:r>
        <w:rPr>
          <w:rFonts w:ascii="Arial" w:cs="Arial" w:eastAsia="Arial" w:hAnsi="Arial"/>
          <w:sz w:val="19"/>
          <w:szCs w:val="19"/>
          <w:color w:val="auto"/>
        </w:rPr>
        <w:t xml:space="preserve">The total number of RSUs that the Grantee may earn hereunder will range from 0% to 100% of the Target Award, and shall be determined based on the achievement of certain Share price target achievement levels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during the Performance Period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as more fully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otherwise subject to the limitations set forth therein. Except as otherwise provided for herein, any RSUs (including Dividend Equivalent Units and other dividend equivalent rights related thereto)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545211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4" w:name="page135"/>
    <w:bookmarkEnd w:id="134"/>
    <w:p>
      <w:pPr>
        <w:ind w:left="200" w:right="219"/>
        <w:spacing w:after="0" w:line="263" w:lineRule="auto"/>
        <w:rPr>
          <w:sz w:val="20"/>
          <w:szCs w:val="20"/>
          <w:color w:val="auto"/>
        </w:rPr>
      </w:pPr>
      <w:r>
        <w:rPr>
          <w:rFonts w:ascii="Arial" w:cs="Arial" w:eastAsia="Arial" w:hAnsi="Arial"/>
          <w:sz w:val="22"/>
          <w:szCs w:val="22"/>
          <w:color w:val="auto"/>
        </w:rPr>
        <w:t>not earned prior to the conclusion of the Performance Period shall be forfeited without consideration or any further action by the Grantee or the Company.</w:t>
      </w:r>
    </w:p>
    <w:p>
      <w:pPr>
        <w:spacing w:after="0" w:line="215" w:lineRule="exact"/>
        <w:rPr>
          <w:sz w:val="20"/>
          <w:szCs w:val="20"/>
          <w:color w:val="auto"/>
        </w:rPr>
      </w:pPr>
    </w:p>
    <w:p>
      <w:pPr>
        <w:jc w:val="both"/>
        <w:ind w:left="200" w:right="219" w:firstLine="1305"/>
        <w:spacing w:after="0" w:line="290" w:lineRule="auto"/>
        <w:tabs>
          <w:tab w:leader="none" w:pos="2144" w:val="left"/>
        </w:tabs>
        <w:numPr>
          <w:ilvl w:val="1"/>
          <w:numId w:val="66"/>
        </w:numPr>
        <w:rPr>
          <w:rFonts w:ascii="Arial" w:cs="Arial" w:eastAsia="Arial" w:hAnsi="Arial"/>
          <w:sz w:val="19"/>
          <w:szCs w:val="19"/>
          <w:color w:val="auto"/>
        </w:rPr>
      </w:pPr>
      <w:r>
        <w:rPr>
          <w:rFonts w:ascii="Arial" w:cs="Arial" w:eastAsia="Arial" w:hAnsi="Arial"/>
          <w:sz w:val="19"/>
          <w:szCs w:val="19"/>
          <w:color w:val="auto"/>
        </w:rPr>
        <w:t>Except as otherwise determined by the Committee at or after the grant of the Target Award hereunder (subject to Sections 7.5 and 8.2 of the Plan), in the event that the Grantee’s employment with the Company and its Subsidiaries and Affiliates is terminated (other than by reason of death, Disability, or an approved retirement of such Grantee (as determined by the Committee in its sole discretion)) prior to the Vesting Date and prior to the occurrence of a Change in Control, the Grantee shall forfeit such RSUs (including Dividend Equivalent Units and other dividend equivalent rights related thereto that have accrued pursuant to Section 4), and all of the Grantee’s rights with respect thereto shall cease.</w:t>
      </w:r>
    </w:p>
    <w:p>
      <w:pPr>
        <w:spacing w:after="0" w:line="196" w:lineRule="exact"/>
        <w:rPr>
          <w:rFonts w:ascii="Arial" w:cs="Arial" w:eastAsia="Arial" w:hAnsi="Arial"/>
          <w:sz w:val="19"/>
          <w:szCs w:val="19"/>
          <w:color w:val="auto"/>
        </w:rPr>
      </w:pPr>
    </w:p>
    <w:p>
      <w:pPr>
        <w:jc w:val="both"/>
        <w:ind w:left="200" w:right="219" w:firstLine="1305"/>
        <w:spacing w:after="0" w:line="286" w:lineRule="auto"/>
        <w:tabs>
          <w:tab w:leader="none" w:pos="2144"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If the Grantee’s employment with the Company and its Subsidiaries and Affiliates is terminated because of death, Disability or an approved retirement of such Grantee (as determined by the Committee in its sole discretion) prior to the end of the Performance Period and prior to the occurrence of a Change in Control, then the Vesting Date shall be the date set forth in Section 1(b), and the Grantee will be entitled to a vesting of the RSUs (including Dividend Equivalent Units and other dividend equivalent rights related thereto), if any, equal to a pro-rated amount of the earned portion of the Target Award determined as of the end of the Performance Period based on the extent to which the performance targets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have been satisfied. The prorated portion of the Target Award that will vest at the end of the Performance Period will be based on the RSUs earned as a result of actual performance, multiplied by a proportion equal to the number of days of the Grantee’s active service during the Performance Period in relation to the total number of days in the Performance Period. The pro-rated number of RSUs (including Dividend Equivalent Units and other dividend equivalent rights related thereto) earned shall be paid at the time the Target Award would have been settled if the Grantee had remained employed at the end of the Performance Period.</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jc w:val="both"/>
        <w:ind w:left="200" w:right="219" w:firstLine="1305"/>
        <w:spacing w:after="0" w:line="286" w:lineRule="auto"/>
        <w:tabs>
          <w:tab w:leader="none" w:pos="2144" w:val="left"/>
        </w:tabs>
        <w:numPr>
          <w:ilvl w:val="1"/>
          <w:numId w:val="66"/>
        </w:numPr>
        <w:rPr>
          <w:rFonts w:ascii="Arial" w:cs="Arial" w:eastAsia="Arial" w:hAnsi="Arial"/>
          <w:sz w:val="19"/>
          <w:szCs w:val="19"/>
          <w:color w:val="auto"/>
        </w:rPr>
      </w:pPr>
      <w:r>
        <w:rPr>
          <w:rFonts w:ascii="Arial" w:cs="Arial" w:eastAsia="Arial" w:hAnsi="Arial"/>
          <w:sz w:val="19"/>
          <w:szCs w:val="19"/>
          <w:color w:val="auto"/>
        </w:rPr>
        <w:t>If the Grantee’s employment with the Company and its Subsidiaries and Affiliates is terminated (other than by the Company for Cause or by the Grantee without Good Reason (as defined below) other than in the case of an approved retirement) following a Change in Control that occurs prior to the end of the Performance Period, then the Grantee will be entitled to immediate vesting of the Target Award (including Dividend Equivalent Units and other dividend equivalent rights related thereto) as of the date of such termination (such date being the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for purposes of this Agreement); provided that in the event of an approved retirement or any other termination of employment described in this Section 2(d), payment of the RSUs may be delayed until the end of the Performance Period if necessary to avoid additional taxes pursuant to Section 409A of the Code. For purposes of this Section 2(d) the term “</w:t>
      </w:r>
      <w:r>
        <w:rPr>
          <w:rFonts w:ascii="Arial" w:cs="Arial" w:eastAsia="Arial" w:hAnsi="Arial"/>
          <w:sz w:val="19"/>
          <w:szCs w:val="19"/>
          <w:u w:val="single" w:color="auto"/>
          <w:color w:val="auto"/>
        </w:rPr>
        <w:t>Good Reason</w:t>
      </w:r>
      <w:r>
        <w:rPr>
          <w:rFonts w:ascii="Arial" w:cs="Arial" w:eastAsia="Arial" w:hAnsi="Arial"/>
          <w:sz w:val="19"/>
          <w:szCs w:val="19"/>
          <w:color w:val="auto"/>
        </w:rPr>
        <w:t>” will be defined as either (i) a material reduction in Grantee’s salary or benefits, working conditions or management responsibilities, or (ii) a requirement that the Grantee relocate his or her primary place of employment more than 50 miles from Grantee’s current primary place of employment (without Grantee’s prior written consent).</w:t>
      </w:r>
    </w:p>
    <w:p>
      <w:pPr>
        <w:spacing w:after="0" w:line="200" w:lineRule="exact"/>
        <w:rPr>
          <w:rFonts w:ascii="Arial" w:cs="Arial" w:eastAsia="Arial" w:hAnsi="Arial"/>
          <w:sz w:val="19"/>
          <w:szCs w:val="19"/>
          <w:color w:val="auto"/>
        </w:rPr>
      </w:pPr>
    </w:p>
    <w:p>
      <w:pPr>
        <w:spacing w:after="0" w:line="262" w:lineRule="exact"/>
        <w:rPr>
          <w:rFonts w:ascii="Arial" w:cs="Arial" w:eastAsia="Arial" w:hAnsi="Arial"/>
          <w:sz w:val="19"/>
          <w:szCs w:val="19"/>
          <w:color w:val="auto"/>
        </w:rPr>
      </w:pPr>
    </w:p>
    <w:p>
      <w:pPr>
        <w:jc w:val="both"/>
        <w:ind w:left="200" w:right="219" w:firstLine="657"/>
        <w:spacing w:after="0" w:line="312" w:lineRule="auto"/>
        <w:tabs>
          <w:tab w:leader="none" w:pos="149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Payment of Vested Restricted Stock Units</w:t>
      </w:r>
      <w:r>
        <w:rPr>
          <w:rFonts w:ascii="Arial" w:cs="Arial" w:eastAsia="Arial" w:hAnsi="Arial"/>
          <w:sz w:val="19"/>
          <w:szCs w:val="19"/>
          <w:color w:val="auto"/>
        </w:rPr>
        <w:t>. On the Vesting Date, Grantee shall be entitled to receive one Share for each RSU (including Dividend Equivalent Units and other dividend equivalent rights related thereto) which has been earned pursuant to Section 2(a)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295275</wp:posOffset>
            </wp:positionV>
            <wp:extent cx="545211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35" w:name="page136"/>
    <w:bookmarkEnd w:id="135"/>
    <w:p>
      <w:pPr>
        <w:jc w:val="both"/>
        <w:ind w:left="200" w:right="219"/>
        <w:spacing w:after="0" w:line="263" w:lineRule="auto"/>
        <w:rPr>
          <w:sz w:val="20"/>
          <w:szCs w:val="20"/>
          <w:color w:val="auto"/>
        </w:rPr>
      </w:pPr>
      <w:r>
        <w:rPr>
          <w:rFonts w:ascii="Arial" w:cs="Arial" w:eastAsia="Arial" w:hAnsi="Arial"/>
          <w:sz w:val="21"/>
          <w:szCs w:val="21"/>
          <w:color w:val="auto"/>
        </w:rPr>
        <w:t>which the Grantee is otherwise entitled pursuant to Section 2(c) or Section 2(d) (collectively, the “</w:t>
      </w:r>
      <w:r>
        <w:rPr>
          <w:rFonts w:ascii="Arial" w:cs="Arial" w:eastAsia="Arial" w:hAnsi="Arial"/>
          <w:sz w:val="21"/>
          <w:szCs w:val="21"/>
          <w:u w:val="single" w:color="auto"/>
          <w:color w:val="auto"/>
        </w:rPr>
        <w:t>Vesting RSUs</w:t>
      </w:r>
      <w:r>
        <w:rPr>
          <w:rFonts w:ascii="Arial" w:cs="Arial" w:eastAsia="Arial" w:hAnsi="Arial"/>
          <w:sz w:val="21"/>
          <w:szCs w:val="21"/>
          <w:color w:val="auto"/>
        </w:rPr>
        <w:t>”). Subject to the provisions of the Plan and Section 8(a) hereof, such payment shall be made through the issuance to the Grantee (or to the executors or administrators of the Grantee’s estate, if applicable), as promptly as practicable following the Vesting Date, of a number of Shares equal to the number of such Vesting RSUs.</w:t>
      </w:r>
    </w:p>
    <w:p>
      <w:pPr>
        <w:spacing w:after="0" w:line="216" w:lineRule="exact"/>
        <w:rPr>
          <w:sz w:val="20"/>
          <w:szCs w:val="20"/>
          <w:color w:val="auto"/>
        </w:rPr>
      </w:pPr>
    </w:p>
    <w:p>
      <w:pPr>
        <w:jc w:val="both"/>
        <w:ind w:left="200" w:right="219" w:firstLine="657"/>
        <w:spacing w:after="0" w:line="286" w:lineRule="auto"/>
        <w:tabs>
          <w:tab w:leader="none" w:pos="1496"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Grantee shall receive dividend equivalent rights in respect of the RSUs covered by this Agreement at the time of any payment of dividends to stockholders on Shares. The RSUs will be credited with a cash amount equal to the cash dividend amount that would be payable to the Grantee as a stockholder in respect of a number of Shares equal to the number of RSUs outstanding and unpaid as of the dividend record date (rounded down to the nearest one cent (or such other convention as may be determined by the Committee in its sole discretion)). The RSUs will be credited with additional RSUs (“</w:t>
      </w:r>
      <w:r>
        <w:rPr>
          <w:rFonts w:ascii="Arial" w:cs="Arial" w:eastAsia="Arial" w:hAnsi="Arial"/>
          <w:sz w:val="19"/>
          <w:szCs w:val="19"/>
          <w:u w:val="single" w:color="auto"/>
          <w:color w:val="auto"/>
        </w:rPr>
        <w:t>Dividend Equivalent Units</w:t>
      </w:r>
      <w:r>
        <w:rPr>
          <w:rFonts w:ascii="Arial" w:cs="Arial" w:eastAsia="Arial" w:hAnsi="Arial"/>
          <w:sz w:val="19"/>
          <w:szCs w:val="19"/>
          <w:color w:val="auto"/>
        </w:rPr>
        <w:t>”) for stock dividends paid on Shares by multiplying the stock dividend paid per Share by the number of RSUs outstanding and unpaid on the dividend record date (rounded down to the nearest whole share (or such other convention as may be determined by the Committee in its sole discretion)). Each cash dividend equivalent right or Dividend Equivalent Unit will vest and be settled or payable at the same time as, and solely to the extent of the vesting of, the RSUs to which such dividend equivalent right or Dividend Equivalent Unit relates.</w:t>
      </w:r>
    </w:p>
    <w:p>
      <w:pPr>
        <w:spacing w:after="0" w:line="206" w:lineRule="exact"/>
        <w:rPr>
          <w:rFonts w:ascii="Arial" w:cs="Arial" w:eastAsia="Arial" w:hAnsi="Arial"/>
          <w:sz w:val="19"/>
          <w:szCs w:val="19"/>
          <w:color w:val="auto"/>
        </w:rPr>
      </w:pPr>
    </w:p>
    <w:p>
      <w:pPr>
        <w:jc w:val="both"/>
        <w:ind w:left="200" w:right="219" w:firstLine="657"/>
        <w:spacing w:after="0" w:line="250" w:lineRule="auto"/>
        <w:tabs>
          <w:tab w:leader="none" w:pos="1496"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Except as provided above, the Grantee shall not have voting or any other rights as a stockholder of the Company with respect to RSUs. Grantee will obtain full voting and other rights as a stockholder of the Company upon the settlement of RSUs in Shares.</w:t>
      </w:r>
    </w:p>
    <w:p>
      <w:pPr>
        <w:spacing w:after="0" w:line="228" w:lineRule="exact"/>
        <w:rPr>
          <w:rFonts w:ascii="Arial" w:cs="Arial" w:eastAsia="Arial" w:hAnsi="Arial"/>
          <w:sz w:val="22"/>
          <w:szCs w:val="22"/>
          <w:color w:val="auto"/>
        </w:rPr>
      </w:pPr>
    </w:p>
    <w:p>
      <w:pPr>
        <w:jc w:val="both"/>
        <w:ind w:left="200" w:right="219" w:firstLine="657"/>
        <w:spacing w:after="0" w:line="258" w:lineRule="auto"/>
        <w:tabs>
          <w:tab w:leader="none" w:pos="1496"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Adjustments</w:t>
      </w:r>
      <w:r>
        <w:rPr>
          <w:rFonts w:ascii="Arial" w:cs="Arial" w:eastAsia="Arial" w:hAnsi="Arial"/>
          <w:sz w:val="21"/>
          <w:szCs w:val="21"/>
          <w:color w:val="auto"/>
        </w:rPr>
        <w:t>. The Committee shall make appropriate adjustments in the terms and conditions of, and the performance criteria included in, the Target Award in recognition of unusual or nonrecurring events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Upon the occurrence of any of the events described in Section 4.2 of the Plan, including but not limited to any Change in Control, spin-off or other similar transaction, the Committee shall make the adjustments described in this Section 6. Any such adjustments shall be made in a manner provided in Section 4.2 of the Plan and in a manner that does not result in a discretionary increase in the amounts payable under the Target Award.</w:t>
      </w:r>
    </w:p>
    <w:p>
      <w:pPr>
        <w:spacing w:after="0" w:line="222" w:lineRule="exact"/>
        <w:rPr>
          <w:rFonts w:ascii="Arial" w:cs="Arial" w:eastAsia="Arial" w:hAnsi="Arial"/>
          <w:sz w:val="21"/>
          <w:szCs w:val="21"/>
          <w:color w:val="auto"/>
        </w:rPr>
      </w:pPr>
    </w:p>
    <w:p>
      <w:pPr>
        <w:jc w:val="both"/>
        <w:ind w:left="200" w:right="219" w:firstLine="657"/>
        <w:spacing w:after="0" w:line="260" w:lineRule="auto"/>
        <w:tabs>
          <w:tab w:leader="none" w:pos="1496"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Amendment to Target Award</w:t>
      </w:r>
      <w:r>
        <w:rPr>
          <w:rFonts w:ascii="Arial" w:cs="Arial" w:eastAsia="Arial" w:hAnsi="Arial"/>
          <w:sz w:val="21"/>
          <w:szCs w:val="21"/>
          <w:color w:val="auto"/>
        </w:rPr>
        <w:t>. Subject to the restrictions contained in the Plan, the Committee may waive any conditions or rights under, amend any terms of, or alter, suspend, discontinue, cancel or terminate the Target Award, prospectively or retroactively; provided that any such waiver, amendment, alteration, suspension, discontinuance, cancellation or termination that would materially and adversely affect the rights of the Grantee or any holder or beneficiary of the Target Award shall not to that extent be effective without the consent of the Grantee, holder or beneficiary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325120</wp:posOffset>
            </wp:positionV>
            <wp:extent cx="545211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36" w:name="page137"/>
    <w:bookmarkEnd w:id="136"/>
    <w:p>
      <w:pPr>
        <w:ind w:left="1500" w:hanging="643"/>
        <w:spacing w:after="0"/>
        <w:tabs>
          <w:tab w:leader="none" w:pos="150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Taxes; Section 409A</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200" w:right="219" w:firstLine="1305"/>
        <w:spacing w:after="0" w:line="285" w:lineRule="auto"/>
        <w:tabs>
          <w:tab w:leader="none" w:pos="2144" w:val="left"/>
        </w:tabs>
        <w:numPr>
          <w:ilvl w:val="1"/>
          <w:numId w:val="69"/>
        </w:numPr>
        <w:rPr>
          <w:rFonts w:ascii="Arial" w:cs="Arial" w:eastAsia="Arial" w:hAnsi="Arial"/>
          <w:sz w:val="19"/>
          <w:szCs w:val="19"/>
          <w:color w:val="auto"/>
        </w:rPr>
      </w:pPr>
      <w:r>
        <w:rPr>
          <w:rFonts w:ascii="Arial" w:cs="Arial" w:eastAsia="Arial" w:hAnsi="Arial"/>
          <w:sz w:val="19"/>
          <w:szCs w:val="19"/>
          <w:color w:val="auto"/>
        </w:rPr>
        <w:t>Upon the delivery of Shares pursuant to Section 3 hereof, the Grantee shall remit to the Company the minimum amount necessary to satisfy the Withholding Tax Obligation (as defined below) with respect to the RSUs that are being settled as a condition to the Company’s issuance of any Shares. The payment shall be in cash or at the election of Grantee by means of: (i) the delivery of Shares previously owned by Grantee, subject to applicable legal requirements, and held for the requisite period of time as may be required to avoid the Company incurring any adverse accounting charge; (ii) a reduction in the number of Shares otherwise deliverable upon vesting or other amounts otherwise payable to the Grantee pursuant to this Agreement; or (iii) a combination of (i) and/or (ii). The value of any Shares delivered or withheld as payment in respect of the Withholding Tax Obligation shall be determined by reference to the Fair Market Value of such Shares as of the date of such withholding or delivery. For purposes hereof, the “Withholding Tax Obligation” means the minimum amount necessary to satisfy Federal, state, local or foreign withholding tax requirements, if any, in connection with vesting of all or a portion of the RSUs; provided, however, that, in the sole discretion of the Company, the Company may allow the Grantee to withhold an additional amount or additional number of Shares to satisfy an additional amount of withholding taxes up to the maximum individual statutory rate in the applicable jurisdiction, but only if such additional withholding, or the discretion to elect such additional withholding, does not result in adverse accounting treatment of the RSUs to the Company.</w:t>
      </w:r>
    </w:p>
    <w:p>
      <w:pPr>
        <w:spacing w:after="0" w:line="203" w:lineRule="exact"/>
        <w:rPr>
          <w:rFonts w:ascii="Arial" w:cs="Arial" w:eastAsia="Arial" w:hAnsi="Arial"/>
          <w:sz w:val="19"/>
          <w:szCs w:val="19"/>
          <w:color w:val="auto"/>
        </w:rPr>
      </w:pPr>
    </w:p>
    <w:p>
      <w:pPr>
        <w:jc w:val="both"/>
        <w:ind w:left="200" w:right="219" w:firstLine="1305"/>
        <w:spacing w:after="0" w:line="287" w:lineRule="auto"/>
        <w:tabs>
          <w:tab w:leader="none" w:pos="2144" w:val="left"/>
        </w:tabs>
        <w:numPr>
          <w:ilvl w:val="1"/>
          <w:numId w:val="69"/>
        </w:numPr>
        <w:rPr>
          <w:rFonts w:ascii="Arial" w:cs="Arial" w:eastAsia="Arial" w:hAnsi="Arial"/>
          <w:sz w:val="19"/>
          <w:szCs w:val="19"/>
          <w:color w:val="auto"/>
        </w:rPr>
      </w:pPr>
      <w:r>
        <w:rPr>
          <w:rFonts w:ascii="Arial" w:cs="Arial" w:eastAsia="Arial" w:hAnsi="Arial"/>
          <w:sz w:val="19"/>
          <w:szCs w:val="19"/>
          <w:color w:val="auto"/>
        </w:rPr>
        <w:t>Notwithstanding anything herein to the contrary, to the maximum extent permitted by applicable law, the settlement of the RSUs (including any dividend equivalent rights) to be made to the Grantee pursuant to this Agreement is intended to qualify as a “short-term deferral” pursuant to Section 1.409A-1(b)(4) of the Regulations and this Agreement shall be interpreted consistently therewith. However, under certain circumstances, including where Grantee has elected to defer settlement of this Target Award, settlement of the RSUs or any dividend equivalent rights may not so qualify, and in that case, the Committee shall administer the grant and settlement of such RSUs and any dividend equivalent rights in strict compliance with Section 409A of the Code, including but not limited to delaying, if and to the extent required, the issuance of Shares contemplated hereunder. Each payment of RSUs (and related dividend equivalent rights) constitutes a “separate payment” for purposes of Section 409A of the Code.</w:t>
      </w:r>
    </w:p>
    <w:p>
      <w:pPr>
        <w:spacing w:after="0" w:line="203" w:lineRule="exact"/>
        <w:rPr>
          <w:rFonts w:ascii="Arial" w:cs="Arial" w:eastAsia="Arial" w:hAnsi="Arial"/>
          <w:sz w:val="19"/>
          <w:szCs w:val="19"/>
          <w:color w:val="auto"/>
        </w:rPr>
      </w:pPr>
    </w:p>
    <w:p>
      <w:pPr>
        <w:jc w:val="both"/>
        <w:ind w:left="200" w:right="219" w:firstLine="657"/>
        <w:spacing w:after="0" w:line="297" w:lineRule="auto"/>
        <w:tabs>
          <w:tab w:leader="none" w:pos="1496"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No Right to Continued Employment</w:t>
      </w:r>
      <w:r>
        <w:rPr>
          <w:rFonts w:ascii="Arial" w:cs="Arial" w:eastAsia="Arial" w:hAnsi="Arial"/>
          <w:sz w:val="19"/>
          <w:szCs w:val="19"/>
          <w:i w:val="1"/>
          <w:iCs w:val="1"/>
          <w:color w:val="auto"/>
        </w:rPr>
        <w:t>.</w:t>
      </w:r>
      <w:r>
        <w:rPr>
          <w:rFonts w:ascii="Arial" w:cs="Arial" w:eastAsia="Arial" w:hAnsi="Arial"/>
          <w:sz w:val="19"/>
          <w:szCs w:val="19"/>
          <w:color w:val="auto"/>
        </w:rPr>
        <w:t xml:space="preserve"> Nothing in this Agreement or the Plan shall be interpreted or construed to confer upon the Grantee any right to continued employment by the Company or any of its Subsidiaries or Affiliates, nor shall this Agreement or the Plan interfere in any way with the right of the Company or any of its Subsidiaries or Affiliates to terminate the Grantee’s employment at any time for any reason whatsoever, whether or not with cause.</w:t>
      </w:r>
    </w:p>
    <w:p>
      <w:pPr>
        <w:spacing w:after="0" w:line="187" w:lineRule="exact"/>
        <w:rPr>
          <w:rFonts w:ascii="Arial" w:cs="Arial" w:eastAsia="Arial" w:hAnsi="Arial"/>
          <w:sz w:val="19"/>
          <w:szCs w:val="19"/>
          <w:color w:val="auto"/>
        </w:rPr>
      </w:pPr>
    </w:p>
    <w:p>
      <w:pPr>
        <w:jc w:val="both"/>
        <w:ind w:left="200" w:right="219" w:firstLine="657"/>
        <w:spacing w:after="0" w:line="302" w:lineRule="auto"/>
        <w:tabs>
          <w:tab w:leader="none" w:pos="1496"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Plan Governs</w:t>
      </w:r>
      <w:r>
        <w:rPr>
          <w:rFonts w:ascii="Arial" w:cs="Arial" w:eastAsia="Arial" w:hAnsi="Arial"/>
          <w:sz w:val="19"/>
          <w:szCs w:val="19"/>
          <w:color w:val="auto"/>
        </w:rPr>
        <w:t>. The Grantee hereby acknowledges receipt of a copy of the Plan and agrees to be bound by all the terms and provisions thereof. The terms of this Agreement are governed by the terms of the Plan, and in the case of any inconsistency between the terms of this Agreement and the terms of the Plan, the terms of the Plan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455295</wp:posOffset>
            </wp:positionV>
            <wp:extent cx="545211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88" w:right="1440" w:bottom="1440" w:gutter="0" w:footer="0" w:header="0"/>
        </w:sectPr>
      </w:pPr>
    </w:p>
    <w:bookmarkStart w:id="137" w:name="page138"/>
    <w:bookmarkEnd w:id="137"/>
    <w:p>
      <w:pPr>
        <w:jc w:val="both"/>
        <w:ind w:left="200" w:right="219" w:firstLine="657"/>
        <w:spacing w:after="0" w:line="259" w:lineRule="auto"/>
        <w:tabs>
          <w:tab w:leader="none" w:pos="1488"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is, or becomes, or is deemed to be invalid, illegal, or unenforceable in any jurisdiction or as to any Person or the Target Award, or would disqualify the Plan or Target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this Agreement, such provision shall be stricken as to such jurisdiction, Person or Target Award, and the remainder of the Plan and this Agreement shall remain in full force and effect.</w:t>
      </w:r>
    </w:p>
    <w:p>
      <w:pPr>
        <w:spacing w:after="0" w:line="210" w:lineRule="exact"/>
        <w:rPr>
          <w:rFonts w:ascii="Arial" w:cs="Arial" w:eastAsia="Arial" w:hAnsi="Arial"/>
          <w:sz w:val="21"/>
          <w:szCs w:val="21"/>
          <w:color w:val="auto"/>
        </w:rPr>
      </w:pPr>
    </w:p>
    <w:p>
      <w:pPr>
        <w:jc w:val="both"/>
        <w:ind w:left="200" w:right="219" w:firstLine="657"/>
        <w:spacing w:after="0" w:line="271" w:lineRule="auto"/>
        <w:tabs>
          <w:tab w:leader="none" w:pos="1496"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required to be given under this Grant shall be deemed to be received if delivered or mailed as provided for herein, to the parties at the following addresses, or to such other address as either party may provide in writing from time to time.</w:t>
      </w:r>
    </w:p>
    <w:p>
      <w:pPr>
        <w:spacing w:after="0" w:line="221" w:lineRule="exact"/>
        <w:rPr>
          <w:sz w:val="20"/>
          <w:szCs w:val="20"/>
          <w:color w:val="auto"/>
        </w:rPr>
      </w:pPr>
    </w:p>
    <w:p>
      <w:pPr>
        <w:ind w:left="860"/>
        <w:spacing w:after="0"/>
        <w:tabs>
          <w:tab w:leader="none" w:pos="2760" w:val="left"/>
        </w:tabs>
        <w:rPr>
          <w:sz w:val="20"/>
          <w:szCs w:val="20"/>
          <w:color w:val="auto"/>
        </w:rPr>
      </w:pPr>
      <w:r>
        <w:rPr>
          <w:rFonts w:ascii="Arial" w:cs="Arial" w:eastAsia="Arial" w:hAnsi="Arial"/>
          <w:sz w:val="22"/>
          <w:szCs w:val="22"/>
          <w:i w:val="1"/>
          <w:iCs w:val="1"/>
          <w:color w:val="auto"/>
        </w:rPr>
        <w:t>To the Company:</w:t>
      </w:r>
      <w:r>
        <w:rPr>
          <w:sz w:val="20"/>
          <w:szCs w:val="20"/>
          <w:color w:val="auto"/>
        </w:rPr>
        <w:tab/>
      </w:r>
      <w:r>
        <w:rPr>
          <w:rFonts w:ascii="Arial" w:cs="Arial" w:eastAsia="Arial" w:hAnsi="Arial"/>
          <w:sz w:val="19"/>
          <w:szCs w:val="19"/>
          <w:color w:val="auto"/>
        </w:rPr>
        <w:t>Ryman Hospitality Properties, Inc.</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One Gaylord Drive</w:t>
      </w:r>
    </w:p>
    <w:p>
      <w:pPr>
        <w:spacing w:after="0" w:line="4"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Nashville, Tennessee 37214</w:t>
      </w:r>
    </w:p>
    <w:p>
      <w:pPr>
        <w:spacing w:after="0" w:line="4"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Attn: General Counsel</w:t>
      </w:r>
    </w:p>
    <w:p>
      <w:pPr>
        <w:spacing w:after="0" w:line="256" w:lineRule="exact"/>
        <w:rPr>
          <w:sz w:val="20"/>
          <w:szCs w:val="20"/>
          <w:color w:val="auto"/>
        </w:rPr>
      </w:pPr>
    </w:p>
    <w:p>
      <w:pPr>
        <w:ind w:left="2800" w:right="219" w:hanging="1943"/>
        <w:spacing w:after="0" w:line="263" w:lineRule="auto"/>
        <w:tabs>
          <w:tab w:leader="none" w:pos="2780" w:val="left"/>
        </w:tabs>
        <w:rPr>
          <w:sz w:val="20"/>
          <w:szCs w:val="20"/>
          <w:color w:val="auto"/>
        </w:rPr>
      </w:pPr>
      <w:r>
        <w:rPr>
          <w:rFonts w:ascii="Arial" w:cs="Arial" w:eastAsia="Arial" w:hAnsi="Arial"/>
          <w:sz w:val="22"/>
          <w:szCs w:val="22"/>
          <w:i w:val="1"/>
          <w:iCs w:val="1"/>
          <w:color w:val="auto"/>
        </w:rPr>
        <w:t>To the Grantee:</w:t>
      </w:r>
      <w:r>
        <w:rPr>
          <w:sz w:val="20"/>
          <w:szCs w:val="20"/>
          <w:color w:val="auto"/>
        </w:rPr>
        <w:tab/>
      </w:r>
      <w:r>
        <w:rPr>
          <w:rFonts w:ascii="Arial" w:cs="Arial" w:eastAsia="Arial" w:hAnsi="Arial"/>
          <w:sz w:val="22"/>
          <w:szCs w:val="22"/>
          <w:color w:val="auto"/>
        </w:rPr>
        <w:t>The address then maintained with respect to the Grantee in the Company’s records.</w:t>
      </w:r>
    </w:p>
    <w:p>
      <w:pPr>
        <w:spacing w:after="0" w:line="229" w:lineRule="exact"/>
        <w:rPr>
          <w:sz w:val="20"/>
          <w:szCs w:val="20"/>
          <w:color w:val="auto"/>
        </w:rPr>
      </w:pPr>
    </w:p>
    <w:p>
      <w:pPr>
        <w:jc w:val="both"/>
        <w:ind w:left="200" w:right="219" w:firstLine="657"/>
        <w:spacing w:after="0" w:line="253" w:lineRule="auto"/>
        <w:tabs>
          <w:tab w:leader="none" w:pos="1496"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construction and effect of this Agreement shall be determined in accordance with the laws of the State of Delaware without giving effect to conflicts of laws principles.</w:t>
      </w:r>
    </w:p>
    <w:p>
      <w:pPr>
        <w:spacing w:after="0" w:line="212" w:lineRule="exact"/>
        <w:rPr>
          <w:rFonts w:ascii="Arial" w:cs="Arial" w:eastAsia="Arial" w:hAnsi="Arial"/>
          <w:sz w:val="22"/>
          <w:szCs w:val="22"/>
          <w:color w:val="auto"/>
        </w:rPr>
      </w:pPr>
    </w:p>
    <w:p>
      <w:pPr>
        <w:jc w:val="both"/>
        <w:ind w:left="200" w:right="219" w:firstLine="657"/>
        <w:spacing w:after="0" w:line="248" w:lineRule="auto"/>
        <w:tabs>
          <w:tab w:leader="none" w:pos="1496"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Successors in Interest</w:t>
      </w:r>
      <w:r>
        <w:rPr>
          <w:rFonts w:ascii="Arial" w:cs="Arial" w:eastAsia="Arial" w:hAnsi="Arial"/>
          <w:sz w:val="22"/>
          <w:szCs w:val="22"/>
          <w:color w:val="auto"/>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218" w:lineRule="exact"/>
        <w:rPr>
          <w:rFonts w:ascii="Arial" w:cs="Arial" w:eastAsia="Arial" w:hAnsi="Arial"/>
          <w:sz w:val="22"/>
          <w:szCs w:val="22"/>
          <w:color w:val="auto"/>
        </w:rPr>
      </w:pPr>
    </w:p>
    <w:p>
      <w:pPr>
        <w:jc w:val="both"/>
        <w:ind w:left="200" w:right="219" w:firstLine="657"/>
        <w:spacing w:after="0" w:line="265" w:lineRule="auto"/>
        <w:tabs>
          <w:tab w:leader="none" w:pos="1496"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Resolution of Disputes</w:t>
      </w:r>
      <w:r>
        <w:rPr>
          <w:rFonts w:ascii="Arial" w:cs="Arial" w:eastAsia="Arial" w:hAnsi="Arial"/>
          <w:sz w:val="21"/>
          <w:szCs w:val="21"/>
          <w:color w:val="auto"/>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38" w:name="page139"/>
    <w:bookmarkEnd w:id="138"/>
    <w:p>
      <w:pPr>
        <w:ind w:left="200" w:right="219"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caused this Agreement to be duly executed</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as of the day and year first above written.</w:t>
      </w:r>
    </w:p>
    <w:p>
      <w:pPr>
        <w:spacing w:after="0" w:line="216"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RYMAN HOSPITALITY PROPERTIES, INC.</w:t>
      </w:r>
    </w:p>
    <w:p>
      <w:pPr>
        <w:spacing w:after="0" w:line="200" w:lineRule="exact"/>
        <w:rPr>
          <w:sz w:val="20"/>
          <w:szCs w:val="20"/>
          <w:color w:val="auto"/>
        </w:rPr>
      </w:pPr>
    </w:p>
    <w:p>
      <w:pPr>
        <w:spacing w:after="0" w:line="363"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 ______________________________________</w:t>
      </w:r>
    </w:p>
    <w:p>
      <w:pPr>
        <w:spacing w:after="0" w:line="56"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Scott J. Lynn, EVP &amp; General Counsel</w:t>
      </w:r>
    </w:p>
    <w:p>
      <w:pPr>
        <w:spacing w:after="0" w:line="250"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GRANTEE:</w:t>
      </w:r>
    </w:p>
    <w:p>
      <w:pPr>
        <w:spacing w:after="0" w:line="200" w:lineRule="exact"/>
        <w:rPr>
          <w:sz w:val="20"/>
          <w:szCs w:val="20"/>
          <w:color w:val="auto"/>
        </w:rPr>
      </w:pPr>
    </w:p>
    <w:p>
      <w:pPr>
        <w:spacing w:after="0" w:line="37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__________________________________________</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596265</wp:posOffset>
            </wp:positionV>
            <wp:extent cx="545211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9" w:name="page140"/>
    <w:bookmarkEnd w:id="139"/>
    <w:p>
      <w:pPr>
        <w:jc w:val="center"/>
        <w:ind w:right="79"/>
        <w:spacing w:after="0"/>
        <w:rPr>
          <w:sz w:val="20"/>
          <w:szCs w:val="20"/>
          <w:color w:val="auto"/>
        </w:rPr>
      </w:pPr>
      <w:r>
        <w:rPr>
          <w:rFonts w:ascii="Arial" w:cs="Arial" w:eastAsia="Arial" w:hAnsi="Arial"/>
          <w:sz w:val="22"/>
          <w:szCs w:val="22"/>
          <w:b w:val="1"/>
          <w:bCs w:val="1"/>
          <w:u w:val="single" w:color="auto"/>
          <w:color w:val="auto"/>
        </w:rPr>
        <w:t>EXHIBIT A</w:t>
      </w:r>
    </w:p>
    <w:p>
      <w:pPr>
        <w:spacing w:after="0" w:line="158" w:lineRule="exact"/>
        <w:rPr>
          <w:sz w:val="20"/>
          <w:szCs w:val="20"/>
          <w:color w:val="auto"/>
        </w:rPr>
      </w:pPr>
    </w:p>
    <w:p>
      <w:pPr>
        <w:ind w:left="860" w:hanging="651"/>
        <w:spacing w:after="0"/>
        <w:tabs>
          <w:tab w:leader="none" w:pos="86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Share Price Targets</w:t>
      </w:r>
      <w:r>
        <w:rPr>
          <w:rFonts w:ascii="Arial" w:cs="Arial" w:eastAsia="Arial" w:hAnsi="Arial"/>
          <w:sz w:val="22"/>
          <w:szCs w:val="22"/>
          <w:color w:val="auto"/>
        </w:rPr>
        <w:t>.</w:t>
      </w:r>
    </w:p>
    <w:p>
      <w:pPr>
        <w:spacing w:after="0" w:line="274"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1"/>
          <w:szCs w:val="21"/>
          <w:color w:val="auto"/>
        </w:rPr>
        <w:t>The RSUs shall be earned based on the Company’s achievement of up to two (2) Share price targets during the Performance Period. Specifically, on each Target Price Achievement Date that occurs during the Performance Period, a number of RSUs equal to fifty percent (50%) of the Target Award shall be earned for each Target Price Level that is achieved on such Target Price Achievement Date, rounded up to the nearest whole RSU.</w:t>
      </w:r>
    </w:p>
    <w:p>
      <w:pPr>
        <w:spacing w:after="0" w:line="229" w:lineRule="exact"/>
        <w:rPr>
          <w:sz w:val="20"/>
          <w:szCs w:val="20"/>
          <w:color w:val="auto"/>
        </w:rPr>
      </w:pPr>
    </w:p>
    <w:p>
      <w:pPr>
        <w:jc w:val="both"/>
        <w:ind w:left="200" w:right="219"/>
        <w:spacing w:after="0" w:line="288" w:lineRule="auto"/>
        <w:rPr>
          <w:sz w:val="20"/>
          <w:szCs w:val="20"/>
          <w:color w:val="auto"/>
        </w:rPr>
      </w:pPr>
      <w:r>
        <w:rPr>
          <w:rFonts w:ascii="Arial" w:cs="Arial" w:eastAsia="Arial" w:hAnsi="Arial"/>
          <w:sz w:val="19"/>
          <w:szCs w:val="19"/>
          <w:color w:val="auto"/>
        </w:rPr>
        <w:t>If, on a given Target Price Achievement Date, more than one Target Price Level is achieved for the first time, then the number of RSUs that shall be earned on such Target Achievement Date shall be equal to the product of (i) fifty percent (50%) of the Target Award multiplied by (ii) the number of Target Price Levels that are achieved for the first time on such Target Price Achievement Date, rounded up to the nearest whole RSU. No more than one Target Price Achievement Date may occur during the Performance Period with respect to each Target Price Level. If, during the Performance Period, a Target Price Achievement Date occurs with respect to the highest Target Price Level (i.e., $109.05), then the number of RSUs that shall be earned on such Target Price Achievement Date shall be reduced, if necessary, such that the total number of RSUs that are earned during the Performance Period shall be equal to 100% of the Target Award.</w:t>
      </w:r>
    </w:p>
    <w:p>
      <w:pPr>
        <w:spacing w:after="0" w:line="213" w:lineRule="exact"/>
        <w:rPr>
          <w:sz w:val="20"/>
          <w:szCs w:val="20"/>
          <w:color w:val="auto"/>
        </w:rPr>
      </w:pPr>
    </w:p>
    <w:p>
      <w:pPr>
        <w:jc w:val="both"/>
        <w:ind w:left="200" w:right="239"/>
        <w:spacing w:after="0" w:line="263" w:lineRule="auto"/>
        <w:rPr>
          <w:sz w:val="20"/>
          <w:szCs w:val="20"/>
          <w:color w:val="auto"/>
        </w:rPr>
      </w:pPr>
      <w:r>
        <w:rPr>
          <w:rFonts w:ascii="Arial" w:cs="Arial" w:eastAsia="Arial" w:hAnsi="Arial"/>
          <w:sz w:val="22"/>
          <w:szCs w:val="22"/>
          <w:color w:val="auto"/>
        </w:rPr>
        <w:t xml:space="preserve">For the avoidance of doubt, RSUs that are earned pursuant to this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remain subject to vesting as provided in Section 2 of this Agreement.</w:t>
      </w:r>
    </w:p>
    <w:p>
      <w:pPr>
        <w:spacing w:after="0" w:line="215" w:lineRule="exact"/>
        <w:rPr>
          <w:sz w:val="20"/>
          <w:szCs w:val="20"/>
          <w:color w:val="auto"/>
        </w:rPr>
      </w:pPr>
    </w:p>
    <w:p>
      <w:pPr>
        <w:ind w:left="860" w:hanging="651"/>
        <w:spacing w:after="0"/>
        <w:tabs>
          <w:tab w:leader="none" w:pos="86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w:t>
      </w:r>
    </w:p>
    <w:p>
      <w:pPr>
        <w:spacing w:after="0" w:line="273" w:lineRule="exact"/>
        <w:rPr>
          <w:rFonts w:ascii="Arial" w:cs="Arial" w:eastAsia="Arial" w:hAnsi="Arial"/>
          <w:sz w:val="22"/>
          <w:szCs w:val="22"/>
          <w:color w:val="auto"/>
        </w:rPr>
      </w:pPr>
    </w:p>
    <w:p>
      <w:pPr>
        <w:ind w:left="200" w:right="239" w:firstLine="657"/>
        <w:spacing w:after="0" w:line="263" w:lineRule="auto"/>
        <w:tabs>
          <w:tab w:leader="none" w:pos="1496" w:val="left"/>
        </w:tabs>
        <w:numPr>
          <w:ilvl w:val="1"/>
          <w:numId w:val="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the period beginning on March 1, 2021 and ending on March 1, 2024.</w:t>
      </w:r>
    </w:p>
    <w:p>
      <w:pPr>
        <w:spacing w:after="0" w:line="228" w:lineRule="exact"/>
        <w:rPr>
          <w:rFonts w:ascii="Arial" w:cs="Arial" w:eastAsia="Arial" w:hAnsi="Arial"/>
          <w:sz w:val="22"/>
          <w:szCs w:val="22"/>
          <w:color w:val="auto"/>
        </w:rPr>
      </w:pPr>
    </w:p>
    <w:p>
      <w:pPr>
        <w:jc w:val="both"/>
        <w:ind w:left="200" w:right="219" w:firstLine="657"/>
        <w:spacing w:after="0" w:line="271" w:lineRule="auto"/>
        <w:tabs>
          <w:tab w:leader="none" w:pos="1496" w:val="left"/>
        </w:tabs>
        <w:numPr>
          <w:ilvl w:val="1"/>
          <w:numId w:val="7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Target Price Achievement Date</w:t>
      </w:r>
      <w:r>
        <w:rPr>
          <w:rFonts w:ascii="Arial" w:cs="Arial" w:eastAsia="Arial" w:hAnsi="Arial"/>
          <w:sz w:val="21"/>
          <w:szCs w:val="21"/>
          <w:color w:val="auto"/>
        </w:rPr>
        <w:t>” means, with respect to a Target Price Level, the date on which the average volume weighted average price of a Share over a consecutive twenty (20) day trading period is equal to or greater than the Target Price Level.</w:t>
      </w:r>
    </w:p>
    <w:p>
      <w:pPr>
        <w:spacing w:after="0" w:line="221" w:lineRule="exact"/>
        <w:rPr>
          <w:rFonts w:ascii="Arial" w:cs="Arial" w:eastAsia="Arial" w:hAnsi="Arial"/>
          <w:sz w:val="21"/>
          <w:szCs w:val="21"/>
          <w:color w:val="auto"/>
        </w:rPr>
      </w:pPr>
    </w:p>
    <w:p>
      <w:pPr>
        <w:ind w:left="1500" w:hanging="643"/>
        <w:spacing w:after="0"/>
        <w:tabs>
          <w:tab w:leader="none" w:pos="1500" w:val="left"/>
        </w:tabs>
        <w:numPr>
          <w:ilvl w:val="1"/>
          <w:numId w:val="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Price Level</w:t>
      </w:r>
      <w:r>
        <w:rPr>
          <w:rFonts w:ascii="Arial" w:cs="Arial" w:eastAsia="Arial" w:hAnsi="Arial"/>
          <w:sz w:val="22"/>
          <w:szCs w:val="22"/>
          <w:color w:val="auto"/>
        </w:rPr>
        <w:t>” means $100.98 and $109.05,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0" w:name="page141"/>
    <w:bookmarkEnd w:id="140"/>
    <w:p>
      <w:pPr>
        <w:jc w:val="right"/>
        <w:ind w:right="219"/>
        <w:spacing w:after="0"/>
        <w:rPr>
          <w:sz w:val="20"/>
          <w:szCs w:val="20"/>
          <w:color w:val="auto"/>
        </w:rPr>
      </w:pPr>
      <w:r>
        <w:rPr>
          <w:rFonts w:ascii="Arial" w:cs="Arial" w:eastAsia="Arial" w:hAnsi="Arial"/>
          <w:sz w:val="18"/>
          <w:szCs w:val="18"/>
          <w:color w:val="auto"/>
        </w:rPr>
        <w:t>Exhibit 21</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91"/>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 Name</w:t>
            </w:r>
          </w:p>
        </w:tc>
        <w:tc>
          <w:tcPr>
            <w:tcW w:w="42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Jurisdiction of Organization</w:t>
            </w:r>
          </w:p>
        </w:tc>
      </w:tr>
      <w:tr>
        <w:trPr>
          <w:trHeight w:val="189"/>
        </w:trPr>
        <w:tc>
          <w:tcPr>
            <w:tcW w:w="4380" w:type="dxa"/>
            <w:vAlign w:val="bottom"/>
          </w:tcPr>
          <w:p>
            <w:pPr>
              <w:spacing w:after="0" w:line="189" w:lineRule="exact"/>
              <w:rPr>
                <w:sz w:val="20"/>
                <w:szCs w:val="20"/>
                <w:color w:val="auto"/>
              </w:rPr>
            </w:pPr>
            <w:r>
              <w:rPr>
                <w:rFonts w:ascii="Arial" w:cs="Arial" w:eastAsia="Arial" w:hAnsi="Arial"/>
                <w:sz w:val="18"/>
                <w:szCs w:val="18"/>
                <w:color w:val="auto"/>
              </w:rPr>
              <w:t>300 Broadway, LLC</w:t>
            </w:r>
          </w:p>
        </w:tc>
        <w:tc>
          <w:tcPr>
            <w:tcW w:w="160" w:type="dxa"/>
            <w:vAlign w:val="bottom"/>
          </w:tcPr>
          <w:p>
            <w:pPr>
              <w:spacing w:after="0"/>
              <w:rPr>
                <w:sz w:val="16"/>
                <w:szCs w:val="16"/>
                <w:color w:val="auto"/>
              </w:rPr>
            </w:pPr>
          </w:p>
        </w:tc>
        <w:tc>
          <w:tcPr>
            <w:tcW w:w="40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300 Broadway Holdings,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300 Broadway MidCo,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300 Broadway Operations, Inc.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Attractions IP,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Country Music Television International,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GN Bond Holdings,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GOO Broadway,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GOOSPK 1604 Broadway,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New York</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GPSI, Inc.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Grand Ole Opry,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Grand Ole Opry IP,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Corporate Properties,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Creative Group,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Finance Corporation</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Hotel Operations HoldCo,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Hotel Properties, LP</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Hotels,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Operations and Attractions Holdings,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Operations DC,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Operations GP,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Operations GT,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Operations Inn at Opryland,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Operations NH,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Operations OH,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Partner,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Property DC,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Property GP, LP</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Florida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Property GT, LP</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Property GT,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Property NH,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Maryland</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Sub Holdings,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RHPA Management,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RHPAHP,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RHPAHO,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Ole Red Gatlinburg,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Tennessee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Ole Red Holdings, Inc.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Ole Red Orlando,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OLH,GP</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Tennessee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OLH Holdings,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Opry Attractions HoldCo,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Opry Entertainment Group Holdings,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Opryland Attractions,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Opryland Hospitality,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Tennessee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Park Holdings,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Springhouse Golf,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Wildhorse Saloon Entertainment Ventures,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Tennessee</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NCV Holdings,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776"/>
        </w:trPr>
        <w:tc>
          <w:tcPr>
            <w:tcW w:w="4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41" w:name="page142"/>
    <w:bookmarkEnd w:id="141"/>
    <w:p>
      <w:pPr>
        <w:jc w:val="right"/>
        <w:ind w:right="219"/>
        <w:spacing w:after="0"/>
        <w:rPr>
          <w:sz w:val="20"/>
          <w:szCs w:val="20"/>
          <w:color w:val="auto"/>
        </w:rPr>
      </w:pPr>
      <w:r>
        <w:rPr>
          <w:rFonts w:ascii="Arial" w:cs="Arial" w:eastAsia="Arial" w:hAnsi="Arial"/>
          <w:sz w:val="22"/>
          <w:szCs w:val="22"/>
          <w:b w:val="1"/>
          <w:bCs w:val="1"/>
          <w:color w:val="auto"/>
        </w:rPr>
        <w:t>Exhibit 22</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List of Parent and Subsidiary Guarantors</w:t>
      </w:r>
    </w:p>
    <w:p>
      <w:pPr>
        <w:spacing w:after="0" w:line="266" w:lineRule="exact"/>
        <w:rPr>
          <w:sz w:val="20"/>
          <w:szCs w:val="20"/>
          <w:color w:val="auto"/>
        </w:rPr>
      </w:pPr>
    </w:p>
    <w:p>
      <w:pPr>
        <w:ind w:left="200" w:right="319"/>
        <w:spacing w:after="0" w:line="302" w:lineRule="auto"/>
        <w:rPr>
          <w:sz w:val="20"/>
          <w:szCs w:val="20"/>
          <w:color w:val="auto"/>
        </w:rPr>
      </w:pPr>
      <w:r>
        <w:rPr>
          <w:rFonts w:ascii="Arial" w:cs="Arial" w:eastAsia="Arial" w:hAnsi="Arial"/>
          <w:sz w:val="19"/>
          <w:szCs w:val="19"/>
          <w:color w:val="auto"/>
        </w:rPr>
        <w:t>As of February 26, 2021, Ryman Hospitality Properties, Inc., a Delaware corporation (the “Company”), as the parent company, serves as guarantor, and each of the below listed subsidiaries of the Company serves as an issuer or guarantor, as applicable, for the Company’s (i) 5% Senior Notes due 2023, (ii) 4.75% Senior Notes due 2027 and (iii) 4.50% Senior Notes due 2029.</w:t>
      </w:r>
    </w:p>
    <w:p>
      <w:pPr>
        <w:spacing w:after="0" w:line="154"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0" w:type="dxa"/>
            <w:vAlign w:val="bottom"/>
          </w:tcPr>
          <w:p>
            <w:pPr>
              <w:spacing w:after="0"/>
              <w:rPr>
                <w:sz w:val="21"/>
                <w:szCs w:val="21"/>
                <w:color w:val="auto"/>
              </w:rPr>
            </w:pPr>
          </w:p>
        </w:tc>
        <w:tc>
          <w:tcPr>
            <w:tcW w:w="2420" w:type="dxa"/>
            <w:vAlign w:val="bottom"/>
          </w:tcPr>
          <w:p>
            <w:pPr>
              <w:spacing w:after="0"/>
              <w:rPr>
                <w:sz w:val="20"/>
                <w:szCs w:val="20"/>
                <w:color w:val="auto"/>
              </w:rPr>
            </w:pPr>
            <w:r>
              <w:rPr>
                <w:rFonts w:ascii="Arial" w:cs="Arial" w:eastAsia="Arial" w:hAnsi="Arial"/>
                <w:sz w:val="22"/>
                <w:szCs w:val="22"/>
                <w:b w:val="1"/>
                <w:bCs w:val="1"/>
                <w:color w:val="auto"/>
                <w:w w:val="88"/>
              </w:rPr>
              <w:t>Exact Name of Subsidiary</w:t>
            </w:r>
          </w:p>
        </w:tc>
        <w:tc>
          <w:tcPr>
            <w:tcW w:w="72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22"/>
                <w:szCs w:val="22"/>
                <w:b w:val="1"/>
                <w:bCs w:val="1"/>
                <w:color w:val="auto"/>
                <w:w w:val="88"/>
              </w:rPr>
              <w:t>Jurisdiction of Organization</w:t>
            </w:r>
          </w:p>
        </w:tc>
        <w:tc>
          <w:tcPr>
            <w:tcW w:w="540" w:type="dxa"/>
            <w:vAlign w:val="bottom"/>
          </w:tcPr>
          <w:p>
            <w:pPr>
              <w:spacing w:after="0"/>
              <w:rPr>
                <w:sz w:val="21"/>
                <w:szCs w:val="21"/>
                <w:color w:val="auto"/>
              </w:rPr>
            </w:pPr>
          </w:p>
        </w:tc>
        <w:tc>
          <w:tcPr>
            <w:tcW w:w="2200" w:type="dxa"/>
            <w:vAlign w:val="bottom"/>
            <w:gridSpan w:val="3"/>
          </w:tcPr>
          <w:p>
            <w:pPr>
              <w:ind w:left="560"/>
              <w:spacing w:after="0"/>
              <w:rPr>
                <w:sz w:val="20"/>
                <w:szCs w:val="20"/>
                <w:color w:val="auto"/>
              </w:rPr>
            </w:pPr>
            <w:r>
              <w:rPr>
                <w:rFonts w:ascii="Arial" w:cs="Arial" w:eastAsia="Arial" w:hAnsi="Arial"/>
                <w:sz w:val="22"/>
                <w:szCs w:val="22"/>
                <w:b w:val="1"/>
                <w:bCs w:val="1"/>
                <w:color w:val="auto"/>
                <w:w w:val="99"/>
              </w:rPr>
              <w:t>Type of Obligor</w:t>
            </w:r>
          </w:p>
        </w:tc>
      </w:tr>
      <w:tr>
        <w:trPr>
          <w:trHeight w:val="20"/>
        </w:trPr>
        <w:tc>
          <w:tcPr>
            <w:tcW w:w="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9"/>
        </w:trPr>
        <w:tc>
          <w:tcPr>
            <w:tcW w:w="8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22"/>
                <w:szCs w:val="22"/>
                <w:color w:val="auto"/>
                <w:w w:val="96"/>
              </w:rPr>
              <w:t>RHP Hotel Properties, LP</w:t>
            </w:r>
          </w:p>
        </w:tc>
        <w:tc>
          <w:tcPr>
            <w:tcW w:w="72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Arial" w:cs="Arial" w:eastAsia="Arial" w:hAnsi="Arial"/>
                <w:sz w:val="22"/>
                <w:szCs w:val="22"/>
                <w:color w:val="auto"/>
              </w:rPr>
              <w:t>Delaware</w:t>
            </w:r>
          </w:p>
        </w:tc>
        <w:tc>
          <w:tcPr>
            <w:tcW w:w="540" w:type="dxa"/>
            <w:vAlign w:val="bottom"/>
          </w:tcPr>
          <w:p>
            <w:pPr>
              <w:spacing w:after="0"/>
              <w:rPr>
                <w:sz w:val="23"/>
                <w:szCs w:val="23"/>
                <w:color w:val="auto"/>
              </w:rPr>
            </w:pP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Issuer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Finance Corporation</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Issuer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Opryland Hospitality,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Tennessee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Hotels,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6"/>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Partner,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GP, LP</w:t>
            </w:r>
          </w:p>
        </w:tc>
        <w:tc>
          <w:tcPr>
            <w:tcW w:w="3160" w:type="dxa"/>
            <w:vAlign w:val="bottom"/>
            <w:gridSpan w:val="2"/>
          </w:tcPr>
          <w:p>
            <w:pPr>
              <w:spacing w:after="0"/>
              <w:rPr>
                <w:sz w:val="20"/>
                <w:szCs w:val="20"/>
                <w:color w:val="auto"/>
              </w:rPr>
            </w:pPr>
            <w:r>
              <w:rPr>
                <w:rFonts w:ascii="Arial" w:cs="Arial" w:eastAsia="Arial" w:hAnsi="Arial"/>
                <w:sz w:val="22"/>
                <w:szCs w:val="22"/>
                <w:color w:val="auto"/>
              </w:rPr>
              <w:t>Florida</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GT,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GT, LP</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74"/>
        </w:trPr>
        <w:tc>
          <w:tcPr>
            <w:tcW w:w="80" w:type="dxa"/>
            <w:vAlign w:val="bottom"/>
          </w:tcPr>
          <w:p>
            <w:pPr>
              <w:spacing w:after="0"/>
              <w:rPr>
                <w:sz w:val="23"/>
                <w:szCs w:val="23"/>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NH,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Maryland</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807"/>
        </w:trPr>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right="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Registration Statement (Form S-4 No. 333-238530-09) pertaining to the $700,000,000 4.75% Senior Notes Due 2027 of Ryman Hospitality Properties, Inc.;</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Registration Statement (Form S-4 No. 333-206241-03) pertaining to the $400,000,000 5.00% Senior Notes Due 2023 of Ryman Hospitality Properties, Inc.;</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Registration Statement (Form S-3 No. 333-235419) pertaining to the Shelf Registration for common stock of Ryman Hospitality Properties, Inc.;</w:t>
      </w:r>
    </w:p>
    <w:p>
      <w:pPr>
        <w:spacing w:after="0" w:line="170" w:lineRule="exact"/>
        <w:rPr>
          <w:rFonts w:ascii="Arial" w:cs="Arial" w:eastAsia="Arial" w:hAnsi="Arial"/>
          <w:sz w:val="18"/>
          <w:szCs w:val="18"/>
          <w:color w:val="auto"/>
        </w:rPr>
      </w:pPr>
    </w:p>
    <w:p>
      <w:pPr>
        <w:ind w:left="660" w:right="660" w:hanging="328"/>
        <w:spacing w:after="0" w:line="277" w:lineRule="auto"/>
        <w:tabs>
          <w:tab w:leader="none" w:pos="681"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Registration Statement (Form S-8 No. 333-211214) pertaining to the Ryman Hospitality Properties, Inc. 2016 Omnibus Incentive Plan;</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81"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Registration Statement (Form S-8 No. 333-37051) pertaining to the Amended and Restated Gaylord Entertainment Company 401(K) Savings Plan;</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of our reports dated February 26, 2021 with respect to the consolidated financial statements and schedules of Ryman Hospitality Properties, Inc. and subsidiaries and the effectiveness of internal control over financial reporting of Ryman Hospitality Properties, Inc. and subsidiaries, included in this Annual Report (Form 10-K) of Ryman Hospitality Properties, Inc. for the year ended December 31, 2020.</w:t>
      </w:r>
    </w:p>
    <w:p>
      <w:pPr>
        <w:spacing w:after="0" w:line="20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Colin V. Reed, certify that:</w:t>
      </w:r>
    </w:p>
    <w:p>
      <w:pPr>
        <w:spacing w:after="0" w:line="211" w:lineRule="exact"/>
        <w:rPr>
          <w:sz w:val="20"/>
          <w:szCs w:val="20"/>
          <w:color w:val="auto"/>
        </w:rPr>
      </w:pPr>
    </w:p>
    <w:p>
      <w:pPr>
        <w:ind w:left="820" w:hanging="488"/>
        <w:spacing w:after="0"/>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Ryman Hospitality Properties, Inc.;</w:t>
      </w:r>
    </w:p>
    <w:p>
      <w:pPr>
        <w:spacing w:after="0" w:line="225" w:lineRule="exact"/>
        <w:rPr>
          <w:rFonts w:ascii="Arial" w:cs="Arial" w:eastAsia="Arial" w:hAnsi="Arial"/>
          <w:sz w:val="18"/>
          <w:szCs w:val="18"/>
          <w:color w:val="auto"/>
        </w:rPr>
      </w:pPr>
    </w:p>
    <w:p>
      <w:pPr>
        <w:ind w:left="820" w:right="40" w:hanging="488"/>
        <w:spacing w:after="0" w:line="263" w:lineRule="auto"/>
        <w:tabs>
          <w:tab w:leader="none" w:pos="823"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20" w:right="120" w:hanging="488"/>
        <w:spacing w:after="0" w:line="263" w:lineRule="auto"/>
        <w:tabs>
          <w:tab w:leader="none" w:pos="823"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820" w:right="460" w:hanging="488"/>
        <w:spacing w:after="0" w:line="286" w:lineRule="auto"/>
        <w:tabs>
          <w:tab w:leader="none" w:pos="819"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440" w:right="40" w:hanging="356"/>
        <w:spacing w:after="0" w:line="259" w:lineRule="auto"/>
        <w:tabs>
          <w:tab w:leader="none" w:pos="1442"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440" w:right="80" w:hanging="356"/>
        <w:spacing w:after="0" w:line="259" w:lineRule="auto"/>
        <w:tabs>
          <w:tab w:leader="none" w:pos="1452"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440" w:right="120" w:hanging="356"/>
        <w:spacing w:after="0" w:line="263" w:lineRule="auto"/>
        <w:tabs>
          <w:tab w:leader="none" w:pos="1442"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440" w:right="20" w:hanging="356"/>
        <w:spacing w:after="0" w:line="259" w:lineRule="auto"/>
        <w:tabs>
          <w:tab w:leader="none" w:pos="1452"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820" w:right="200" w:hanging="488"/>
        <w:spacing w:after="0" w:line="263" w:lineRule="auto"/>
        <w:tabs>
          <w:tab w:leader="none" w:pos="81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440" w:right="300" w:hanging="356"/>
        <w:spacing w:after="0" w:line="263" w:lineRule="auto"/>
        <w:tabs>
          <w:tab w:leader="none" w:pos="1432"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40" w:right="160" w:hanging="356"/>
        <w:spacing w:after="0" w:line="277" w:lineRule="auto"/>
        <w:tabs>
          <w:tab w:leader="none" w:pos="1397"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February 26, 2021</w:t>
            </w:r>
          </w:p>
        </w:tc>
        <w:tc>
          <w:tcPr>
            <w:tcW w:w="6540" w:type="dxa"/>
            <w:vAlign w:val="bottom"/>
            <w:gridSpan w:val="2"/>
          </w:tcPr>
          <w:p>
            <w:pPr>
              <w:ind w:left="1600"/>
              <w:spacing w:after="0"/>
              <w:rPr>
                <w:sz w:val="20"/>
                <w:szCs w:val="20"/>
                <w:color w:val="auto"/>
              </w:rPr>
            </w:pPr>
            <w:r>
              <w:rPr>
                <w:rFonts w:ascii="Arial" w:cs="Arial" w:eastAsia="Arial" w:hAnsi="Arial"/>
                <w:sz w:val="18"/>
                <w:szCs w:val="18"/>
                <w:color w:val="auto"/>
              </w:rPr>
              <w:t>By: /s/ Colin V. Reed</w:t>
            </w:r>
          </w:p>
        </w:tc>
      </w:tr>
      <w:tr>
        <w:trPr>
          <w:trHeight w:val="195"/>
        </w:trPr>
        <w:tc>
          <w:tcPr>
            <w:tcW w:w="3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Colin V. Reed</w:t>
            </w:r>
          </w:p>
        </w:tc>
      </w:tr>
      <w:tr>
        <w:trPr>
          <w:trHeight w:val="216"/>
        </w:trPr>
        <w:tc>
          <w:tcPr>
            <w:tcW w:w="3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Chairman of the Board of Directors and</w:t>
            </w:r>
          </w:p>
        </w:tc>
      </w:tr>
      <w:tr>
        <w:trPr>
          <w:trHeight w:val="230"/>
        </w:trPr>
        <w:tc>
          <w:tcPr>
            <w:tcW w:w="3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76"/>
        </w:trPr>
        <w:tc>
          <w:tcPr>
            <w:tcW w:w="3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Mark Fioravanti, certify that:</w:t>
      </w:r>
    </w:p>
    <w:p>
      <w:pPr>
        <w:spacing w:after="0" w:line="211" w:lineRule="exact"/>
        <w:rPr>
          <w:sz w:val="20"/>
          <w:szCs w:val="20"/>
          <w:color w:val="auto"/>
        </w:rPr>
      </w:pPr>
    </w:p>
    <w:p>
      <w:pPr>
        <w:ind w:left="820" w:hanging="488"/>
        <w:spacing w:after="0"/>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Ryman Hospitality Properties, Inc.;</w:t>
      </w:r>
    </w:p>
    <w:p>
      <w:pPr>
        <w:spacing w:after="0" w:line="225" w:lineRule="exact"/>
        <w:rPr>
          <w:rFonts w:ascii="Arial" w:cs="Arial" w:eastAsia="Arial" w:hAnsi="Arial"/>
          <w:sz w:val="18"/>
          <w:szCs w:val="18"/>
          <w:color w:val="auto"/>
        </w:rPr>
      </w:pPr>
    </w:p>
    <w:p>
      <w:pPr>
        <w:ind w:left="820" w:right="40" w:hanging="488"/>
        <w:spacing w:after="0" w:line="263" w:lineRule="auto"/>
        <w:tabs>
          <w:tab w:leader="none" w:pos="823"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20" w:right="120" w:hanging="488"/>
        <w:spacing w:after="0" w:line="263" w:lineRule="auto"/>
        <w:tabs>
          <w:tab w:leader="none" w:pos="823"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820" w:right="460" w:hanging="488"/>
        <w:spacing w:after="0" w:line="286" w:lineRule="auto"/>
        <w:tabs>
          <w:tab w:leader="none" w:pos="819"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440" w:right="40" w:hanging="356"/>
        <w:spacing w:after="0" w:line="259" w:lineRule="auto"/>
        <w:tabs>
          <w:tab w:leader="none" w:pos="1442"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440" w:right="80" w:hanging="356"/>
        <w:spacing w:after="0" w:line="259" w:lineRule="auto"/>
        <w:tabs>
          <w:tab w:leader="none" w:pos="1452"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440" w:right="120" w:hanging="356"/>
        <w:spacing w:after="0" w:line="263" w:lineRule="auto"/>
        <w:tabs>
          <w:tab w:leader="none" w:pos="1442"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440" w:right="20" w:hanging="356"/>
        <w:spacing w:after="0" w:line="259" w:lineRule="auto"/>
        <w:tabs>
          <w:tab w:leader="none" w:pos="1452"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820" w:right="200" w:hanging="488"/>
        <w:spacing w:after="0" w:line="263" w:lineRule="auto"/>
        <w:tabs>
          <w:tab w:leader="none" w:pos="81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440" w:right="300" w:hanging="356"/>
        <w:spacing w:after="0" w:line="263" w:lineRule="auto"/>
        <w:tabs>
          <w:tab w:leader="none" w:pos="1432"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40" w:right="160" w:hanging="356"/>
        <w:spacing w:after="0" w:line="277" w:lineRule="auto"/>
        <w:tabs>
          <w:tab w:leader="none" w:pos="1397"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February 26, 2021</w:t>
            </w:r>
          </w:p>
        </w:tc>
        <w:tc>
          <w:tcPr>
            <w:tcW w:w="6540" w:type="dxa"/>
            <w:vAlign w:val="bottom"/>
            <w:gridSpan w:val="2"/>
          </w:tcPr>
          <w:p>
            <w:pPr>
              <w:ind w:left="1600"/>
              <w:spacing w:after="0"/>
              <w:rPr>
                <w:sz w:val="20"/>
                <w:szCs w:val="20"/>
                <w:color w:val="auto"/>
              </w:rPr>
            </w:pPr>
            <w:r>
              <w:rPr>
                <w:rFonts w:ascii="Arial" w:cs="Arial" w:eastAsia="Arial" w:hAnsi="Arial"/>
                <w:sz w:val="18"/>
                <w:szCs w:val="18"/>
                <w:color w:val="auto"/>
              </w:rPr>
              <w:t>By: /s/ Mark Fioravanti</w:t>
            </w:r>
          </w:p>
        </w:tc>
      </w:tr>
      <w:tr>
        <w:trPr>
          <w:trHeight w:val="195"/>
        </w:trPr>
        <w:tc>
          <w:tcPr>
            <w:tcW w:w="3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Fioravanti</w:t>
            </w:r>
          </w:p>
        </w:tc>
      </w:tr>
      <w:tr>
        <w:trPr>
          <w:trHeight w:val="230"/>
        </w:trPr>
        <w:tc>
          <w:tcPr>
            <w:tcW w:w="3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President and Chief Financial Officer</w:t>
            </w:r>
          </w:p>
        </w:tc>
      </w:tr>
      <w:tr>
        <w:trPr>
          <w:trHeight w:val="776"/>
        </w:trPr>
        <w:tc>
          <w:tcPr>
            <w:tcW w:w="3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Annual Report of Ryman Hospitality Properties, Inc. (the "Company") on Form 10-K for the period ended December 31, 2020, as filed with the Securities and Exchange Commission on the date hereof (the "Report"), I, Colin V. Reed, Chairman of the Board of Directors and Chief Executive Officer of the Company, certify, pursuant to 18 U.S.C. Section 1350, as adopted pursuant to Section 906 of the Sarbanes-Oxley Act of 2002, to the best of my knowledge, that:</w:t>
      </w:r>
    </w:p>
    <w:p>
      <w:pPr>
        <w:spacing w:after="0" w:line="187" w:lineRule="exact"/>
        <w:rPr>
          <w:sz w:val="20"/>
          <w:szCs w:val="20"/>
          <w:color w:val="auto"/>
        </w:rPr>
      </w:pPr>
    </w:p>
    <w:p>
      <w:pPr>
        <w:ind w:left="860" w:hanging="528"/>
        <w:spacing w:after="0"/>
        <w:tabs>
          <w:tab w:leader="none" w:pos="8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right="660" w:hanging="548"/>
        <w:spacing w:after="0" w:line="277" w:lineRule="auto"/>
        <w:tabs>
          <w:tab w:leader="none" w:pos="85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Colin V. 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Ryman Hospitality Properties, Inc. (the "Company") on Form 10-K for the period ended December 31, 2020, as filed with the Securities and Exchange Commission on the date hereof (the "Report"), I, Mark Fioravanti, President and Chief Financial Officer of the Company, certify, pursuant to 18 U.S.C. Section 1350, as adopted pursuant to Section 906 of the Sarbanes-Oxley Act of 2002, to the best of my knowledge, that:</w:t>
      </w:r>
    </w:p>
    <w:p>
      <w:pPr>
        <w:spacing w:after="0" w:line="187" w:lineRule="exact"/>
        <w:rPr>
          <w:sz w:val="20"/>
          <w:szCs w:val="20"/>
          <w:color w:val="auto"/>
        </w:rPr>
      </w:pPr>
    </w:p>
    <w:p>
      <w:pPr>
        <w:ind w:left="860" w:hanging="528"/>
        <w:spacing w:after="0"/>
        <w:tabs>
          <w:tab w:leader="none" w:pos="8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right="660" w:hanging="548"/>
        <w:spacing w:after="0" w:line="277" w:lineRule="auto"/>
        <w:tabs>
          <w:tab w:leader="none" w:pos="85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Fioravanti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1."/>
      <w:numFmt w:val="decimal"/>
      <w:start w:val="19"/>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decimal"/>
      <w:start w:val="1"/>
    </w:lvl>
  </w:abstractNum>
  <w:abstractNum w:abstractNumId="33">
    <w:nsid w:val="275AC794"/>
    <w:multiLevelType w:val="hybridMultilevel"/>
    <w:lvl w:ilvl="0">
      <w:lvlJc w:val="left"/>
      <w:lvlText w:val="(%1)"/>
      <w:numFmt w:val="decimal"/>
      <w:start w:val="1"/>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endash "/>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decimal"/>
      <w:start w:val="2"/>
    </w:lvl>
  </w:abstractNum>
  <w:abstractNum w:abstractNumId="54">
    <w:nsid w:val="4AD084E9"/>
    <w:multiLevelType w:val="hybridMultilevel"/>
    <w:lvl w:ilvl="0">
      <w:lvlJc w:val="left"/>
      <w:lvlText w:val="%1."/>
      <w:numFmt w:val="decimal"/>
      <w:start w:val="3"/>
    </w:lvl>
  </w:abstractNum>
  <w:abstractNum w:abstractNumId="55">
    <w:nsid w:val="1F48EAA1"/>
    <w:multiLevelType w:val="hybridMultilevel"/>
    <w:lvl w:ilvl="0">
      <w:lvlJc w:val="left"/>
      <w:lvlText w:val="(%1)"/>
      <w:numFmt w:val="lowerLetter"/>
      <w:start w:val="1"/>
    </w:lvl>
  </w:abstractNum>
  <w:abstractNum w:abstractNumId="56">
    <w:nsid w:val="1381823A"/>
    <w:multiLevelType w:val="hybridMultilevel"/>
    <w:lvl w:ilvl="0">
      <w:lvlJc w:val="left"/>
      <w:lvlText w:val="%1."/>
      <w:numFmt w:val="decimal"/>
      <w:start w:val="4"/>
    </w:lvl>
  </w:abstractNum>
  <w:abstractNum w:abstractNumId="57">
    <w:nsid w:val="5DB70AE5"/>
    <w:multiLevelType w:val="hybridMultilevel"/>
    <w:lvl w:ilvl="0">
      <w:lvlJc w:val="left"/>
      <w:lvlText w:val="(%1)"/>
      <w:numFmt w:val="lowerLetter"/>
      <w:start w:val="5"/>
    </w:lvl>
  </w:abstractNum>
  <w:abstractNum w:abstractNumId="58">
    <w:nsid w:val="100F8FCA"/>
    <w:multiLevelType w:val="hybridMultilevel"/>
    <w:lvl w:ilvl="0">
      <w:lvlJc w:val="left"/>
      <w:lvlText w:val="%1."/>
      <w:numFmt w:val="decimal"/>
      <w:start w:val="5"/>
    </w:lvl>
  </w:abstractNum>
  <w:abstractNum w:abstractNumId="59">
    <w:nsid w:val="6590700B"/>
    <w:multiLevelType w:val="hybridMultilevel"/>
    <w:lvl w:ilvl="0">
      <w:lvlJc w:val="left"/>
      <w:lvlText w:val="(%1)"/>
      <w:numFmt w:val="lowerLetter"/>
      <w:start w:val="13"/>
    </w:lvl>
  </w:abstractNum>
  <w:abstractNum w:abstractNumId="60">
    <w:nsid w:val="15014ACB"/>
    <w:multiLevelType w:val="hybridMultilevel"/>
    <w:lvl w:ilvl="0">
      <w:lvlJc w:val="left"/>
      <w:lvlText w:val="%1."/>
      <w:numFmt w:val="decimal"/>
      <w:start w:val="6"/>
    </w:lvl>
  </w:abstractNum>
  <w:abstractNum w:abstractNumId="61">
    <w:nsid w:val="5F5E7FD0"/>
    <w:multiLevelType w:val="hybridMultilevel"/>
    <w:lvl w:ilvl="0">
      <w:lvlJc w:val="left"/>
      <w:lvlText w:val="%1."/>
      <w:numFmt w:val="upperLetter"/>
      <w:start w:val="9"/>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1."/>
      <w:numFmt w:val="upperLetter"/>
      <w:start w:val="61"/>
    </w:lvl>
  </w:abstractNum>
  <w:abstractNum w:abstractNumId="64">
    <w:nsid w:val="6B94764"/>
    <w:multiLevelType w:val="hybridMultilevel"/>
    <w:lvl w:ilvl="0">
      <w:lvlJc w:val="left"/>
      <w:lvlText w:val="%1."/>
      <w:numFmt w:val="decimal"/>
      <w:start w:val="1"/>
    </w:lvl>
    <w:lvl w:ilvl="1">
      <w:lvlJc w:val="left"/>
      <w:lvlText w:val="(%2)"/>
      <w:numFmt w:val="lowerLetter"/>
      <w:start w:val="1"/>
    </w:lvl>
  </w:abstractNum>
  <w:abstractNum w:abstractNumId="65">
    <w:nsid w:val="42C296BD"/>
    <w:multiLevelType w:val="hybridMultilevel"/>
    <w:lvl w:ilvl="0">
      <w:lvlJc w:val="left"/>
      <w:lvlText w:val="%1"/>
      <w:numFmt w:val="decimal"/>
      <w:start w:val="1"/>
    </w:lvl>
    <w:lvl w:ilvl="1">
      <w:lvlJc w:val="left"/>
      <w:lvlText w:val="(%2)"/>
      <w:numFmt w:val="lowerLetter"/>
      <w:start w:val="2"/>
    </w:lvl>
  </w:abstractNum>
  <w:abstractNum w:abstractNumId="66">
    <w:nsid w:val="168E121F"/>
    <w:multiLevelType w:val="hybridMultilevel"/>
    <w:lvl w:ilvl="0">
      <w:lvlJc w:val="left"/>
      <w:lvlText w:val="%1."/>
      <w:numFmt w:val="decimal"/>
      <w:start w:val="3"/>
    </w:lvl>
    <w:lvl w:ilvl="1">
      <w:lvlJc w:val="left"/>
      <w:lvlText w:val="%2"/>
      <w:numFmt w:val="lowerLetter"/>
      <w:start w:val="1"/>
    </w:lvl>
  </w:abstractNum>
  <w:abstractNum w:abstractNumId="67">
    <w:nsid w:val="1EBA5D23"/>
    <w:multiLevelType w:val="hybridMultilevel"/>
    <w:lvl w:ilvl="0">
      <w:lvlJc w:val="left"/>
      <w:lvlText w:val="%1."/>
      <w:numFmt w:val="decimal"/>
      <w:start w:val="4"/>
    </w:lvl>
  </w:abstractNum>
  <w:abstractNum w:abstractNumId="68">
    <w:nsid w:val="661E3F1E"/>
    <w:multiLevelType w:val="hybridMultilevel"/>
    <w:lvl w:ilvl="0">
      <w:lvlJc w:val="left"/>
      <w:lvlText w:val="%1."/>
      <w:numFmt w:val="decimal"/>
      <w:start w:val="8"/>
    </w:lvl>
    <w:lvl w:ilvl="1">
      <w:lvlJc w:val="left"/>
      <w:lvlText w:val="(%2)"/>
      <w:numFmt w:val="lowerLetter"/>
      <w:start w:val="1"/>
    </w:lvl>
  </w:abstractNum>
  <w:abstractNum w:abstractNumId="69">
    <w:nsid w:val="5DC79EA8"/>
    <w:multiLevelType w:val="hybridMultilevel"/>
    <w:lvl w:ilvl="0">
      <w:lvlJc w:val="left"/>
      <w:lvlText w:val="%1."/>
      <w:numFmt w:val="decimal"/>
      <w:start w:val="11"/>
    </w:lvl>
  </w:abstractNum>
  <w:abstractNum w:abstractNumId="70">
    <w:nsid w:val="540A471C"/>
    <w:multiLevelType w:val="hybridMultilevel"/>
    <w:lvl w:ilvl="0">
      <w:lvlJc w:val="left"/>
      <w:lvlText w:val="%1."/>
      <w:numFmt w:val="decimal"/>
      <w:start w:val="13"/>
    </w:lvl>
  </w:abstractNum>
  <w:abstractNum w:abstractNumId="71">
    <w:nsid w:val="7BD3EE7B"/>
    <w:multiLevelType w:val="hybridMultilevel"/>
    <w:lvl w:ilvl="0">
      <w:lvlJc w:val="left"/>
      <w:lvlText w:val="%1."/>
      <w:numFmt w:val="decimal"/>
      <w:start w:val="1"/>
    </w:lvl>
  </w:abstractNum>
  <w:abstractNum w:abstractNumId="72">
    <w:nsid w:val="51D9C564"/>
    <w:multiLevelType w:val="hybridMultilevel"/>
    <w:lvl w:ilvl="0">
      <w:lvlJc w:val="left"/>
      <w:lvlText w:val="%1."/>
      <w:numFmt w:val="decimal"/>
      <w:start w:val="2"/>
    </w:lvl>
    <w:lvl w:ilvl="1">
      <w:lvlJc w:val="left"/>
      <w:lvlText w:val="(%2)"/>
      <w:numFmt w:val="lowerLetter"/>
      <w:start w:val="1"/>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3" Type="http://schemas.openxmlformats.org/officeDocument/2006/relationships/image" Target="media/image83.png"/><Relationship Id="rId134" Type="http://schemas.openxmlformats.org/officeDocument/2006/relationships/image" Target="media/image84.png"/><Relationship Id="rId142" Type="http://schemas.openxmlformats.org/officeDocument/2006/relationships/image" Target="media/image85.png"/><Relationship Id="rId143" Type="http://schemas.openxmlformats.org/officeDocument/2006/relationships/image" Target="media/image86.png"/><Relationship Id="rId144" Type="http://schemas.openxmlformats.org/officeDocument/2006/relationships/image" Target="media/image87.png"/><Relationship Id="rId145" Type="http://schemas.openxmlformats.org/officeDocument/2006/relationships/image" Target="media/image88.png"/><Relationship Id="rId146" Type="http://schemas.openxmlformats.org/officeDocument/2006/relationships/image" Target="media/image89.png"/><Relationship Id="rId147" Type="http://schemas.openxmlformats.org/officeDocument/2006/relationships/image" Target="media/image90.png"/><Relationship Id="rId148" Type="http://schemas.openxmlformats.org/officeDocument/2006/relationships/image" Target="media/image91.png"/><Relationship Id="rId149" Type="http://schemas.openxmlformats.org/officeDocument/2006/relationships/image" Target="media/image92.png"/><Relationship Id="rId150" Type="http://schemas.openxmlformats.org/officeDocument/2006/relationships/image" Target="media/image93.png"/><Relationship Id="rId151" Type="http://schemas.openxmlformats.org/officeDocument/2006/relationships/image" Target="media/image94.png"/><Relationship Id="rId152" Type="http://schemas.openxmlformats.org/officeDocument/2006/relationships/image" Target="media/image95.png"/><Relationship Id="rId153" Type="http://schemas.openxmlformats.org/officeDocument/2006/relationships/image" Target="media/image96.png"/><Relationship Id="rId154" Type="http://schemas.openxmlformats.org/officeDocument/2006/relationships/image" Target="media/image97.png"/><Relationship Id="rId155" Type="http://schemas.openxmlformats.org/officeDocument/2006/relationships/image" Target="media/image98.png"/><Relationship Id="rId156" Type="http://schemas.openxmlformats.org/officeDocument/2006/relationships/image" Target="media/image99.png"/><Relationship Id="rId157" Type="http://schemas.openxmlformats.org/officeDocument/2006/relationships/image" Target="media/image100.png"/><Relationship Id="rId158" Type="http://schemas.openxmlformats.org/officeDocument/2006/relationships/image" Target="media/image101.png"/><Relationship Id="rId159" Type="http://schemas.openxmlformats.org/officeDocument/2006/relationships/image" Target="media/image102.png"/><Relationship Id="rId160" Type="http://schemas.openxmlformats.org/officeDocument/2006/relationships/image" Target="media/image103.png"/><Relationship Id="rId161" Type="http://schemas.openxmlformats.org/officeDocument/2006/relationships/image" Target="media/image104.png"/><Relationship Id="rId162" Type="http://schemas.openxmlformats.org/officeDocument/2006/relationships/image" Target="media/image105.png"/><Relationship Id="rId163" Type="http://schemas.openxmlformats.org/officeDocument/2006/relationships/image" Target="media/image106.png"/><Relationship Id="rId164" Type="http://schemas.openxmlformats.org/officeDocument/2006/relationships/image" Target="media/image107.png"/><Relationship Id="rId165" Type="http://schemas.openxmlformats.org/officeDocument/2006/relationships/image" Target="media/image108.png"/><Relationship Id="rId166" Type="http://schemas.openxmlformats.org/officeDocument/2006/relationships/image" Target="media/image109.png"/><Relationship Id="rId167" Type="http://schemas.openxmlformats.org/officeDocument/2006/relationships/image" Target="media/image110.png"/><Relationship Id="rId168" Type="http://schemas.openxmlformats.org/officeDocument/2006/relationships/image" Target="media/image111.png"/><Relationship Id="rId169" Type="http://schemas.openxmlformats.org/officeDocument/2006/relationships/image" Target="media/image112.png"/><Relationship Id="rId170" Type="http://schemas.openxmlformats.org/officeDocument/2006/relationships/image" Target="media/image113.png"/><Relationship Id="rId171" Type="http://schemas.openxmlformats.org/officeDocument/2006/relationships/image" Target="media/image114.png"/><Relationship Id="rId172" Type="http://schemas.openxmlformats.org/officeDocument/2006/relationships/image" Target="media/image115.png"/><Relationship Id="rId173" Type="http://schemas.openxmlformats.org/officeDocument/2006/relationships/image" Target="media/image116.png"/><Relationship Id="rId174" Type="http://schemas.openxmlformats.org/officeDocument/2006/relationships/image" Target="media/image117.png"/><Relationship Id="rId175"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178" Type="http://schemas.openxmlformats.org/officeDocument/2006/relationships/image" Target="media/image121.png"/><Relationship Id="rId179" Type="http://schemas.openxmlformats.org/officeDocument/2006/relationships/image" Target="media/image122.png"/><Relationship Id="rId180" Type="http://schemas.openxmlformats.org/officeDocument/2006/relationships/image" Target="media/image123.png"/><Relationship Id="rId181" Type="http://schemas.openxmlformats.org/officeDocument/2006/relationships/image" Target="media/image124.png"/><Relationship Id="rId182" Type="http://schemas.openxmlformats.org/officeDocument/2006/relationships/image" Target="media/image125.png"/><Relationship Id="rId183" Type="http://schemas.openxmlformats.org/officeDocument/2006/relationships/image" Target="media/image126.png"/><Relationship Id="rId184" Type="http://schemas.openxmlformats.org/officeDocument/2006/relationships/image" Target="media/image127.png"/><Relationship Id="rId185" Type="http://schemas.openxmlformats.org/officeDocument/2006/relationships/image" Target="media/image128.png"/><Relationship Id="rId186" Type="http://schemas.openxmlformats.org/officeDocument/2006/relationships/image" Target="media/image129.png"/><Relationship Id="rId187" Type="http://schemas.openxmlformats.org/officeDocument/2006/relationships/image" Target="media/image130.png"/><Relationship Id="rId188" Type="http://schemas.openxmlformats.org/officeDocument/2006/relationships/image" Target="media/image131.png"/><Relationship Id="rId189" Type="http://schemas.openxmlformats.org/officeDocument/2006/relationships/image" Target="media/image132.png"/><Relationship Id="rId190" Type="http://schemas.openxmlformats.org/officeDocument/2006/relationships/image" Target="media/image133.png"/><Relationship Id="rId191"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196" Type="http://schemas.openxmlformats.org/officeDocument/2006/relationships/image" Target="media/image139.png"/><Relationship Id="rId197" Type="http://schemas.openxmlformats.org/officeDocument/2006/relationships/image" Target="media/image140.png"/><Relationship Id="rId198" Type="http://schemas.openxmlformats.org/officeDocument/2006/relationships/image" Target="media/image141.png"/><Relationship Id="rId199" Type="http://schemas.openxmlformats.org/officeDocument/2006/relationships/image" Target="media/image142.png"/><Relationship Id="rId200" Type="http://schemas.openxmlformats.org/officeDocument/2006/relationships/image" Target="media/image143.png"/><Relationship Id="rId201" Type="http://schemas.openxmlformats.org/officeDocument/2006/relationships/image" Target="media/image144.png"/><Relationship Id="rId202" Type="http://schemas.openxmlformats.org/officeDocument/2006/relationships/image" Target="media/image145.png"/><Relationship Id="rId203" Type="http://schemas.openxmlformats.org/officeDocument/2006/relationships/image" Target="media/image146.png"/><Relationship Id="rId204" Type="http://schemas.openxmlformats.org/officeDocument/2006/relationships/image" Target="media/image147.png"/><Relationship Id="rId205" Type="http://schemas.openxmlformats.org/officeDocument/2006/relationships/image" Target="media/image148.png"/><Relationship Id="rId206" Type="http://schemas.openxmlformats.org/officeDocument/2006/relationships/image" Target="media/image149.png"/><Relationship Id="rId207" Type="http://schemas.openxmlformats.org/officeDocument/2006/relationships/image" Target="media/image150.png"/><Relationship Id="rId208" Type="http://schemas.openxmlformats.org/officeDocument/2006/relationships/image" Target="media/image151.png"/><Relationship Id="rId209" Type="http://schemas.openxmlformats.org/officeDocument/2006/relationships/image" Target="media/image152.png"/><Relationship Id="rId210" Type="http://schemas.openxmlformats.org/officeDocument/2006/relationships/image" Target="media/image153.png"/><Relationship Id="rId211" Type="http://schemas.openxmlformats.org/officeDocument/2006/relationships/image" Target="media/image154.png"/><Relationship Id="rId212" Type="http://schemas.openxmlformats.org/officeDocument/2006/relationships/image" Target="media/image155.png"/><Relationship Id="rId213" Type="http://schemas.openxmlformats.org/officeDocument/2006/relationships/image" Target="media/image156.png"/><Relationship Id="rId214" Type="http://schemas.openxmlformats.org/officeDocument/2006/relationships/image" Target="media/image157.png"/><Relationship Id="rId215" Type="http://schemas.openxmlformats.org/officeDocument/2006/relationships/image" Target="media/image158.png"/><Relationship Id="rId216" Type="http://schemas.openxmlformats.org/officeDocument/2006/relationships/image" Target="media/image159.png"/><Relationship Id="rId217" Type="http://schemas.openxmlformats.org/officeDocument/2006/relationships/image" Target="media/image160.png"/><Relationship Id="rId218" Type="http://schemas.openxmlformats.org/officeDocument/2006/relationships/image" Target="media/image161.png"/><Relationship Id="rId219" Type="http://schemas.openxmlformats.org/officeDocument/2006/relationships/image" Target="media/image162.png"/><Relationship Id="rId220" Type="http://schemas.openxmlformats.org/officeDocument/2006/relationships/image" Target="media/image163.png"/><Relationship Id="rId221" Type="http://schemas.openxmlformats.org/officeDocument/2006/relationships/image" Target="media/image164.png"/><Relationship Id="rId222" Type="http://schemas.openxmlformats.org/officeDocument/2006/relationships/image" Target="media/image165.png"/><Relationship Id="rId223" Type="http://schemas.openxmlformats.org/officeDocument/2006/relationships/image" Target="media/image166.png"/><Relationship Id="rId224" Type="http://schemas.openxmlformats.org/officeDocument/2006/relationships/image" Target="media/image167.png"/><Relationship Id="rId225" Type="http://schemas.openxmlformats.org/officeDocument/2006/relationships/image" Target="media/image168.png"/><Relationship Id="rId226" Type="http://schemas.openxmlformats.org/officeDocument/2006/relationships/image" Target="media/image169.png"/><Relationship Id="rId227" Type="http://schemas.openxmlformats.org/officeDocument/2006/relationships/image" Target="media/image170.png"/><Relationship Id="rId90" Type="http://schemas.openxmlformats.org/officeDocument/2006/relationships/hyperlink" Target="http://www.sec.gov/Archives/edgar/data/1040829/000119312512410191/d419132dex31.htm" TargetMode="External"/><Relationship Id="rId91" Type="http://schemas.openxmlformats.org/officeDocument/2006/relationships/hyperlink" Target="http://www.sec.gov/Archives/edgar/data/1040829/000119312512410191/d419132dex32.htm" TargetMode="External"/><Relationship Id="rId92" Type="http://schemas.openxmlformats.org/officeDocument/2006/relationships/hyperlink" Target="http://www.sec.gov/Archives/edgar/data/1040829/000119312512401709/d415216dex41.htm" TargetMode="External"/><Relationship Id="rId94" Type="http://schemas.openxmlformats.org/officeDocument/2006/relationships/hyperlink" Target="https://www.sec.gov/Archives/edgar/data/1040829/000155837020001342/ex-4d3.htm" TargetMode="External"/><Relationship Id="rId95" Type="http://schemas.openxmlformats.org/officeDocument/2006/relationships/hyperlink" Target="http://www.sec.gov/Archives/edgar/data/1040829/000119312515129495/d909526dex41.htm" TargetMode="External"/><Relationship Id="rId96" Type="http://schemas.openxmlformats.org/officeDocument/2006/relationships/hyperlink" Target="http://www.sec.gov/Archives/edgar/data/1040829/000141057819001323/tv529738_ex4-1.htm" TargetMode="External"/><Relationship Id="rId97" Type="http://schemas.openxmlformats.org/officeDocument/2006/relationships/hyperlink" Target="http://www.sec.gov/Archives/edgar/data/1040829/000141057819001570/tv530763_ex4-3.htm" TargetMode="External"/><Relationship Id="rId98" Type="http://schemas.openxmlformats.org/officeDocument/2006/relationships/hyperlink" Target="https://www.sec.gov/Archives/edgar/data/1040829/000114036121005258/nt10019727x5_ex4-1.htm" TargetMode="External"/><Relationship Id="rId99" Type="http://schemas.openxmlformats.org/officeDocument/2006/relationships/hyperlink" Target="http://www.sec.gov/Archives/edgar/data/1040829/000110465919059038/tm1921656d1_ex10-1.htm" TargetMode="External"/><Relationship Id="rId100" Type="http://schemas.openxmlformats.org/officeDocument/2006/relationships/hyperlink" Target="https://www.sec.gov/Archives/edgar/data/1040829/000110465920050678/tm2016629d1_ex10-1.htm" TargetMode="External"/><Relationship Id="rId101" Type="http://schemas.openxmlformats.org/officeDocument/2006/relationships/hyperlink" Target="https://www.sec.gov/Archives/edgar/data/1040829/000110465920138604/tm2039111d1_ex10-1.htm" TargetMode="External"/><Relationship Id="rId102" Type="http://schemas.openxmlformats.org/officeDocument/2006/relationships/hyperlink" Target="http://www.sec.gov/Archives/edgar/data/1040829/0000950144-00-004089-index.html" TargetMode="External"/><Relationship Id="rId103" Type="http://schemas.openxmlformats.org/officeDocument/2006/relationships/hyperlink" Target="http://www.sec.gov/Archives/edgar/data/1040829/000095014403004173/g81512exv10w21.txt" TargetMode="External"/><Relationship Id="rId104" Type="http://schemas.openxmlformats.org/officeDocument/2006/relationships/hyperlink" Target="http://www.sec.gov/Archives/edgar/data/1040829/000095014403004173/g81512exv10w22.txt" TargetMode="External"/><Relationship Id="rId105" Type="http://schemas.openxmlformats.org/officeDocument/2006/relationships/hyperlink" Target="http://www.sec.gov/Archives/edgar/data/1040829/000119312519003774/d682468dex101.htm" TargetMode="External"/><Relationship Id="rId106" Type="http://schemas.openxmlformats.org/officeDocument/2006/relationships/hyperlink" Target="http://www.sec.gov/Archives/edgar/data/1040829/000119312519189493/d758656dex101.htm" TargetMode="External"/><Relationship Id="rId107" Type="http://schemas.openxmlformats.org/officeDocument/2006/relationships/hyperlink" Target="https://www.sec.gov/Archives/edgar/data/1040829/000155837020009570/rhp-20200630xex10d2.htm" TargetMode="External"/><Relationship Id="rId108" Type="http://schemas.openxmlformats.org/officeDocument/2006/relationships/hyperlink" Target="https://www.sec.gov/Archives/edgar/data/1040829/000110465920062678/tm2019853d1_ex10-1.htm" TargetMode="External"/><Relationship Id="rId109" Type="http://schemas.openxmlformats.org/officeDocument/2006/relationships/hyperlink" Target="http://www.sec.gov/Archives/edgar/data/1040829/000095014401004631/g68099ex10-19.txt" TargetMode="External"/><Relationship Id="rId110" Type="http://schemas.openxmlformats.org/officeDocument/2006/relationships/hyperlink" Target="http://www.sec.gov/Archives/edgar/data/1040829/000095014408001431/g11970exv10w1.htm" TargetMode="External"/><Relationship Id="rId111" Type="http://schemas.openxmlformats.org/officeDocument/2006/relationships/hyperlink" Target="http://www.sec.gov/Archives/edgar/data/1040829/000095014408009526/g17124exv10w3.htm" TargetMode="External"/><Relationship Id="rId112" Type="http://schemas.openxmlformats.org/officeDocument/2006/relationships/hyperlink" Target="http://www.sec.gov/Archives/edgar/data/1040829/000095012310101559/g25095exv10w2.htm" TargetMode="External"/><Relationship Id="rId113" Type="http://schemas.openxmlformats.org/officeDocument/2006/relationships/hyperlink" Target="http://www.sec.gov/Archives/edgar/data/1040829/000119312512456947/d412761dex105.htm" TargetMode="External"/><Relationship Id="rId114" Type="http://schemas.openxmlformats.org/officeDocument/2006/relationships/hyperlink" Target="http://www.sec.gov/Archives/edgar/data/1040829/000095014402003186/g74977ex10-30.txt" TargetMode="External"/><Relationship Id="rId115" Type="http://schemas.openxmlformats.org/officeDocument/2006/relationships/hyperlink" Target="http://www.sec.gov/Archives/edgar/data/1040829/000095014408001431/g11970exv10w3.htm" TargetMode="External"/><Relationship Id="rId116" Type="http://schemas.openxmlformats.org/officeDocument/2006/relationships/hyperlink" Target="http://www.sec.gov/Archives/edgar/data/1040829/000095012310017849/g22218exv10w38.htm" TargetMode="External"/><Relationship Id="rId117" Type="http://schemas.openxmlformats.org/officeDocument/2006/relationships/hyperlink" Target="http://www.sec.gov/Archives/edgar/data/1040829/000095012310101559/g25095exv10w5.htm" TargetMode="External"/><Relationship Id="rId118" Type="http://schemas.openxmlformats.org/officeDocument/2006/relationships/hyperlink" Target="http://www.sec.gov/Archives/edgar/data/1040829/000119312512456947/d412761dex106.htm" TargetMode="External"/><Relationship Id="rId119" Type="http://schemas.openxmlformats.org/officeDocument/2006/relationships/hyperlink" Target="http://www.sec.gov/Archives/edgar/data/1040829/000119312518060772/d503192dex1021.htm" TargetMode="External"/><Relationship Id="rId120" Type="http://schemas.openxmlformats.org/officeDocument/2006/relationships/hyperlink" Target="http://www.sec.gov/Archives/edgar/data/1040829/000119312518060772/d503192dex1022.htm" TargetMode="External"/><Relationship Id="rId121" Type="http://schemas.openxmlformats.org/officeDocument/2006/relationships/hyperlink" Target="http://www.sec.gov/Archives/edgar/data/1040829/000119312518060772/d503192dex1023.htm" TargetMode="External"/><Relationship Id="rId122" Type="http://schemas.openxmlformats.org/officeDocument/2006/relationships/hyperlink" Target="http://www.sec.gov/Archives/edgar/data/1040829/000095014403004173/g81512exv10w36.txt" TargetMode="External"/><Relationship Id="rId123" Type="http://schemas.openxmlformats.org/officeDocument/2006/relationships/hyperlink" Target="http://www.sec.gov/Archives/edgar/data/1040829/000095012311031897/g26600def14a.htm" TargetMode="External"/><Relationship Id="rId124" Type="http://schemas.openxmlformats.org/officeDocument/2006/relationships/hyperlink" Target="http://www.sec.gov/Archives/edgar/data/1040829/000119312517061161/d285683dex1030.htm" TargetMode="External"/><Relationship Id="rId125" Type="http://schemas.openxmlformats.org/officeDocument/2006/relationships/hyperlink" Target="http://www.sec.gov/Archives/edgar/data/1040829/000095014407001730/g05688exv10w40.htm" TargetMode="External"/><Relationship Id="rId126" Type="http://schemas.openxmlformats.org/officeDocument/2006/relationships/hyperlink" Target="http://www.sec.gov/Archives/edgar/data/1040829/000095014407001730/g05688exv10w41.htm" TargetMode="External"/><Relationship Id="rId127" Type="http://schemas.openxmlformats.org/officeDocument/2006/relationships/hyperlink" Target="http://www.sec.gov/Archives/edgar/data/1040829/000095014407001730/g05688exv10w42.htm" TargetMode="External"/><Relationship Id="rId128" Type="http://schemas.openxmlformats.org/officeDocument/2006/relationships/hyperlink" Target="http://www.sec.gov/Archives/edgar/data/1040829/000095014407001730/g05688exv10w43.htm" TargetMode="External"/><Relationship Id="rId129" Type="http://schemas.openxmlformats.org/officeDocument/2006/relationships/hyperlink" Target="http://www.sec.gov/Archives/edgar/data/1040829/000095014408001484/g11912exv10w35.htm" TargetMode="External"/><Relationship Id="rId130" Type="http://schemas.openxmlformats.org/officeDocument/2006/relationships/hyperlink" Target="http://www.sec.gov/Archives/edgar/data/1040829/000095012310017849/g22218exv10w52.htm" TargetMode="External"/><Relationship Id="rId131" Type="http://schemas.openxmlformats.org/officeDocument/2006/relationships/hyperlink" Target="http://www.sec.gov/Archives/edgar/data/1040829/000119312512220888/d315593dex102.htm" TargetMode="External"/><Relationship Id="rId132" Type="http://schemas.openxmlformats.org/officeDocument/2006/relationships/hyperlink" Target="http://www.sec.gov/Archives/edgar/data/1040829/000119312513079938/d449941dex1067.htm" TargetMode="External"/><Relationship Id="rId133" Type="http://schemas.openxmlformats.org/officeDocument/2006/relationships/hyperlink" Target="http://www.sec.gov/Archives/edgar/data/1040829/000119312513079938/d449941dex1068.htm" TargetMode="External"/><Relationship Id="rId135" Type="http://schemas.openxmlformats.org/officeDocument/2006/relationships/hyperlink" Target="http://www.sec.gov/Archives/edgar/data/1040829/000119312514075712/d648694dex1068.htm" TargetMode="External"/><Relationship Id="rId136" Type="http://schemas.openxmlformats.org/officeDocument/2006/relationships/hyperlink" Target="http://www.sec.gov/Archives/edgar/data/1040829/000119312514075712/d648694dex1069.htm" TargetMode="External"/><Relationship Id="rId137" Type="http://schemas.openxmlformats.org/officeDocument/2006/relationships/hyperlink" Target="http://www.sec.gov/Archives/edgar/data/1040829/000119312516582078/d92622dex101.htm" TargetMode="External"/><Relationship Id="rId138" Type="http://schemas.openxmlformats.org/officeDocument/2006/relationships/hyperlink" Target="http://www.sec.gov/Archives/edgar/data/1040829/000119312517061161/d285683dex1043.htm" TargetMode="External"/><Relationship Id="rId139" Type="http://schemas.openxmlformats.org/officeDocument/2006/relationships/hyperlink" Target="http://www.sec.gov/Archives/edgar/data/1040829/000119312516671549/d199388dex101.htm" TargetMode="External"/><Relationship Id="rId140" Type="http://schemas.openxmlformats.org/officeDocument/2006/relationships/hyperlink" Target="http://www.sec.gov/Archives/edgar/data/1040829/000119312516671549/d199388dex102.htm" TargetMode="External"/><Relationship Id="rId141" Type="http://schemas.openxmlformats.org/officeDocument/2006/relationships/hyperlink" Target="http://www.sec.gov/Archives/edgar/data/1040829/000119312516671549/d199388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2021-02-26T12:13:08Z</dcterms:created>
  <dcterms:modified xsi:type="dcterms:W3CDTF">2021-02-26T12:13:08Z</dcterms:modified>
</cp:coreProperties>
</file>