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428625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166" w:lineRule="exact"/>
        <w:rPr>
          <w:sz w:val="24"/>
          <w:szCs w:val="24"/>
          <w:color w:val="auto"/>
        </w:rPr>
      </w:pPr>
    </w:p>
    <w:p>
      <w:pPr>
        <w:ind w:left="3280" w:right="980" w:hanging="3272"/>
        <w:spacing w:after="0" w:line="282" w:lineRule="auto"/>
        <w:tabs>
          <w:tab w:leader="none" w:pos="27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 For the quarterly period ended March 31, 2022</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185" w:lineRule="exact"/>
        <w:rPr>
          <w:sz w:val="24"/>
          <w:szCs w:val="24"/>
          <w:color w:val="auto"/>
        </w:rPr>
      </w:pPr>
    </w:p>
    <w:p>
      <w:pPr>
        <w:ind w:left="3740" w:right="960" w:hanging="3732"/>
        <w:spacing w:after="0" w:line="282" w:lineRule="auto"/>
        <w:tabs>
          <w:tab w:leader="none" w:pos="25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Commission file number 1-13079</w:t>
      </w:r>
    </w:p>
    <w:p>
      <w:pPr>
        <w:spacing w:after="0" w:line="117"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b w:val="1"/>
          <w:bCs w:val="1"/>
          <w:u w:val="single" w:color="auto"/>
          <w:color w:val="auto"/>
        </w:rPr>
        <w:t>RYMAN HOSPITALITY PROPERTIES, INC.</w:t>
      </w:r>
    </w:p>
    <w:p>
      <w:pPr>
        <w:spacing w:after="0" w:line="31"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67" w:lineRule="exact"/>
        <w:rPr>
          <w:sz w:val="24"/>
          <w:szCs w:val="24"/>
          <w:color w:val="auto"/>
        </w:rPr>
      </w:pPr>
    </w:p>
    <w:tbl>
      <w:tblPr>
        <w:tblLayout w:type="fixed"/>
        <w:tblInd w:w="134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4520" w:type="dxa"/>
            <w:vAlign w:val="bottom"/>
            <w:gridSpan w:val="2"/>
          </w:tcPr>
          <w:p>
            <w:pPr>
              <w:jc w:val="center"/>
              <w:ind w:right="3750"/>
              <w:spacing w:after="0"/>
              <w:rPr>
                <w:sz w:val="20"/>
                <w:szCs w:val="20"/>
                <w:color w:val="auto"/>
              </w:rPr>
            </w:pPr>
            <w:r>
              <w:rPr>
                <w:rFonts w:ascii="Times New Roman" w:cs="Times New Roman" w:eastAsia="Times New Roman" w:hAnsi="Times New Roman"/>
                <w:sz w:val="18"/>
                <w:szCs w:val="18"/>
                <w:color w:val="auto"/>
                <w:w w:val="98"/>
              </w:rPr>
              <w:t>Delaware</w:t>
            </w:r>
          </w:p>
        </w:tc>
        <w:tc>
          <w:tcPr>
            <w:tcW w:w="154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auto"/>
              </w:rPr>
              <w:t>73-0664379</w:t>
            </w:r>
          </w:p>
        </w:tc>
      </w:tr>
      <w:tr>
        <w:trPr>
          <w:trHeight w:val="20"/>
        </w:trPr>
        <w:tc>
          <w:tcPr>
            <w:tcW w:w="7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8"/>
        </w:trPr>
        <w:tc>
          <w:tcPr>
            <w:tcW w:w="5280" w:type="dxa"/>
            <w:vAlign w:val="bottom"/>
            <w:gridSpan w:val="3"/>
          </w:tcPr>
          <w:p>
            <w:pPr>
              <w:jc w:val="center"/>
              <w:ind w:right="299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154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5280" w:type="dxa"/>
            <w:vAlign w:val="bottom"/>
            <w:gridSpan w:val="3"/>
          </w:tcPr>
          <w:p>
            <w:pPr>
              <w:jc w:val="center"/>
              <w:ind w:right="299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54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46"/>
        </w:trPr>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One Gaylord Drive</w:t>
            </w: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16"/>
        </w:trPr>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8"/>
              </w:rPr>
              <w:t>Nashville, Tennessee 37214</w:t>
            </w: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4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4"/>
        </w:trPr>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(Zip Code)</w:t>
            </w: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(615) 316-6000</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360"/>
        </w:trPr>
        <w:tc>
          <w:tcPr>
            <w:tcW w:w="7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w:t>
            </w:r>
          </w:p>
        </w:tc>
      </w:tr>
      <w:tr>
        <w:trPr>
          <w:trHeight w:val="234"/>
        </w:trPr>
        <w:tc>
          <w:tcPr>
            <w:tcW w:w="740" w:type="dxa"/>
            <w:vAlign w:val="bottom"/>
          </w:tcPr>
          <w:p>
            <w:pPr>
              <w:spacing w:after="0"/>
              <w:rPr>
                <w:sz w:val="20"/>
                <w:szCs w:val="20"/>
                <w:color w:val="auto"/>
              </w:rPr>
            </w:pPr>
          </w:p>
        </w:tc>
        <w:tc>
          <w:tcPr>
            <w:tcW w:w="34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Title of Each Class</w:t>
            </w:r>
          </w:p>
        </w:tc>
        <w:tc>
          <w:tcPr>
            <w:tcW w:w="19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Which Registered</w:t>
            </w:r>
          </w:p>
        </w:tc>
      </w:tr>
      <w:tr>
        <w:trPr>
          <w:trHeight w:val="228"/>
        </w:trPr>
        <w:tc>
          <w:tcPr>
            <w:tcW w:w="740" w:type="dxa"/>
            <w:vAlign w:val="bottom"/>
          </w:tcPr>
          <w:p>
            <w:pPr>
              <w:spacing w:after="0"/>
              <w:rPr>
                <w:sz w:val="19"/>
                <w:szCs w:val="19"/>
                <w:color w:val="auto"/>
              </w:rPr>
            </w:pPr>
          </w:p>
        </w:tc>
        <w:tc>
          <w:tcPr>
            <w:tcW w:w="3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$.01</w:t>
            </w:r>
          </w:p>
        </w:tc>
        <w:tc>
          <w:tcPr>
            <w:tcW w:w="380" w:type="dxa"/>
            <w:vAlign w:val="bottom"/>
          </w:tcPr>
          <w:p>
            <w:pPr>
              <w:spacing w:after="0"/>
              <w:rPr>
                <w:sz w:val="19"/>
                <w:szCs w:val="19"/>
                <w:color w:val="auto"/>
              </w:rPr>
            </w:pPr>
          </w:p>
        </w:tc>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RHP</w:t>
            </w:r>
          </w:p>
        </w:tc>
        <w:tc>
          <w:tcPr>
            <w:tcW w:w="320" w:type="dxa"/>
            <w:vAlign w:val="bottom"/>
          </w:tcPr>
          <w:p>
            <w:pPr>
              <w:spacing w:after="0"/>
              <w:rPr>
                <w:sz w:val="19"/>
                <w:szCs w:val="19"/>
                <w:color w:val="auto"/>
              </w:rPr>
            </w:pPr>
          </w:p>
        </w:tc>
        <w:tc>
          <w:tcPr>
            <w:tcW w:w="2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79" w:lineRule="exact"/>
        <w:rPr>
          <w:sz w:val="24"/>
          <w:szCs w:val="24"/>
          <w:color w:val="auto"/>
        </w:rPr>
      </w:pPr>
    </w:p>
    <w:p>
      <w:pPr>
        <w:ind w:right="26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97" w:lineRule="exact"/>
        <w:rPr>
          <w:sz w:val="24"/>
          <w:szCs w:val="24"/>
          <w:color w:val="auto"/>
        </w:rPr>
      </w:pPr>
    </w:p>
    <w:p>
      <w:pPr>
        <w:jc w:val="both"/>
        <w:ind w:right="1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11"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Smaller reporting company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Emerging growth company </w:t>
      </w:r>
      <w:r>
        <w:rPr>
          <w:rFonts w:ascii="MS PGothic" w:cs="MS PGothic" w:eastAsia="MS PGothic" w:hAnsi="MS PGothic"/>
          <w:sz w:val="18"/>
          <w:szCs w:val="18"/>
          <w:color w:val="auto"/>
        </w:rPr>
        <w:t>☐</w:t>
      </w:r>
    </w:p>
    <w:p>
      <w:pPr>
        <w:spacing w:after="0" w:line="173" w:lineRule="exact"/>
        <w:rPr>
          <w:sz w:val="24"/>
          <w:szCs w:val="24"/>
          <w:color w:val="auto"/>
        </w:rPr>
      </w:pPr>
    </w:p>
    <w:p>
      <w:pPr>
        <w:ind w:right="680"/>
        <w:spacing w:after="0" w:line="235"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83" w:lineRule="exact"/>
        <w:rPr>
          <w:sz w:val="24"/>
          <w:szCs w:val="24"/>
          <w:color w:val="auto"/>
        </w:rPr>
      </w:pPr>
    </w:p>
    <w:p>
      <w:pPr>
        <w:ind w:right="760"/>
        <w:spacing w:after="0" w:line="31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Indicate the number of shares outstanding of each of the issuer’s classes of common stock, as of the latest practicable date.</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Class</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Outstanding as of April 29, 2022</w:t>
            </w:r>
          </w:p>
        </w:tc>
      </w:tr>
      <w:tr>
        <w:trPr>
          <w:trHeight w:val="228"/>
        </w:trPr>
        <w:tc>
          <w:tcPr>
            <w:tcW w:w="4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$.01</w:t>
            </w:r>
          </w:p>
        </w:tc>
        <w:tc>
          <w:tcPr>
            <w:tcW w:w="280" w:type="dxa"/>
            <w:vAlign w:val="bottom"/>
          </w:tcPr>
          <w:p>
            <w:pPr>
              <w:spacing w:after="0"/>
              <w:rPr>
                <w:sz w:val="19"/>
                <w:szCs w:val="19"/>
                <w:color w:val="auto"/>
              </w:rPr>
            </w:pPr>
          </w:p>
        </w:tc>
        <w:tc>
          <w:tcPr>
            <w:tcW w:w="4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55,145,860 shares</w:t>
            </w:r>
          </w:p>
        </w:tc>
      </w:tr>
      <w:tr>
        <w:trPr>
          <w:trHeight w:val="319"/>
        </w:trPr>
        <w:tc>
          <w:tcPr>
            <w:tcW w:w="4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r>
        <w:trPr>
          <w:trHeight w:val="81"/>
        </w:trPr>
        <w:tc>
          <w:tcPr>
            <w:tcW w:w="47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60" w:type="dxa"/>
            <w:vAlign w:val="bottom"/>
            <w:tcBorders>
              <w:bottom w:val="single" w:sz="8" w:color="auto"/>
            </w:tcBorders>
          </w:tcPr>
          <w:p>
            <w:pPr>
              <w:spacing w:after="0"/>
              <w:rPr>
                <w:sz w:val="7"/>
                <w:szCs w:val="7"/>
                <w:color w:val="auto"/>
              </w:rPr>
            </w:pPr>
          </w:p>
        </w:tc>
      </w:tr>
      <w:tr>
        <w:trPr>
          <w:trHeight w:val="682"/>
        </w:trPr>
        <w:tc>
          <w:tcPr>
            <w:tcW w:w="4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1" w:right="99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540" w:type="dxa"/>
            <w:vAlign w:val="bottom"/>
            <w:gridSpan w:val="13"/>
          </w:tcPr>
          <w:p>
            <w:pPr>
              <w:jc w:val="center"/>
              <w:ind w:right="1800"/>
              <w:spacing w:after="0"/>
              <w:rPr>
                <w:sz w:val="20"/>
                <w:szCs w:val="20"/>
                <w:color w:val="auto"/>
              </w:rPr>
            </w:pPr>
            <w:r>
              <w:rPr>
                <w:rFonts w:ascii="Times New Roman" w:cs="Times New Roman" w:eastAsia="Times New Roman" w:hAnsi="Times New Roman"/>
                <w:sz w:val="18"/>
                <w:szCs w:val="18"/>
                <w:b w:val="1"/>
                <w:bCs w:val="1"/>
                <w:color w:val="auto"/>
                <w:w w:val="99"/>
              </w:rPr>
              <w:t>RYMAN HOSPITALITY PROPERTIES, INC.</w:t>
            </w:r>
          </w:p>
        </w:tc>
        <w:tc>
          <w:tcPr>
            <w:tcW w:w="780" w:type="dxa"/>
            <w:vAlign w:val="bottom"/>
          </w:tcPr>
          <w:p>
            <w:pPr>
              <w:spacing w:after="0"/>
              <w:rPr>
                <w:sz w:val="20"/>
                <w:szCs w:val="20"/>
                <w:color w:val="auto"/>
              </w:rPr>
            </w:pPr>
          </w:p>
        </w:tc>
      </w:tr>
      <w:tr>
        <w:trPr>
          <w:trHeight w:val="405"/>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560" w:type="dxa"/>
            <w:vAlign w:val="bottom"/>
            <w:gridSpan w:val="10"/>
          </w:tcPr>
          <w:p>
            <w:pPr>
              <w:jc w:val="center"/>
              <w:ind w:right="278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780" w:type="dxa"/>
            <w:vAlign w:val="bottom"/>
          </w:tcPr>
          <w:p>
            <w:pPr>
              <w:spacing w:after="0"/>
              <w:rPr>
                <w:sz w:val="24"/>
                <w:szCs w:val="24"/>
                <w:color w:val="auto"/>
              </w:rPr>
            </w:pPr>
          </w:p>
        </w:tc>
      </w:tr>
      <w:tr>
        <w:trPr>
          <w:trHeight w:val="39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80" w:type="dxa"/>
            <w:vAlign w:val="bottom"/>
            <w:gridSpan w:val="12"/>
          </w:tcPr>
          <w:p>
            <w:pPr>
              <w:jc w:val="center"/>
              <w:ind w:right="1960"/>
              <w:spacing w:after="0"/>
              <w:rPr>
                <w:sz w:val="20"/>
                <w:szCs w:val="20"/>
                <w:color w:val="auto"/>
              </w:rPr>
            </w:pPr>
            <w:r>
              <w:rPr>
                <w:rFonts w:ascii="Times New Roman" w:cs="Times New Roman" w:eastAsia="Times New Roman" w:hAnsi="Times New Roman"/>
                <w:sz w:val="18"/>
                <w:szCs w:val="18"/>
                <w:b w:val="1"/>
                <w:bCs w:val="1"/>
                <w:color w:val="auto"/>
                <w:w w:val="99"/>
              </w:rPr>
              <w:t>For the Quarter Ended March 31, 2022</w:t>
            </w:r>
          </w:p>
        </w:tc>
        <w:tc>
          <w:tcPr>
            <w:tcW w:w="780" w:type="dxa"/>
            <w:vAlign w:val="bottom"/>
          </w:tcPr>
          <w:p>
            <w:pPr>
              <w:spacing w:after="0"/>
              <w:rPr>
                <w:sz w:val="24"/>
                <w:szCs w:val="24"/>
                <w:color w:val="auto"/>
              </w:rPr>
            </w:pPr>
          </w:p>
        </w:tc>
      </w:tr>
      <w:tr>
        <w:trPr>
          <w:trHeight w:val="39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560" w:type="dxa"/>
            <w:vAlign w:val="bottom"/>
            <w:gridSpan w:val="10"/>
          </w:tcPr>
          <w:p>
            <w:pPr>
              <w:jc w:val="center"/>
              <w:ind w:right="278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780" w:type="dxa"/>
            <w:vAlign w:val="bottom"/>
          </w:tcPr>
          <w:p>
            <w:pPr>
              <w:spacing w:after="0"/>
              <w:rPr>
                <w:sz w:val="24"/>
                <w:szCs w:val="24"/>
                <w:color w:val="auto"/>
              </w:rPr>
            </w:pPr>
          </w:p>
        </w:tc>
      </w:tr>
      <w:tr>
        <w:trPr>
          <w:trHeight w:val="405"/>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85"/>
        </w:trPr>
        <w:tc>
          <w:tcPr>
            <w:tcW w:w="21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Part I - Financial Information</w:t>
            </w:r>
          </w:p>
        </w:tc>
        <w:tc>
          <w:tcPr>
            <w:tcW w:w="6000" w:type="dxa"/>
            <w:vAlign w:val="bottom"/>
            <w:gridSpan w:val="16"/>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412"/>
        </w:trPr>
        <w:tc>
          <w:tcPr>
            <w:tcW w:w="640" w:type="dxa"/>
            <w:vAlign w:val="bottom"/>
          </w:tcPr>
          <w:p>
            <w:pPr>
              <w:spacing w:after="0"/>
              <w:rPr>
                <w:sz w:val="24"/>
                <w:szCs w:val="24"/>
                <w:color w:val="auto"/>
              </w:rPr>
            </w:pPr>
          </w:p>
        </w:tc>
        <w:tc>
          <w:tcPr>
            <w:tcW w:w="748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Item 1. Financial Statements.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20"/>
        </w:trPr>
        <w:tc>
          <w:tcPr>
            <w:tcW w:w="6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54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 (Unaudited) – March 31, 2022 and December 31,</w:t>
            </w: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1200" w:type="dxa"/>
            <w:vAlign w:val="bottom"/>
            <w:gridSpan w:val="3"/>
          </w:tcPr>
          <w:p>
            <w:pPr>
              <w:spacing w:after="0"/>
              <w:rPr>
                <w:sz w:val="17"/>
                <w:szCs w:val="17"/>
                <w:color w:val="auto"/>
              </w:rPr>
            </w:pPr>
          </w:p>
        </w:tc>
        <w:tc>
          <w:tcPr>
            <w:tcW w:w="3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2021</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3</w:t>
            </w:r>
          </w:p>
        </w:tc>
      </w:tr>
      <w:tr>
        <w:trPr>
          <w:trHeight w:val="41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9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Condensed Consolidated Statements of Operations and Comprehensive Loss (Unaudited) -</w:t>
            </w:r>
          </w:p>
        </w:tc>
        <w:tc>
          <w:tcPr>
            <w:tcW w:w="780" w:type="dxa"/>
            <w:vAlign w:val="bottom"/>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8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For the Three Months Ended March 31, 2022 and 2021</w:t>
            </w:r>
          </w:p>
        </w:tc>
        <w:tc>
          <w:tcPr>
            <w:tcW w:w="2560" w:type="dxa"/>
            <w:vAlign w:val="bottom"/>
            <w:tcBorders>
              <w:top w:val="single" w:sz="8" w:color="0000EE"/>
            </w:tcBorders>
            <w:gridSpan w:val="8"/>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4</w:t>
            </w:r>
          </w:p>
        </w:tc>
      </w:tr>
      <w:tr>
        <w:trPr>
          <w:trHeight w:val="41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36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Cash Flows (Unaudited) - For the Three Months</w:t>
            </w:r>
          </w:p>
        </w:tc>
        <w:tc>
          <w:tcPr>
            <w:tcW w:w="560" w:type="dxa"/>
            <w:vAlign w:val="bottom"/>
            <w:gridSpan w:val="3"/>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Ended March 31, 2022 and 2021</w:t>
            </w:r>
          </w:p>
        </w:tc>
        <w:tc>
          <w:tcPr>
            <w:tcW w:w="4560" w:type="dxa"/>
            <w:vAlign w:val="bottom"/>
            <w:gridSpan w:val="10"/>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5</w:t>
            </w:r>
          </w:p>
        </w:tc>
      </w:tr>
      <w:tr>
        <w:trPr>
          <w:trHeight w:val="41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9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Condensed Consolidated Statements of Equity (Deficit) and Noncontrolling Interest</w:t>
            </w:r>
          </w:p>
        </w:tc>
        <w:tc>
          <w:tcPr>
            <w:tcW w:w="780" w:type="dxa"/>
            <w:vAlign w:val="bottom"/>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(Unaudited) - For the Three Months Ended March 31, 2022 and 2021</w:t>
            </w:r>
          </w:p>
        </w:tc>
        <w:tc>
          <w:tcPr>
            <w:tcW w:w="1040" w:type="dxa"/>
            <w:vAlign w:val="bottom"/>
            <w:tcBorders>
              <w:top w:val="single" w:sz="8" w:color="0000EE"/>
            </w:tcBorders>
          </w:tcPr>
          <w:p>
            <w:pPr>
              <w:spacing w:after="0"/>
              <w:rPr>
                <w:sz w:val="17"/>
                <w:szCs w:val="17"/>
                <w:color w:val="auto"/>
              </w:rPr>
            </w:pPr>
          </w:p>
        </w:tc>
        <w:tc>
          <w:tcPr>
            <w:tcW w:w="880" w:type="dxa"/>
            <w:vAlign w:val="bottom"/>
            <w:gridSpan w:val="4"/>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6</w:t>
            </w:r>
          </w:p>
        </w:tc>
      </w:tr>
      <w:tr>
        <w:trPr>
          <w:trHeight w:val="41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9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0"/>
        </w:trPr>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640" w:type="dxa"/>
            <w:vAlign w:val="bottom"/>
          </w:tcPr>
          <w:p>
            <w:pPr>
              <w:spacing w:after="0"/>
              <w:rPr>
                <w:sz w:val="24"/>
                <w:szCs w:val="24"/>
                <w:color w:val="auto"/>
              </w:rPr>
            </w:pPr>
          </w:p>
        </w:tc>
        <w:tc>
          <w:tcPr>
            <w:tcW w:w="706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Item 2. Management’s Discussion and Analysis of Financial Condition and Results of Operations.</w:t>
            </w:r>
          </w:p>
        </w:tc>
        <w:tc>
          <w:tcPr>
            <w:tcW w:w="420" w:type="dxa"/>
            <w:vAlign w:val="bottom"/>
            <w:gridSpan w:val="2"/>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r>
      <w:tr>
        <w:trPr>
          <w:trHeight w:val="412"/>
        </w:trPr>
        <w:tc>
          <w:tcPr>
            <w:tcW w:w="640" w:type="dxa"/>
            <w:vAlign w:val="bottom"/>
          </w:tcPr>
          <w:p>
            <w:pPr>
              <w:spacing w:after="0"/>
              <w:rPr>
                <w:sz w:val="24"/>
                <w:szCs w:val="24"/>
                <w:color w:val="auto"/>
              </w:rPr>
            </w:pPr>
          </w:p>
        </w:tc>
        <w:tc>
          <w:tcPr>
            <w:tcW w:w="498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Item 3. Quantitative and Qualitative Disclosures About Market Risk.</w:t>
            </w:r>
          </w:p>
        </w:tc>
        <w:tc>
          <w:tcPr>
            <w:tcW w:w="2500" w:type="dxa"/>
            <w:vAlign w:val="bottom"/>
            <w:gridSpan w:val="7"/>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r>
      <w:tr>
        <w:trPr>
          <w:trHeight w:val="412"/>
        </w:trPr>
        <w:tc>
          <w:tcPr>
            <w:tcW w:w="640" w:type="dxa"/>
            <w:vAlign w:val="bottom"/>
          </w:tcPr>
          <w:p>
            <w:pPr>
              <w:spacing w:after="0"/>
              <w:rPr>
                <w:sz w:val="24"/>
                <w:szCs w:val="24"/>
                <w:color w:val="auto"/>
              </w:rPr>
            </w:pPr>
          </w:p>
        </w:tc>
        <w:tc>
          <w:tcPr>
            <w:tcW w:w="238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Item 4. Controls and Procedures.</w:t>
            </w:r>
          </w:p>
        </w:tc>
        <w:tc>
          <w:tcPr>
            <w:tcW w:w="5100" w:type="dxa"/>
            <w:vAlign w:val="bottom"/>
            <w:gridSpan w:val="11"/>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r>
      <w:tr>
        <w:trPr>
          <w:trHeight w:val="412"/>
        </w:trPr>
        <w:tc>
          <w:tcPr>
            <w:tcW w:w="19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Part II - Other Information</w:t>
            </w:r>
          </w:p>
        </w:tc>
        <w:tc>
          <w:tcPr>
            <w:tcW w:w="6200" w:type="dxa"/>
            <w:vAlign w:val="bottom"/>
            <w:gridSpan w:val="17"/>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r>
      <w:tr>
        <w:trPr>
          <w:trHeight w:val="412"/>
        </w:trPr>
        <w:tc>
          <w:tcPr>
            <w:tcW w:w="640" w:type="dxa"/>
            <w:vAlign w:val="bottom"/>
          </w:tcPr>
          <w:p>
            <w:pPr>
              <w:spacing w:after="0"/>
              <w:rPr>
                <w:sz w:val="24"/>
                <w:szCs w:val="24"/>
                <w:color w:val="auto"/>
              </w:rPr>
            </w:pPr>
          </w:p>
        </w:tc>
        <w:tc>
          <w:tcPr>
            <w:tcW w:w="19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Item 1. Legal Proceedings.</w:t>
            </w:r>
          </w:p>
        </w:tc>
        <w:tc>
          <w:tcPr>
            <w:tcW w:w="5540" w:type="dxa"/>
            <w:vAlign w:val="bottom"/>
            <w:gridSpan w:val="13"/>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r>
      <w:tr>
        <w:trPr>
          <w:trHeight w:val="412"/>
        </w:trPr>
        <w:tc>
          <w:tcPr>
            <w:tcW w:w="640" w:type="dxa"/>
            <w:vAlign w:val="bottom"/>
          </w:tcPr>
          <w:p>
            <w:pPr>
              <w:spacing w:after="0"/>
              <w:rPr>
                <w:sz w:val="24"/>
                <w:szCs w:val="24"/>
                <w:color w:val="auto"/>
              </w:rPr>
            </w:pPr>
          </w:p>
        </w:tc>
        <w:tc>
          <w:tcPr>
            <w:tcW w:w="16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Item 1A. Risk Factors.</w:t>
            </w:r>
          </w:p>
        </w:tc>
        <w:tc>
          <w:tcPr>
            <w:tcW w:w="5840" w:type="dxa"/>
            <w:vAlign w:val="bottom"/>
            <w:gridSpan w:val="15"/>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r>
      <w:tr>
        <w:trPr>
          <w:trHeight w:val="412"/>
        </w:trPr>
        <w:tc>
          <w:tcPr>
            <w:tcW w:w="640" w:type="dxa"/>
            <w:vAlign w:val="bottom"/>
          </w:tcPr>
          <w:p>
            <w:pPr>
              <w:spacing w:after="0"/>
              <w:rPr>
                <w:sz w:val="24"/>
                <w:szCs w:val="24"/>
                <w:color w:val="auto"/>
              </w:rPr>
            </w:pPr>
          </w:p>
        </w:tc>
        <w:tc>
          <w:tcPr>
            <w:tcW w:w="49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Item 2. Unregistered Sales of Equity Securities and Use of Proceeds.</w:t>
            </w:r>
          </w:p>
        </w:tc>
        <w:tc>
          <w:tcPr>
            <w:tcW w:w="2520" w:type="dxa"/>
            <w:vAlign w:val="bottom"/>
            <w:gridSpan w:val="8"/>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r>
      <w:tr>
        <w:trPr>
          <w:trHeight w:val="412"/>
        </w:trPr>
        <w:tc>
          <w:tcPr>
            <w:tcW w:w="640" w:type="dxa"/>
            <w:vAlign w:val="bottom"/>
          </w:tcPr>
          <w:p>
            <w:pPr>
              <w:spacing w:after="0"/>
              <w:rPr>
                <w:sz w:val="24"/>
                <w:szCs w:val="24"/>
                <w:color w:val="auto"/>
              </w:rPr>
            </w:pPr>
          </w:p>
        </w:tc>
        <w:tc>
          <w:tcPr>
            <w:tcW w:w="748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Item 3. Defaults Upon Senior Securities.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r>
      <w:tr>
        <w:trPr>
          <w:trHeight w:val="412"/>
        </w:trPr>
        <w:tc>
          <w:tcPr>
            <w:tcW w:w="640" w:type="dxa"/>
            <w:vAlign w:val="bottom"/>
          </w:tcPr>
          <w:p>
            <w:pPr>
              <w:spacing w:after="0"/>
              <w:rPr>
                <w:sz w:val="24"/>
                <w:szCs w:val="24"/>
                <w:color w:val="auto"/>
              </w:rPr>
            </w:pPr>
          </w:p>
        </w:tc>
        <w:tc>
          <w:tcPr>
            <w:tcW w:w="2380" w:type="dxa"/>
            <w:vAlign w:val="bottom"/>
            <w:tcBorders>
              <w:top w:val="single" w:sz="8" w:color="0000EE"/>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Item 4. Mine Safety Disclosures.</w:t>
            </w:r>
          </w:p>
        </w:tc>
        <w:tc>
          <w:tcPr>
            <w:tcW w:w="540" w:type="dxa"/>
            <w:vAlign w:val="bottom"/>
            <w:tcBorders>
              <w:top w:val="single" w:sz="8" w:color="0000EE"/>
            </w:tcBorders>
          </w:tcPr>
          <w:p>
            <w:pPr>
              <w:spacing w:after="0"/>
              <w:rPr>
                <w:sz w:val="24"/>
                <w:szCs w:val="24"/>
                <w:color w:val="auto"/>
              </w:rPr>
            </w:pPr>
          </w:p>
        </w:tc>
        <w:tc>
          <w:tcPr>
            <w:tcW w:w="4560" w:type="dxa"/>
            <w:vAlign w:val="bottom"/>
            <w:gridSpan w:val="10"/>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r>
      <w:tr>
        <w:trPr>
          <w:trHeight w:val="412"/>
        </w:trPr>
        <w:tc>
          <w:tcPr>
            <w:tcW w:w="640" w:type="dxa"/>
            <w:vAlign w:val="bottom"/>
          </w:tcPr>
          <w:p>
            <w:pPr>
              <w:spacing w:after="0"/>
              <w:rPr>
                <w:sz w:val="24"/>
                <w:szCs w:val="24"/>
                <w:color w:val="auto"/>
              </w:rPr>
            </w:pPr>
          </w:p>
        </w:tc>
        <w:tc>
          <w:tcPr>
            <w:tcW w:w="19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Item 5. Other Information.</w:t>
            </w:r>
          </w:p>
        </w:tc>
        <w:tc>
          <w:tcPr>
            <w:tcW w:w="5560" w:type="dxa"/>
            <w:vAlign w:val="bottom"/>
            <w:gridSpan w:val="14"/>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r>
      <w:tr>
        <w:trPr>
          <w:trHeight w:val="412"/>
        </w:trPr>
        <w:tc>
          <w:tcPr>
            <w:tcW w:w="640" w:type="dxa"/>
            <w:vAlign w:val="bottom"/>
          </w:tcPr>
          <w:p>
            <w:pPr>
              <w:spacing w:after="0"/>
              <w:rPr>
                <w:sz w:val="24"/>
                <w:szCs w:val="24"/>
                <w:color w:val="auto"/>
              </w:rPr>
            </w:pPr>
          </w:p>
        </w:tc>
        <w:tc>
          <w:tcPr>
            <w:tcW w:w="748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Item 6. Exhibits.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r>
      <w:tr>
        <w:trPr>
          <w:trHeight w:val="20"/>
        </w:trPr>
        <w:tc>
          <w:tcPr>
            <w:tcW w:w="6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6280" w:type="dxa"/>
            <w:vAlign w:val="bottom"/>
            <w:gridSpan w:val="1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11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6"/>
              </w:rPr>
              <w:t>SIGNATURES</w:t>
            </w:r>
          </w:p>
        </w:tc>
        <w:tc>
          <w:tcPr>
            <w:tcW w:w="7020" w:type="dxa"/>
            <w:vAlign w:val="bottom"/>
            <w:gridSpan w:val="21"/>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RYMAN HOSPITALITY PROPERTIES,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bl>
      <w:tblPr>
        <w:tblLayout w:type="fixed"/>
        <w:tblInd w:w="6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96"/>
              <w:spacing w:after="0" w:line="147"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2"/>
                <w:szCs w:val="12"/>
                <w:color w:val="auto"/>
              </w:rPr>
            </w:pPr>
          </w:p>
        </w:tc>
        <w:tc>
          <w:tcPr>
            <w:tcW w:w="94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4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ASSETS: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2,994,541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3,031,844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Cash and cash equivalents - unrestricted</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128,436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140,688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Cash and cash equivalents - restricted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16,473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Notes receivable, net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67,493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71,228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Trade receivables, net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83,234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74,745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Prepaid expenses and other assets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132,879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112,904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7"/>
                <w:szCs w:val="17"/>
                <w:color w:val="auto"/>
              </w:rPr>
              <w:t>Intangible assets, net</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116,772</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126,804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Total assets</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3,539,828</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3,580,525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6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LIABILITIES AND EQUITY (DEFICIT):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Debt and finance lease obligations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2,937,660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2,936,819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Accounts payable and accrued liabilities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287,286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304,719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Dividends payable</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Deferred management rights proceeds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169,834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170,614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114,981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113,770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Deferred income tax liabilities, net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7"/>
                <w:szCs w:val="17"/>
                <w:color w:val="auto"/>
              </w:rPr>
              <w:t>Other liabilities</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62,880</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71,939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Total liabilities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3,577,007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3,602,918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Commitments and contingencies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Equity (deficit):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Preferred stock, $.01 par value, 100,000 shares authorized, no shares issued or outstanding</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40" w:type="dxa"/>
            <w:vAlign w:val="bottom"/>
            <w:shd w:val="clear" w:color="auto" w:fill="CCEEFF"/>
          </w:tcPr>
          <w:p>
            <w:pPr>
              <w:ind w:left="200"/>
              <w:spacing w:after="0" w:line="181" w:lineRule="exact"/>
              <w:rPr>
                <w:sz w:val="20"/>
                <w:szCs w:val="20"/>
                <w:color w:val="auto"/>
              </w:rPr>
            </w:pPr>
            <w:r>
              <w:rPr>
                <w:rFonts w:ascii="Times New Roman" w:cs="Times New Roman" w:eastAsia="Times New Roman" w:hAnsi="Times New Roman"/>
                <w:sz w:val="17"/>
                <w:szCs w:val="17"/>
                <w:color w:val="auto"/>
              </w:rPr>
              <w:t>Common stock, $.01 par value, 400,000 shares authorized, 55,146 and 55,072 shares issued</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and outstanding, respectively</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551</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1,112,892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1,112,867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Treasury stock of 648 and 648 shares, at cost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(18,467)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Distributions in excess of retained earnings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(1,112,726)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(1,088,105)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(19,094)</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(29,080)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4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7"/>
                <w:szCs w:val="17"/>
                <w:color w:val="auto"/>
              </w:rPr>
              <w:t>Total stockholders' equity (deficit)</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(36,844)</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(22,234)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Noncontrolling interest in Operating Partnership</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4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7"/>
                <w:szCs w:val="17"/>
                <w:color w:val="auto"/>
              </w:rPr>
              <w:t>Total equity (deficit)</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(37,179)</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(22,393)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Total liabilities and equity (deficit)</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3,539,828</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3,580,525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RYMAN HOSPITALITY PROPERTIES,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AND COMPREHENSIVE LOSS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data)</w:t>
      </w:r>
    </w:p>
    <w:p>
      <w:pPr>
        <w:spacing w:after="0" w:line="202"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73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60" w:type="dxa"/>
        <w:tblCellMar>
          <w:top w:w="0" w:type="dxa"/>
          <w:left w:w="0" w:type="dxa"/>
          <w:bottom w:w="0" w:type="dxa"/>
          <w:right w:w="0" w:type="dxa"/>
        </w:tblCellMar>
      </w:tblPr>
      <w:tr>
        <w:trPr>
          <w:trHeight w:val="142"/>
        </w:trPr>
        <w:tc>
          <w:tcPr>
            <w:tcW w:w="63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4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6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r>
      <w:tr>
        <w:trPr>
          <w:trHeight w:val="19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63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Rooms</w:t>
            </w:r>
          </w:p>
        </w:tc>
        <w:tc>
          <w:tcPr>
            <w:tcW w:w="42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101,593</w:t>
            </w:r>
          </w:p>
        </w:tc>
        <w:tc>
          <w:tcPr>
            <w:tcW w:w="420" w:type="dxa"/>
            <w:vAlign w:val="bottom"/>
            <w:gridSpan w:val="2"/>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28,228</w:t>
            </w:r>
          </w:p>
        </w:tc>
        <w:tc>
          <w:tcPr>
            <w:tcW w:w="200" w:type="dxa"/>
            <w:vAlign w:val="bottom"/>
          </w:tcPr>
          <w:p>
            <w:pPr>
              <w:spacing w:after="0"/>
              <w:rPr>
                <w:sz w:val="18"/>
                <w:szCs w:val="18"/>
                <w:color w:val="auto"/>
              </w:rPr>
            </w:pPr>
          </w:p>
        </w:tc>
      </w:tr>
      <w:tr>
        <w:trPr>
          <w:trHeight w:val="216"/>
        </w:trPr>
        <w:tc>
          <w:tcPr>
            <w:tcW w:w="6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Food and beverage</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112,116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18,175</w:t>
            </w:r>
          </w:p>
        </w:tc>
        <w:tc>
          <w:tcPr>
            <w:tcW w:w="200" w:type="dxa"/>
            <w:vAlign w:val="bottom"/>
            <w:shd w:val="clear" w:color="auto" w:fill="CCEEFF"/>
          </w:tcPr>
          <w:p>
            <w:pPr>
              <w:spacing w:after="0"/>
              <w:rPr>
                <w:sz w:val="18"/>
                <w:szCs w:val="18"/>
                <w:color w:val="auto"/>
              </w:rPr>
            </w:pPr>
          </w:p>
        </w:tc>
      </w:tr>
      <w:tr>
        <w:trPr>
          <w:trHeight w:val="216"/>
        </w:trPr>
        <w:tc>
          <w:tcPr>
            <w:tcW w:w="63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Other hotel revenue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47,402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23,399</w:t>
            </w:r>
          </w:p>
        </w:tc>
        <w:tc>
          <w:tcPr>
            <w:tcW w:w="200" w:type="dxa"/>
            <w:vAlign w:val="bottom"/>
          </w:tcPr>
          <w:p>
            <w:pPr>
              <w:spacing w:after="0"/>
              <w:rPr>
                <w:sz w:val="18"/>
                <w:szCs w:val="18"/>
                <w:color w:val="auto"/>
              </w:rPr>
            </w:pPr>
          </w:p>
        </w:tc>
      </w:tr>
      <w:tr>
        <w:trPr>
          <w:trHeight w:val="216"/>
        </w:trPr>
        <w:tc>
          <w:tcPr>
            <w:tcW w:w="6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Entertainment</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38,024</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14,373</w:t>
            </w:r>
          </w:p>
        </w:tc>
        <w:tc>
          <w:tcPr>
            <w:tcW w:w="200" w:type="dxa"/>
            <w:vAlign w:val="bottom"/>
            <w:shd w:val="clear" w:color="auto" w:fill="CCEEFF"/>
          </w:tcPr>
          <w:p>
            <w:pPr>
              <w:spacing w:after="0"/>
              <w:rPr>
                <w:sz w:val="18"/>
                <w:szCs w:val="18"/>
                <w:color w:val="auto"/>
              </w:rPr>
            </w:pPr>
          </w:p>
        </w:tc>
      </w:tr>
      <w:tr>
        <w:trPr>
          <w:trHeight w:val="196"/>
        </w:trPr>
        <w:tc>
          <w:tcPr>
            <w:tcW w:w="63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Total revenues</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299,135</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84,175</w:t>
            </w:r>
          </w:p>
        </w:tc>
        <w:tc>
          <w:tcPr>
            <w:tcW w:w="200" w:type="dxa"/>
            <w:vAlign w:val="bottom"/>
          </w:tcPr>
          <w:p>
            <w:pPr>
              <w:spacing w:after="0"/>
              <w:rPr>
                <w:sz w:val="17"/>
                <w:szCs w:val="17"/>
                <w:color w:val="auto"/>
              </w:rPr>
            </w:pPr>
          </w:p>
        </w:tc>
      </w:tr>
      <w:tr>
        <w:trPr>
          <w:trHeight w:val="216"/>
        </w:trPr>
        <w:tc>
          <w:tcPr>
            <w:tcW w:w="6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5"/>
                <w:szCs w:val="15"/>
                <w:color w:val="auto"/>
              </w:rPr>
              <w:t>Operating expenses: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Rooms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30,136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9,477</w:t>
            </w:r>
          </w:p>
        </w:tc>
        <w:tc>
          <w:tcPr>
            <w:tcW w:w="200" w:type="dxa"/>
            <w:vAlign w:val="bottom"/>
            <w:shd w:val="clear" w:color="auto" w:fill="CCEEFF"/>
          </w:tcPr>
          <w:p>
            <w:pPr>
              <w:spacing w:after="0"/>
              <w:rPr>
                <w:sz w:val="18"/>
                <w:szCs w:val="18"/>
                <w:color w:val="auto"/>
              </w:rPr>
            </w:pPr>
          </w:p>
        </w:tc>
      </w:tr>
      <w:tr>
        <w:trPr>
          <w:trHeight w:val="216"/>
        </w:trPr>
        <w:tc>
          <w:tcPr>
            <w:tcW w:w="63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Food and beverage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71,329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19,329</w:t>
            </w:r>
          </w:p>
        </w:tc>
        <w:tc>
          <w:tcPr>
            <w:tcW w:w="200" w:type="dxa"/>
            <w:vAlign w:val="bottom"/>
          </w:tcPr>
          <w:p>
            <w:pPr>
              <w:spacing w:after="0"/>
              <w:rPr>
                <w:sz w:val="18"/>
                <w:szCs w:val="18"/>
                <w:color w:val="auto"/>
              </w:rPr>
            </w:pPr>
          </w:p>
        </w:tc>
      </w:tr>
      <w:tr>
        <w:trPr>
          <w:trHeight w:val="216"/>
        </w:trPr>
        <w:tc>
          <w:tcPr>
            <w:tcW w:w="6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Other hotel expenses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86,643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54,557</w:t>
            </w:r>
          </w:p>
        </w:tc>
        <w:tc>
          <w:tcPr>
            <w:tcW w:w="200" w:type="dxa"/>
            <w:vAlign w:val="bottom"/>
            <w:shd w:val="clear" w:color="auto" w:fill="CCEEFF"/>
          </w:tcPr>
          <w:p>
            <w:pPr>
              <w:spacing w:after="0"/>
              <w:rPr>
                <w:sz w:val="18"/>
                <w:szCs w:val="18"/>
                <w:color w:val="auto"/>
              </w:rPr>
            </w:pPr>
          </w:p>
        </w:tc>
      </w:tr>
      <w:tr>
        <w:trPr>
          <w:trHeight w:val="216"/>
        </w:trPr>
        <w:tc>
          <w:tcPr>
            <w:tcW w:w="63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5"/>
                <w:szCs w:val="15"/>
                <w:color w:val="auto"/>
              </w:rPr>
              <w:t>Management fees, net</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5,064</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753</w:t>
            </w:r>
          </w:p>
        </w:tc>
        <w:tc>
          <w:tcPr>
            <w:tcW w:w="200" w:type="dxa"/>
            <w:vAlign w:val="bottom"/>
            <w:tcBorders>
              <w:bottom w:val="single" w:sz="8" w:color="CCEEFF"/>
            </w:tcBorders>
          </w:tcPr>
          <w:p>
            <w:pPr>
              <w:spacing w:after="0"/>
              <w:rPr>
                <w:sz w:val="18"/>
                <w:szCs w:val="18"/>
                <w:color w:val="auto"/>
              </w:rPr>
            </w:pPr>
          </w:p>
        </w:tc>
      </w:tr>
      <w:tr>
        <w:trPr>
          <w:trHeight w:val="196"/>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hotel operating expenses</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193,172</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84,116</w:t>
            </w:r>
          </w:p>
        </w:tc>
        <w:tc>
          <w:tcPr>
            <w:tcW w:w="200" w:type="dxa"/>
            <w:vAlign w:val="bottom"/>
            <w:shd w:val="clear" w:color="auto" w:fill="CCEEFF"/>
          </w:tcPr>
          <w:p>
            <w:pPr>
              <w:spacing w:after="0"/>
              <w:rPr>
                <w:sz w:val="17"/>
                <w:szCs w:val="17"/>
                <w:color w:val="auto"/>
              </w:rPr>
            </w:pPr>
          </w:p>
        </w:tc>
      </w:tr>
      <w:tr>
        <w:trPr>
          <w:trHeight w:val="216"/>
        </w:trPr>
        <w:tc>
          <w:tcPr>
            <w:tcW w:w="63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Entertainment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31,731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18,691</w:t>
            </w:r>
          </w:p>
        </w:tc>
        <w:tc>
          <w:tcPr>
            <w:tcW w:w="200" w:type="dxa"/>
            <w:vAlign w:val="bottom"/>
          </w:tcPr>
          <w:p>
            <w:pPr>
              <w:spacing w:after="0"/>
              <w:rPr>
                <w:sz w:val="18"/>
                <w:szCs w:val="18"/>
                <w:color w:val="auto"/>
              </w:rPr>
            </w:pPr>
          </w:p>
        </w:tc>
      </w:tr>
      <w:tr>
        <w:trPr>
          <w:trHeight w:val="216"/>
        </w:trPr>
        <w:tc>
          <w:tcPr>
            <w:tcW w:w="6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Corporate</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9,557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7,528</w:t>
            </w:r>
          </w:p>
        </w:tc>
        <w:tc>
          <w:tcPr>
            <w:tcW w:w="200" w:type="dxa"/>
            <w:vAlign w:val="bottom"/>
            <w:shd w:val="clear" w:color="auto" w:fill="CCEEFF"/>
          </w:tcPr>
          <w:p>
            <w:pPr>
              <w:spacing w:after="0"/>
              <w:rPr>
                <w:sz w:val="18"/>
                <w:szCs w:val="18"/>
                <w:color w:val="auto"/>
              </w:rPr>
            </w:pPr>
          </w:p>
        </w:tc>
      </w:tr>
      <w:tr>
        <w:trPr>
          <w:trHeight w:val="216"/>
        </w:trPr>
        <w:tc>
          <w:tcPr>
            <w:tcW w:w="63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Preopening costs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399</w:t>
            </w:r>
          </w:p>
        </w:tc>
        <w:tc>
          <w:tcPr>
            <w:tcW w:w="200" w:type="dxa"/>
            <w:vAlign w:val="bottom"/>
          </w:tcPr>
          <w:p>
            <w:pPr>
              <w:spacing w:after="0"/>
              <w:rPr>
                <w:sz w:val="18"/>
                <w:szCs w:val="18"/>
                <w:color w:val="auto"/>
              </w:rPr>
            </w:pPr>
          </w:p>
        </w:tc>
      </w:tr>
      <w:tr>
        <w:trPr>
          <w:trHeight w:val="216"/>
        </w:trPr>
        <w:tc>
          <w:tcPr>
            <w:tcW w:w="6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(Gain) loss on sale of assets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(317)</w:t>
            </w:r>
          </w:p>
        </w:tc>
        <w:tc>
          <w:tcPr>
            <w:tcW w:w="200" w:type="dxa"/>
            <w:vAlign w:val="bottom"/>
            <w:shd w:val="clear" w:color="auto" w:fill="CCEEFF"/>
          </w:tcPr>
          <w:p>
            <w:pPr>
              <w:spacing w:after="0"/>
              <w:rPr>
                <w:sz w:val="18"/>
                <w:szCs w:val="18"/>
                <w:color w:val="auto"/>
              </w:rPr>
            </w:pPr>
          </w:p>
        </w:tc>
      </w:tr>
      <w:tr>
        <w:trPr>
          <w:trHeight w:val="216"/>
        </w:trPr>
        <w:tc>
          <w:tcPr>
            <w:tcW w:w="63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56,028</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53,315</w:t>
            </w:r>
          </w:p>
        </w:tc>
        <w:tc>
          <w:tcPr>
            <w:tcW w:w="200" w:type="dxa"/>
            <w:vAlign w:val="bottom"/>
            <w:tcBorders>
              <w:bottom w:val="single" w:sz="8" w:color="CCEEFF"/>
            </w:tcBorders>
          </w:tcPr>
          <w:p>
            <w:pPr>
              <w:spacing w:after="0"/>
              <w:rPr>
                <w:sz w:val="18"/>
                <w:szCs w:val="18"/>
                <w:color w:val="auto"/>
              </w:rPr>
            </w:pPr>
          </w:p>
        </w:tc>
      </w:tr>
      <w:tr>
        <w:trPr>
          <w:trHeight w:val="196"/>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operating expenses</w:t>
            </w:r>
          </w:p>
        </w:tc>
        <w:tc>
          <w:tcPr>
            <w:tcW w:w="2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291,261</w:t>
            </w:r>
          </w:p>
        </w:tc>
        <w:tc>
          <w:tcPr>
            <w:tcW w:w="2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163,732</w:t>
            </w:r>
          </w:p>
        </w:tc>
        <w:tc>
          <w:tcPr>
            <w:tcW w:w="200" w:type="dxa"/>
            <w:vAlign w:val="bottom"/>
            <w:shd w:val="clear" w:color="auto" w:fill="CCEEFF"/>
          </w:tcPr>
          <w:p>
            <w:pPr>
              <w:spacing w:after="0"/>
              <w:rPr>
                <w:sz w:val="17"/>
                <w:szCs w:val="17"/>
                <w:color w:val="auto"/>
              </w:rPr>
            </w:pPr>
          </w:p>
        </w:tc>
      </w:tr>
      <w:tr>
        <w:trPr>
          <w:trHeight w:val="196"/>
        </w:trPr>
        <w:tc>
          <w:tcPr>
            <w:tcW w:w="6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income (loss)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7,874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(79,557)</w:t>
            </w:r>
          </w:p>
        </w:tc>
        <w:tc>
          <w:tcPr>
            <w:tcW w:w="20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5"/>
                <w:szCs w:val="15"/>
                <w:color w:val="auto"/>
              </w:rPr>
              <w:t>Interest expense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(31,937)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(30,796)</w:t>
            </w:r>
          </w:p>
        </w:tc>
        <w:tc>
          <w:tcPr>
            <w:tcW w:w="200" w:type="dxa"/>
            <w:vAlign w:val="bottom"/>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Interest income</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1,370</w:t>
            </w:r>
          </w:p>
        </w:tc>
        <w:tc>
          <w:tcPr>
            <w:tcW w:w="20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5"/>
                <w:szCs w:val="15"/>
                <w:color w:val="auto"/>
              </w:rPr>
              <w:t>Loss on extinguishment of debt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(2,949)</w:t>
            </w:r>
          </w:p>
        </w:tc>
        <w:tc>
          <w:tcPr>
            <w:tcW w:w="200" w:type="dxa"/>
            <w:vAlign w:val="bottom"/>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Loss from unconsolidated joint ventures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(2,627)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(1,609)</w:t>
            </w:r>
          </w:p>
        </w:tc>
        <w:tc>
          <w:tcPr>
            <w:tcW w:w="200" w:type="dxa"/>
            <w:vAlign w:val="bottom"/>
            <w:shd w:val="clear" w:color="auto" w:fill="CCEEFF"/>
          </w:tcPr>
          <w:p>
            <w:pPr>
              <w:spacing w:after="0"/>
              <w:rPr>
                <w:sz w:val="18"/>
                <w:szCs w:val="18"/>
                <w:color w:val="auto"/>
              </w:rPr>
            </w:pPr>
          </w:p>
        </w:tc>
      </w:tr>
      <w:tr>
        <w:trPr>
          <w:trHeight w:val="216"/>
        </w:trPr>
        <w:tc>
          <w:tcPr>
            <w:tcW w:w="6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Other gains and (losses), net</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447</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374</w:t>
            </w:r>
          </w:p>
        </w:tc>
        <w:tc>
          <w:tcPr>
            <w:tcW w:w="200" w:type="dxa"/>
            <w:vAlign w:val="bottom"/>
            <w:tcBorders>
              <w:bottom w:val="single" w:sz="8" w:color="CCEEFF"/>
            </w:tcBorders>
          </w:tcPr>
          <w:p>
            <w:pPr>
              <w:spacing w:after="0"/>
              <w:rPr>
                <w:sz w:val="18"/>
                <w:szCs w:val="18"/>
                <w:color w:val="auto"/>
              </w:rPr>
            </w:pPr>
          </w:p>
        </w:tc>
      </w:tr>
      <w:tr>
        <w:trPr>
          <w:trHeight w:val="196"/>
        </w:trPr>
        <w:tc>
          <w:tcPr>
            <w:tcW w:w="6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Loss before income taxes</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(24,862)</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(113,167)</w:t>
            </w:r>
          </w:p>
        </w:tc>
        <w:tc>
          <w:tcPr>
            <w:tcW w:w="200" w:type="dxa"/>
            <w:vAlign w:val="bottom"/>
            <w:shd w:val="clear" w:color="auto" w:fill="CCEEFF"/>
          </w:tcPr>
          <w:p>
            <w:pPr>
              <w:spacing w:after="0"/>
              <w:rPr>
                <w:sz w:val="17"/>
                <w:szCs w:val="17"/>
                <w:color w:val="auto"/>
              </w:rPr>
            </w:pPr>
          </w:p>
        </w:tc>
      </w:tr>
      <w:tr>
        <w:trPr>
          <w:trHeight w:val="216"/>
        </w:trPr>
        <w:tc>
          <w:tcPr>
            <w:tcW w:w="6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Benefit (provision) for income taxes</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65</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(3,954)</w:t>
            </w:r>
          </w:p>
        </w:tc>
        <w:tc>
          <w:tcPr>
            <w:tcW w:w="200" w:type="dxa"/>
            <w:vAlign w:val="bottom"/>
            <w:tcBorders>
              <w:bottom w:val="single" w:sz="8" w:color="CCEEFF"/>
            </w:tcBorders>
          </w:tcPr>
          <w:p>
            <w:pPr>
              <w:spacing w:after="0"/>
              <w:rPr>
                <w:sz w:val="18"/>
                <w:szCs w:val="18"/>
                <w:color w:val="auto"/>
              </w:rPr>
            </w:pPr>
          </w:p>
        </w:tc>
      </w:tr>
      <w:tr>
        <w:trPr>
          <w:trHeight w:val="196"/>
        </w:trPr>
        <w:tc>
          <w:tcPr>
            <w:tcW w:w="6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Net loss</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(24,797)</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(117,121)</w:t>
            </w:r>
          </w:p>
        </w:tc>
        <w:tc>
          <w:tcPr>
            <w:tcW w:w="200" w:type="dxa"/>
            <w:vAlign w:val="bottom"/>
            <w:shd w:val="clear" w:color="auto" w:fill="CCEEFF"/>
          </w:tcPr>
          <w:p>
            <w:pPr>
              <w:spacing w:after="0"/>
              <w:rPr>
                <w:sz w:val="17"/>
                <w:szCs w:val="17"/>
                <w:color w:val="auto"/>
              </w:rPr>
            </w:pPr>
          </w:p>
        </w:tc>
      </w:tr>
      <w:tr>
        <w:trPr>
          <w:trHeight w:val="216"/>
        </w:trPr>
        <w:tc>
          <w:tcPr>
            <w:tcW w:w="6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 attributable to noncontrolling interest in consolidated joint venture</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11,793</w:t>
            </w:r>
          </w:p>
        </w:tc>
        <w:tc>
          <w:tcPr>
            <w:tcW w:w="200" w:type="dxa"/>
            <w:vAlign w:val="bottom"/>
            <w:shd w:val="clear" w:color="auto" w:fill="CCEEFF"/>
          </w:tcPr>
          <w:p>
            <w:pPr>
              <w:spacing w:after="0"/>
              <w:rPr>
                <w:sz w:val="18"/>
                <w:szCs w:val="18"/>
                <w:color w:val="auto"/>
              </w:rPr>
            </w:pPr>
          </w:p>
        </w:tc>
      </w:tr>
      <w:tr>
        <w:trPr>
          <w:trHeight w:val="216"/>
        </w:trPr>
        <w:tc>
          <w:tcPr>
            <w:tcW w:w="6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Net loss attributable to noncontrolling interest in Operating Partnership</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176</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807</w:t>
            </w:r>
          </w:p>
        </w:tc>
        <w:tc>
          <w:tcPr>
            <w:tcW w:w="200" w:type="dxa"/>
            <w:vAlign w:val="bottom"/>
            <w:tcBorders>
              <w:bottom w:val="single" w:sz="8" w:color="CCEEFF"/>
            </w:tcBorders>
          </w:tcPr>
          <w:p>
            <w:pPr>
              <w:spacing w:after="0"/>
              <w:rPr>
                <w:sz w:val="18"/>
                <w:szCs w:val="18"/>
                <w:color w:val="auto"/>
              </w:rPr>
            </w:pPr>
          </w:p>
        </w:tc>
      </w:tr>
      <w:tr>
        <w:trPr>
          <w:trHeight w:val="183"/>
        </w:trPr>
        <w:tc>
          <w:tcPr>
            <w:tcW w:w="6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Net loss available to common stockholders</w:t>
            </w:r>
          </w:p>
        </w:tc>
        <w:tc>
          <w:tcPr>
            <w:tcW w:w="42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(24,621)</w:t>
            </w:r>
          </w:p>
        </w:tc>
        <w:tc>
          <w:tcPr>
            <w:tcW w:w="420" w:type="dxa"/>
            <w:vAlign w:val="bottom"/>
            <w:gridSpan w:val="2"/>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(104,521)</w:t>
            </w:r>
          </w:p>
        </w:tc>
        <w:tc>
          <w:tcPr>
            <w:tcW w:w="200" w:type="dxa"/>
            <w:vAlign w:val="bottom"/>
            <w:shd w:val="clear" w:color="auto" w:fill="CCEEFF"/>
          </w:tcPr>
          <w:p>
            <w:pPr>
              <w:spacing w:after="0"/>
              <w:rPr>
                <w:sz w:val="15"/>
                <w:szCs w:val="15"/>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r>
        <w:trPr>
          <w:trHeight w:val="170"/>
        </w:trPr>
        <w:tc>
          <w:tcPr>
            <w:tcW w:w="6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03"/>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Basic loss per share available to common stockholders</w:t>
            </w:r>
          </w:p>
        </w:tc>
        <w:tc>
          <w:tcPr>
            <w:tcW w:w="42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(0.45)</w:t>
            </w:r>
          </w:p>
        </w:tc>
        <w:tc>
          <w:tcPr>
            <w:tcW w:w="420" w:type="dxa"/>
            <w:vAlign w:val="bottom"/>
            <w:gridSpan w:val="2"/>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(1.90)</w:t>
            </w:r>
          </w:p>
        </w:tc>
        <w:tc>
          <w:tcPr>
            <w:tcW w:w="200" w:type="dxa"/>
            <w:vAlign w:val="bottom"/>
            <w:shd w:val="clear" w:color="auto" w:fill="CCEEFF"/>
          </w:tcPr>
          <w:p>
            <w:pPr>
              <w:spacing w:after="0"/>
              <w:rPr>
                <w:sz w:val="17"/>
                <w:szCs w:val="17"/>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r>
        <w:trPr>
          <w:trHeight w:val="196"/>
        </w:trPr>
        <w:tc>
          <w:tcPr>
            <w:tcW w:w="6380" w:type="dxa"/>
            <w:vAlign w:val="bottom"/>
            <w:tcBorders>
              <w:bottom w:val="single" w:sz="8" w:color="CCEEFF"/>
            </w:tcBorders>
          </w:tcPr>
          <w:p>
            <w:pPr>
              <w:spacing w:after="0" w:line="156" w:lineRule="exact"/>
              <w:rPr>
                <w:sz w:val="20"/>
                <w:szCs w:val="20"/>
                <w:color w:val="auto"/>
              </w:rPr>
            </w:pPr>
            <w:r>
              <w:rPr>
                <w:rFonts w:ascii="Times New Roman" w:cs="Times New Roman" w:eastAsia="Times New Roman" w:hAnsi="Times New Roman"/>
                <w:sz w:val="15"/>
                <w:szCs w:val="15"/>
                <w:color w:val="auto"/>
              </w:rPr>
              <w:t>Diluted loss per share available to common stockholders</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(0.45)</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(1.90)</w:t>
            </w:r>
          </w:p>
        </w:tc>
        <w:tc>
          <w:tcPr>
            <w:tcW w:w="200" w:type="dxa"/>
            <w:vAlign w:val="bottom"/>
            <w:tcBorders>
              <w:bottom w:val="single" w:sz="8" w:color="CCEEFF"/>
            </w:tcBorders>
          </w:tcPr>
          <w:p>
            <w:pPr>
              <w:spacing w:after="0"/>
              <w:rPr>
                <w:sz w:val="17"/>
                <w:szCs w:val="17"/>
                <w:color w:val="auto"/>
              </w:rPr>
            </w:pPr>
          </w:p>
        </w:tc>
      </w:tr>
      <w:tr>
        <w:trPr>
          <w:trHeight w:val="170"/>
        </w:trPr>
        <w:tc>
          <w:tcPr>
            <w:tcW w:w="6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5"/>
                <w:szCs w:val="15"/>
                <w:color w:val="auto"/>
              </w:rPr>
              <w:t>Comprehensive loss, net of taxes</w:t>
            </w:r>
          </w:p>
        </w:tc>
        <w:tc>
          <w:tcPr>
            <w:tcW w:w="42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(14,811)</w:t>
            </w:r>
          </w:p>
        </w:tc>
        <w:tc>
          <w:tcPr>
            <w:tcW w:w="420" w:type="dxa"/>
            <w:vAlign w:val="bottom"/>
            <w:gridSpan w:val="2"/>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(111,021)</w:t>
            </w:r>
          </w:p>
        </w:tc>
        <w:tc>
          <w:tcPr>
            <w:tcW w:w="200" w:type="dxa"/>
            <w:vAlign w:val="bottom"/>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Comprehensive loss, net of taxes, attributable to noncontrolling interest in consolidated joint venture</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10,711</w:t>
            </w:r>
          </w:p>
        </w:tc>
        <w:tc>
          <w:tcPr>
            <w:tcW w:w="200" w:type="dxa"/>
            <w:vAlign w:val="bottom"/>
            <w:shd w:val="clear" w:color="auto" w:fill="CCEEFF"/>
          </w:tcPr>
          <w:p>
            <w:pPr>
              <w:spacing w:after="0"/>
              <w:rPr>
                <w:sz w:val="18"/>
                <w:szCs w:val="18"/>
                <w:color w:val="auto"/>
              </w:rPr>
            </w:pPr>
          </w:p>
        </w:tc>
      </w:tr>
      <w:tr>
        <w:trPr>
          <w:trHeight w:val="216"/>
        </w:trPr>
        <w:tc>
          <w:tcPr>
            <w:tcW w:w="6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Comprehensive loss, net of taxes, attributable to noncontrolling interest in Operating Partnership</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105</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763</w:t>
            </w:r>
          </w:p>
        </w:tc>
        <w:tc>
          <w:tcPr>
            <w:tcW w:w="200" w:type="dxa"/>
            <w:vAlign w:val="bottom"/>
            <w:tcBorders>
              <w:bottom w:val="single" w:sz="8" w:color="CCEEFF"/>
            </w:tcBorders>
          </w:tcPr>
          <w:p>
            <w:pPr>
              <w:spacing w:after="0"/>
              <w:rPr>
                <w:sz w:val="18"/>
                <w:szCs w:val="18"/>
                <w:color w:val="auto"/>
              </w:rPr>
            </w:pPr>
          </w:p>
        </w:tc>
      </w:tr>
      <w:tr>
        <w:trPr>
          <w:trHeight w:val="183"/>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Comprehensive loss, net of taxes, available to common stockholders</w:t>
            </w:r>
          </w:p>
        </w:tc>
        <w:tc>
          <w:tcPr>
            <w:tcW w:w="42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(14,706)</w:t>
            </w:r>
          </w:p>
        </w:tc>
        <w:tc>
          <w:tcPr>
            <w:tcW w:w="420" w:type="dxa"/>
            <w:vAlign w:val="bottom"/>
            <w:gridSpan w:val="2"/>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(99,547)</w:t>
            </w:r>
          </w:p>
        </w:tc>
        <w:tc>
          <w:tcPr>
            <w:tcW w:w="200" w:type="dxa"/>
            <w:vAlign w:val="bottom"/>
            <w:shd w:val="clear" w:color="auto" w:fill="CCEEFF"/>
          </w:tcPr>
          <w:p>
            <w:pPr>
              <w:spacing w:after="0"/>
              <w:rPr>
                <w:sz w:val="15"/>
                <w:szCs w:val="15"/>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RYMAN HOSPITALITY PROPERTIES,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65"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tcBorders>
              <w:bottom w:val="single" w:sz="8" w:color="CCEEFF"/>
            </w:tcBorders>
          </w:tcPr>
          <w:p>
            <w:pPr>
              <w:spacing w:after="0"/>
              <w:rPr>
                <w:sz w:val="12"/>
                <w:szCs w:val="12"/>
                <w:color w:val="auto"/>
              </w:rPr>
            </w:pPr>
          </w:p>
        </w:tc>
        <w:tc>
          <w:tcPr>
            <w:tcW w:w="10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2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2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7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Cash Flows from Operating Activities:</w:t>
            </w:r>
          </w:p>
        </w:tc>
        <w:tc>
          <w:tcPr>
            <w:tcW w:w="10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Net loss</w:t>
            </w:r>
          </w:p>
        </w:tc>
        <w:tc>
          <w:tcPr>
            <w:tcW w:w="1180" w:type="dxa"/>
            <w:vAlign w:val="bottom"/>
            <w:gridSpan w:val="2"/>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(24,797)</w:t>
            </w:r>
          </w:p>
        </w:tc>
        <w:tc>
          <w:tcPr>
            <w:tcW w:w="440" w:type="dxa"/>
            <w:vAlign w:val="bottom"/>
            <w:gridSpan w:val="2"/>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(117,121)</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Amounts to reconcile net loss to net cash flows used in operating activities:</w:t>
            </w: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Provision (benefit) for deferred income taxes</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(415)</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3,781</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Depreciation and amortization</w:t>
            </w: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56,028</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53,315</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Amortization of deferred financing costs</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2,229</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2,209</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Loss from unconsolidated joint ventures</w:t>
            </w: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2,627</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1,609</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Stock-based compensation expense</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3,786</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2,522</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Changes in:</w:t>
            </w: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Trade receivables</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(8,488)</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1,823</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Accounts payable and accrued liabilities</w:t>
            </w: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(17,330)</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(4,785)</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tcBorders>
              <w:bottom w:val="single" w:sz="8" w:color="CCEEFF"/>
            </w:tcBorders>
          </w:tcPr>
          <w:p>
            <w:pPr>
              <w:ind w:left="300"/>
              <w:spacing w:after="0" w:line="162" w:lineRule="exact"/>
              <w:rPr>
                <w:sz w:val="20"/>
                <w:szCs w:val="20"/>
                <w:color w:val="auto"/>
              </w:rPr>
            </w:pPr>
            <w:r>
              <w:rPr>
                <w:rFonts w:ascii="Times New Roman" w:cs="Times New Roman" w:eastAsia="Times New Roman" w:hAnsi="Times New Roman"/>
                <w:sz w:val="15"/>
                <w:szCs w:val="15"/>
                <w:color w:val="auto"/>
              </w:rPr>
              <w:t>Other assets and liabilities</w:t>
            </w:r>
          </w:p>
        </w:tc>
        <w:tc>
          <w:tcPr>
            <w:tcW w:w="10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(17,814)</w:t>
            </w: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13,760</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700" w:type="dxa"/>
            <w:vAlign w:val="bottom"/>
            <w:shd w:val="clear" w:color="auto" w:fill="CCEEFF"/>
          </w:tcPr>
          <w:p>
            <w:pPr>
              <w:ind w:left="200"/>
              <w:spacing w:after="0" w:line="156" w:lineRule="exact"/>
              <w:rPr>
                <w:sz w:val="20"/>
                <w:szCs w:val="20"/>
                <w:color w:val="auto"/>
              </w:rPr>
            </w:pPr>
            <w:r>
              <w:rPr>
                <w:rFonts w:ascii="Times New Roman" w:cs="Times New Roman" w:eastAsia="Times New Roman" w:hAnsi="Times New Roman"/>
                <w:sz w:val="15"/>
                <w:szCs w:val="15"/>
                <w:color w:val="auto"/>
              </w:rPr>
              <w:t>Net cash flows used in operating activities</w:t>
            </w:r>
          </w:p>
        </w:tc>
        <w:tc>
          <w:tcPr>
            <w:tcW w:w="10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(4,174)</w:t>
            </w:r>
          </w:p>
        </w:tc>
        <w:tc>
          <w:tcPr>
            <w:tcW w:w="2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(42,887)</w:t>
            </w: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7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7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Cash Flows from Investing Activities:</w:t>
            </w: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Purchases of property and equipment</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(9,716)</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(25,831)</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Collection of notes receivable</w:t>
            </w: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2,381</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Investment in joint ventures</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(2,045)</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(4,572)</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Other investing activities, net</w:t>
            </w:r>
          </w:p>
        </w:tc>
        <w:tc>
          <w:tcPr>
            <w:tcW w:w="10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816</w:t>
            </w:r>
          </w:p>
        </w:tc>
        <w:tc>
          <w:tcPr>
            <w:tcW w:w="2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5,462</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700" w:type="dxa"/>
            <w:vAlign w:val="bottom"/>
            <w:tcBorders>
              <w:bottom w:val="single" w:sz="8" w:color="CCEEFF"/>
            </w:tcBorders>
          </w:tcPr>
          <w:p>
            <w:pPr>
              <w:ind w:left="200"/>
              <w:spacing w:after="0" w:line="156" w:lineRule="exact"/>
              <w:rPr>
                <w:sz w:val="20"/>
                <w:szCs w:val="20"/>
                <w:color w:val="auto"/>
              </w:rPr>
            </w:pPr>
            <w:r>
              <w:rPr>
                <w:rFonts w:ascii="Times New Roman" w:cs="Times New Roman" w:eastAsia="Times New Roman" w:hAnsi="Times New Roman"/>
                <w:sz w:val="15"/>
                <w:szCs w:val="15"/>
                <w:color w:val="auto"/>
              </w:rPr>
              <w:t>Net cash flows used in investing activities</w:t>
            </w:r>
          </w:p>
        </w:tc>
        <w:tc>
          <w:tcPr>
            <w:tcW w:w="10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(8,564)</w:t>
            </w:r>
          </w:p>
        </w:tc>
        <w:tc>
          <w:tcPr>
            <w:tcW w:w="2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(24,941)</w:t>
            </w:r>
          </w:p>
        </w:tc>
        <w:tc>
          <w:tcPr>
            <w:tcW w:w="2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7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7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Cash Flows from Financing Activities:</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Net borrowings (repayments) under revolving credit facility</w:t>
            </w: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(106,000)</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Repayments under term loan B</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(1,250)</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(1,250)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Issuance of senior notes</w:t>
            </w: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600,000</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Redemption of senior notes</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(400,000)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Deferred financing costs paid</w:t>
            </w: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(10,540)</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Redemption of noncontrolling interest in Operating Partnership</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(2,438)</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Payment of dividends</w:t>
            </w: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(276)</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(488)</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Payment of tax withholdings for share-based compensation</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(3,761)</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(3,357)</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Other financing activities, net</w:t>
            </w:r>
          </w:p>
        </w:tc>
        <w:tc>
          <w:tcPr>
            <w:tcW w:w="10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(66)</w:t>
            </w:r>
          </w:p>
        </w:tc>
        <w:tc>
          <w:tcPr>
            <w:tcW w:w="2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(58)</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700" w:type="dxa"/>
            <w:vAlign w:val="bottom"/>
            <w:tcBorders>
              <w:bottom w:val="single" w:sz="8" w:color="CCEEFF"/>
            </w:tcBorders>
          </w:tcPr>
          <w:p>
            <w:pPr>
              <w:ind w:left="200"/>
              <w:spacing w:after="0" w:line="156" w:lineRule="exact"/>
              <w:rPr>
                <w:sz w:val="20"/>
                <w:szCs w:val="20"/>
                <w:color w:val="auto"/>
              </w:rPr>
            </w:pPr>
            <w:r>
              <w:rPr>
                <w:rFonts w:ascii="Times New Roman" w:cs="Times New Roman" w:eastAsia="Times New Roman" w:hAnsi="Times New Roman"/>
                <w:sz w:val="15"/>
                <w:szCs w:val="15"/>
                <w:color w:val="auto"/>
              </w:rPr>
              <w:t>Net cash flows provided by (used in) financing activities</w:t>
            </w:r>
          </w:p>
        </w:tc>
        <w:tc>
          <w:tcPr>
            <w:tcW w:w="10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(5,353)</w:t>
            </w:r>
          </w:p>
        </w:tc>
        <w:tc>
          <w:tcPr>
            <w:tcW w:w="2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75,869</w:t>
            </w:r>
          </w:p>
        </w:tc>
        <w:tc>
          <w:tcPr>
            <w:tcW w:w="2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7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7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Net change in cash, cash equivalents, and restricted cash</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(18,091)</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8,041</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Cash, cash equivalents, and restricted cash, beginning of period</w:t>
            </w:r>
          </w:p>
        </w:tc>
        <w:tc>
          <w:tcPr>
            <w:tcW w:w="10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163,000</w:t>
            </w:r>
          </w:p>
        </w:tc>
        <w:tc>
          <w:tcPr>
            <w:tcW w:w="2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79,754</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720" w:type="dxa"/>
            <w:vAlign w:val="bottom"/>
            <w:gridSpan w:val="2"/>
          </w:tcPr>
          <w:p>
            <w:pPr>
              <w:spacing w:after="0" w:line="156" w:lineRule="exact"/>
              <w:rPr>
                <w:sz w:val="20"/>
                <w:szCs w:val="20"/>
                <w:color w:val="auto"/>
              </w:rPr>
            </w:pPr>
            <w:r>
              <w:rPr>
                <w:rFonts w:ascii="Times New Roman" w:cs="Times New Roman" w:eastAsia="Times New Roman" w:hAnsi="Times New Roman"/>
                <w:sz w:val="15"/>
                <w:szCs w:val="15"/>
                <w:color w:val="auto"/>
              </w:rPr>
              <w:t>Cash, cash equivalents, and restricted cash, end of period</w:t>
            </w:r>
          </w:p>
        </w:tc>
        <w:tc>
          <w:tcPr>
            <w:tcW w:w="1000" w:type="dxa"/>
            <w:vAlign w:val="bottom"/>
          </w:tcPr>
          <w:p>
            <w:pPr>
              <w:spacing w:after="0"/>
              <w:rPr>
                <w:sz w:val="17"/>
                <w:szCs w:val="17"/>
                <w:color w:val="auto"/>
              </w:rPr>
            </w:pPr>
          </w:p>
        </w:tc>
        <w:tc>
          <w:tcPr>
            <w:tcW w:w="180" w:type="dxa"/>
            <w:vAlign w:val="bottom"/>
            <w:tcBorders>
              <w:bottom w:val="single" w:sz="8" w:color="auto"/>
            </w:tcBorders>
          </w:tcPr>
          <w:p>
            <w:pPr>
              <w:jc w:val="right"/>
              <w:ind w:right="2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144,909</w:t>
            </w:r>
          </w:p>
        </w:tc>
        <w:tc>
          <w:tcPr>
            <w:tcW w:w="200" w:type="dxa"/>
            <w:vAlign w:val="bottom"/>
          </w:tcPr>
          <w:p>
            <w:pPr>
              <w:spacing w:after="0"/>
              <w:rPr>
                <w:sz w:val="17"/>
                <w:szCs w:val="17"/>
                <w:color w:val="auto"/>
              </w:rPr>
            </w:pPr>
          </w:p>
        </w:tc>
        <w:tc>
          <w:tcPr>
            <w:tcW w:w="240" w:type="dxa"/>
            <w:vAlign w:val="bottom"/>
            <w:tcBorders>
              <w:bottom w:val="single" w:sz="8" w:color="auto"/>
            </w:tcBorders>
          </w:tcPr>
          <w:p>
            <w:pPr>
              <w:jc w:val="right"/>
              <w:ind w:right="8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87,795</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570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7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Reconciliation of cash, cash equivalents, and restricted cash to balance sheet:</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Cash and cash equivalents - unrestricted</w:t>
            </w:r>
          </w:p>
        </w:tc>
        <w:tc>
          <w:tcPr>
            <w:tcW w:w="1180" w:type="dxa"/>
            <w:vAlign w:val="bottom"/>
            <w:gridSpan w:val="2"/>
            <w:shd w:val="clear" w:color="auto" w:fill="CCEEFF"/>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128,436</w:t>
            </w:r>
          </w:p>
        </w:tc>
        <w:tc>
          <w:tcPr>
            <w:tcW w:w="440" w:type="dxa"/>
            <w:vAlign w:val="bottom"/>
            <w:gridSpan w:val="2"/>
            <w:shd w:val="clear" w:color="auto" w:fill="CCEEFF"/>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67,138</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tcBorders>
              <w:bottom w:val="single" w:sz="8" w:color="CCEEFF"/>
            </w:tcBorders>
          </w:tcPr>
          <w:p>
            <w:pPr>
              <w:ind w:left="80"/>
              <w:spacing w:after="0" w:line="162" w:lineRule="exact"/>
              <w:rPr>
                <w:sz w:val="20"/>
                <w:szCs w:val="20"/>
                <w:color w:val="auto"/>
              </w:rPr>
            </w:pPr>
            <w:r>
              <w:rPr>
                <w:rFonts w:ascii="Times New Roman" w:cs="Times New Roman" w:eastAsia="Times New Roman" w:hAnsi="Times New Roman"/>
                <w:sz w:val="15"/>
                <w:szCs w:val="15"/>
                <w:color w:val="auto"/>
              </w:rPr>
              <w:t>Cash and cash equivalents - restricted</w:t>
            </w:r>
          </w:p>
        </w:tc>
        <w:tc>
          <w:tcPr>
            <w:tcW w:w="10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16,473</w:t>
            </w: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20,657</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700" w:type="dxa"/>
            <w:vAlign w:val="bottom"/>
            <w:tcBorders>
              <w:bottom w:val="single" w:sz="8" w:color="CCEEFF"/>
            </w:tcBorders>
            <w:shd w:val="clear" w:color="auto" w:fill="CCEEFF"/>
          </w:tcPr>
          <w:p>
            <w:pPr>
              <w:ind w:left="80"/>
              <w:spacing w:after="0" w:line="156" w:lineRule="exact"/>
              <w:rPr>
                <w:sz w:val="20"/>
                <w:szCs w:val="20"/>
                <w:color w:val="auto"/>
              </w:rPr>
            </w:pPr>
            <w:r>
              <w:rPr>
                <w:rFonts w:ascii="Times New Roman" w:cs="Times New Roman" w:eastAsia="Times New Roman" w:hAnsi="Times New Roman"/>
                <w:sz w:val="15"/>
                <w:szCs w:val="15"/>
                <w:color w:val="auto"/>
              </w:rPr>
              <w:t>Cash, cash equivalents, and restricted cash, end of period</w:t>
            </w:r>
          </w:p>
        </w:tc>
        <w:tc>
          <w:tcPr>
            <w:tcW w:w="10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2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144,909</w:t>
            </w:r>
          </w:p>
        </w:tc>
        <w:tc>
          <w:tcPr>
            <w:tcW w:w="2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8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87,795</w:t>
            </w:r>
          </w:p>
        </w:tc>
        <w:tc>
          <w:tcPr>
            <w:tcW w:w="2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40" w:right="99"/>
        <w:spacing w:after="0" w:line="259" w:lineRule="auto"/>
        <w:rPr>
          <w:sz w:val="20"/>
          <w:szCs w:val="20"/>
          <w:color w:val="auto"/>
        </w:rPr>
      </w:pPr>
      <w:r>
        <w:rPr>
          <w:rFonts w:ascii="Times New Roman" w:cs="Times New Roman" w:eastAsia="Times New Roman" w:hAnsi="Times New Roman"/>
          <w:sz w:val="18"/>
          <w:szCs w:val="18"/>
          <w:b w:val="1"/>
          <w:bCs w:val="1"/>
          <w:color w:val="auto"/>
        </w:rPr>
        <w:t>RYMAN HOSPITALITY PROPERTIES, INC. AND SUBSIDIARIES CONDENSED CONSOLIDATED STATEMENTS OF EQUITY (DEFICIT) AND NONCONTROLLING INTEREST</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1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3"/>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7"/>
              </w:rPr>
              <w:t>Distributions</w:t>
            </w:r>
          </w:p>
        </w:tc>
        <w:tc>
          <w:tcPr>
            <w:tcW w:w="20" w:type="dxa"/>
            <w:vAlign w:val="bottom"/>
          </w:tcPr>
          <w:p>
            <w:pPr>
              <w:spacing w:after="0"/>
              <w:rPr>
                <w:sz w:val="12"/>
                <w:szCs w:val="12"/>
                <w:color w:val="auto"/>
              </w:rPr>
            </w:pPr>
          </w:p>
        </w:tc>
        <w:tc>
          <w:tcPr>
            <w:tcW w:w="880" w:type="dxa"/>
            <w:vAlign w:val="bottom"/>
            <w:gridSpan w:val="4"/>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4"/>
          </w:tcPr>
          <w:p>
            <w:pPr>
              <w:ind w:left="20"/>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Noncontrolling</w:t>
            </w:r>
          </w:p>
        </w:tc>
      </w:tr>
      <w:tr>
        <w:trPr>
          <w:trHeight w:val="135"/>
        </w:trPr>
        <w:tc>
          <w:tcPr>
            <w:tcW w:w="1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98"/>
              </w:rPr>
              <w:t>Additional</w:t>
            </w: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3"/>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96"/>
              </w:rPr>
              <w:t>in Excess of</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3"/>
          </w:tcPr>
          <w:p>
            <w:pPr>
              <w:jc w:val="center"/>
              <w:ind w:right="280"/>
              <w:spacing w:after="0" w:line="135"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2"/>
                <w:szCs w:val="12"/>
                <w:b w:val="1"/>
                <w:bCs w:val="1"/>
                <w:color w:val="auto"/>
                <w:w w:val="94"/>
              </w:rPr>
              <w:t>Total</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4"/>
              </w:rPr>
              <w:t>Interest in</w:t>
            </w:r>
          </w:p>
        </w:tc>
        <w:tc>
          <w:tcPr>
            <w:tcW w:w="80" w:type="dxa"/>
            <w:vAlign w:val="bottom"/>
          </w:tcPr>
          <w:p>
            <w:pPr>
              <w:spacing w:after="0"/>
              <w:rPr>
                <w:sz w:val="11"/>
                <w:szCs w:val="11"/>
                <w:color w:val="auto"/>
              </w:rPr>
            </w:pPr>
          </w:p>
        </w:tc>
        <w:tc>
          <w:tcPr>
            <w:tcW w:w="64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2"/>
                <w:szCs w:val="12"/>
                <w:b w:val="1"/>
                <w:bCs w:val="1"/>
                <w:color w:val="auto"/>
                <w:w w:val="94"/>
              </w:rPr>
              <w:t>Total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ind w:right="18"/>
              <w:spacing w:after="0" w:line="135" w:lineRule="exact"/>
              <w:rPr>
                <w:sz w:val="20"/>
                <w:szCs w:val="20"/>
                <w:color w:val="auto"/>
              </w:rPr>
            </w:pPr>
            <w:r>
              <w:rPr>
                <w:rFonts w:ascii="Times New Roman" w:cs="Times New Roman" w:eastAsia="Times New Roman" w:hAnsi="Times New Roman"/>
                <w:sz w:val="12"/>
                <w:szCs w:val="12"/>
                <w:b w:val="1"/>
                <w:bCs w:val="1"/>
                <w:color w:val="auto"/>
                <w:w w:val="98"/>
              </w:rPr>
              <w:t>Interest in</w:t>
            </w:r>
          </w:p>
        </w:tc>
      </w:tr>
      <w:tr>
        <w:trPr>
          <w:trHeight w:val="135"/>
        </w:trPr>
        <w:tc>
          <w:tcPr>
            <w:tcW w:w="1960" w:type="dxa"/>
            <w:vAlign w:val="bottom"/>
          </w:tcPr>
          <w:p>
            <w:pPr>
              <w:spacing w:after="0"/>
              <w:rPr>
                <w:sz w:val="11"/>
                <w:szCs w:val="11"/>
                <w:color w:val="auto"/>
              </w:rPr>
            </w:pPr>
          </w:p>
        </w:tc>
        <w:tc>
          <w:tcPr>
            <w:tcW w:w="580" w:type="dxa"/>
            <w:vAlign w:val="bottom"/>
            <w:gridSpan w:val="5"/>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Common</w:t>
            </w:r>
          </w:p>
        </w:tc>
        <w:tc>
          <w:tcPr>
            <w:tcW w:w="20" w:type="dxa"/>
            <w:vAlign w:val="bottom"/>
          </w:tcPr>
          <w:p>
            <w:pPr>
              <w:spacing w:after="0"/>
              <w:rPr>
                <w:sz w:val="11"/>
                <w:szCs w:val="11"/>
                <w:color w:val="auto"/>
              </w:rPr>
            </w:pPr>
          </w:p>
        </w:tc>
        <w:tc>
          <w:tcPr>
            <w:tcW w:w="7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6"/>
              </w:rPr>
              <w:t>Paid-in</w:t>
            </w:r>
          </w:p>
        </w:tc>
        <w:tc>
          <w:tcPr>
            <w:tcW w:w="20" w:type="dxa"/>
            <w:vAlign w:val="bottom"/>
          </w:tcPr>
          <w:p>
            <w:pPr>
              <w:spacing w:after="0"/>
              <w:rPr>
                <w:sz w:val="11"/>
                <w:szCs w:val="11"/>
                <w:color w:val="auto"/>
              </w:rPr>
            </w:pPr>
          </w:p>
        </w:tc>
        <w:tc>
          <w:tcPr>
            <w:tcW w:w="620" w:type="dxa"/>
            <w:vAlign w:val="bottom"/>
            <w:gridSpan w:val="3"/>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92"/>
              </w:rPr>
              <w:t>Treasury</w:t>
            </w:r>
          </w:p>
        </w:tc>
        <w:tc>
          <w:tcPr>
            <w:tcW w:w="20" w:type="dxa"/>
            <w:vAlign w:val="bottom"/>
          </w:tcPr>
          <w:p>
            <w:pPr>
              <w:spacing w:after="0"/>
              <w:rPr>
                <w:sz w:val="11"/>
                <w:szCs w:val="11"/>
                <w:color w:val="auto"/>
              </w:rPr>
            </w:pPr>
          </w:p>
        </w:tc>
        <w:tc>
          <w:tcPr>
            <w:tcW w:w="800" w:type="dxa"/>
            <w:vAlign w:val="bottom"/>
            <w:gridSpan w:val="3"/>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99"/>
              </w:rPr>
              <w:t>Retained</w:t>
            </w:r>
          </w:p>
        </w:tc>
        <w:tc>
          <w:tcPr>
            <w:tcW w:w="900" w:type="dxa"/>
            <w:vAlign w:val="bottom"/>
            <w:gridSpan w:val="5"/>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20" w:type="dxa"/>
            <w:vAlign w:val="bottom"/>
          </w:tcPr>
          <w:p>
            <w:pPr>
              <w:spacing w:after="0"/>
              <w:rPr>
                <w:sz w:val="11"/>
                <w:szCs w:val="11"/>
                <w:color w:val="auto"/>
              </w:rPr>
            </w:pPr>
          </w:p>
        </w:tc>
        <w:tc>
          <w:tcPr>
            <w:tcW w:w="800" w:type="dxa"/>
            <w:vAlign w:val="bottom"/>
            <w:gridSpan w:val="4"/>
          </w:tcPr>
          <w:p>
            <w:pPr>
              <w:jc w:val="center"/>
              <w:ind w:right="40"/>
              <w:spacing w:after="0" w:line="135" w:lineRule="exact"/>
              <w:rPr>
                <w:sz w:val="20"/>
                <w:szCs w:val="20"/>
                <w:color w:val="auto"/>
              </w:rPr>
            </w:pPr>
            <w:r>
              <w:rPr>
                <w:rFonts w:ascii="Times New Roman" w:cs="Times New Roman" w:eastAsia="Times New Roman" w:hAnsi="Times New Roman"/>
                <w:sz w:val="12"/>
                <w:szCs w:val="12"/>
                <w:b w:val="1"/>
                <w:bCs w:val="1"/>
                <w:color w:val="auto"/>
                <w:w w:val="97"/>
              </w:rPr>
              <w:t>Stockholders'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4"/>
              </w:rPr>
              <w:t>Operating</w:t>
            </w:r>
          </w:p>
        </w:tc>
        <w:tc>
          <w:tcPr>
            <w:tcW w:w="80" w:type="dxa"/>
            <w:vAlign w:val="bottom"/>
          </w:tcPr>
          <w:p>
            <w:pPr>
              <w:spacing w:after="0"/>
              <w:rPr>
                <w:sz w:val="11"/>
                <w:szCs w:val="11"/>
                <w:color w:val="auto"/>
              </w:rPr>
            </w:pPr>
          </w:p>
        </w:tc>
        <w:tc>
          <w:tcPr>
            <w:tcW w:w="64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2"/>
                <w:szCs w:val="12"/>
                <w:b w:val="1"/>
                <w:bCs w:val="1"/>
                <w:color w:val="auto"/>
                <w:w w:val="97"/>
              </w:rPr>
              <w:t>Equity</w:t>
            </w:r>
          </w:p>
        </w:tc>
        <w:tc>
          <w:tcPr>
            <w:tcW w:w="20" w:type="dxa"/>
            <w:vAlign w:val="bottom"/>
          </w:tcPr>
          <w:p>
            <w:pPr>
              <w:spacing w:after="0"/>
              <w:rPr>
                <w:sz w:val="11"/>
                <w:szCs w:val="11"/>
                <w:color w:val="auto"/>
              </w:rPr>
            </w:pPr>
          </w:p>
        </w:tc>
        <w:tc>
          <w:tcPr>
            <w:tcW w:w="7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Consolidated</w:t>
            </w:r>
          </w:p>
        </w:tc>
      </w:tr>
      <w:tr>
        <w:trPr>
          <w:trHeight w:val="145"/>
        </w:trPr>
        <w:tc>
          <w:tcPr>
            <w:tcW w:w="1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Stock</w:t>
            </w:r>
          </w:p>
        </w:tc>
        <w:tc>
          <w:tcPr>
            <w:tcW w:w="20" w:type="dxa"/>
            <w:vAlign w:val="bottom"/>
          </w:tcPr>
          <w:p>
            <w:pPr>
              <w:spacing w:after="0"/>
              <w:rPr>
                <w:sz w:val="12"/>
                <w:szCs w:val="12"/>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4"/>
              </w:rPr>
              <w:t>Capital</w:t>
            </w:r>
          </w:p>
        </w:tc>
        <w:tc>
          <w:tcPr>
            <w:tcW w:w="20" w:type="dxa"/>
            <w:vAlign w:val="bottom"/>
          </w:tcPr>
          <w:p>
            <w:pPr>
              <w:spacing w:after="0"/>
              <w:rPr>
                <w:sz w:val="12"/>
                <w:szCs w:val="12"/>
                <w:color w:val="auto"/>
              </w:rPr>
            </w:pPr>
          </w:p>
        </w:tc>
        <w:tc>
          <w:tcPr>
            <w:tcW w:w="620" w:type="dxa"/>
            <w:vAlign w:val="bottom"/>
            <w:gridSpan w:val="3"/>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20" w:type="dxa"/>
            <w:vAlign w:val="bottom"/>
          </w:tcPr>
          <w:p>
            <w:pPr>
              <w:spacing w:after="0"/>
              <w:rPr>
                <w:sz w:val="12"/>
                <w:szCs w:val="12"/>
                <w:color w:val="auto"/>
              </w:rPr>
            </w:pPr>
          </w:p>
        </w:tc>
        <w:tc>
          <w:tcPr>
            <w:tcW w:w="800" w:type="dxa"/>
            <w:vAlign w:val="bottom"/>
            <w:gridSpan w:val="3"/>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8"/>
              </w:rPr>
              <w:t>Earnings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3"/>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4"/>
              </w:rPr>
              <w:t>Loss</w:t>
            </w:r>
          </w:p>
        </w:tc>
        <w:tc>
          <w:tcPr>
            <w:tcW w:w="820" w:type="dxa"/>
            <w:vAlign w:val="bottom"/>
            <w:gridSpan w:val="5"/>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7"/>
              </w:rPr>
              <w:t>Equity (Deficit)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4"/>
              </w:rPr>
              <w:t>Partnership</w:t>
            </w:r>
          </w:p>
        </w:tc>
        <w:tc>
          <w:tcPr>
            <w:tcW w:w="80" w:type="dxa"/>
            <w:vAlign w:val="bottom"/>
          </w:tcPr>
          <w:p>
            <w:pPr>
              <w:spacing w:after="0"/>
              <w:rPr>
                <w:sz w:val="12"/>
                <w:szCs w:val="12"/>
                <w:color w:val="auto"/>
              </w:rPr>
            </w:pPr>
          </w:p>
        </w:tc>
        <w:tc>
          <w:tcPr>
            <w:tcW w:w="64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20" w:type="dxa"/>
            <w:vAlign w:val="bottom"/>
          </w:tcPr>
          <w:p>
            <w:pPr>
              <w:spacing w:after="0"/>
              <w:rPr>
                <w:sz w:val="12"/>
                <w:szCs w:val="12"/>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Joint Venture</w:t>
            </w:r>
          </w:p>
        </w:tc>
      </w:tr>
      <w:tr>
        <w:trPr>
          <w:trHeight w:val="129"/>
        </w:trPr>
        <w:tc>
          <w:tcPr>
            <w:tcW w:w="196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December 31, 2021</w:t>
            </w:r>
          </w:p>
        </w:tc>
        <w:tc>
          <w:tcPr>
            <w:tcW w:w="80" w:type="dxa"/>
            <w:vAlign w:val="bottom"/>
            <w:tcBorders>
              <w:top w:val="single" w:sz="8" w:color="auto"/>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551</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7"/>
              </w:rPr>
              <w:t>$ 1,112,867</w:t>
            </w:r>
          </w:p>
        </w:tc>
        <w:tc>
          <w:tcPr>
            <w:tcW w:w="12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2"/>
              </w:rPr>
              <w:t>$ (18,467)</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6"/>
              </w:rPr>
              <w:t>$ (1,088,105)</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(29,080)</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(22,234)</w:t>
            </w: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(159)</w:t>
            </w: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5"/>
              </w:rPr>
              <w:t>$ (22,393)</w:t>
            </w: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19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3"/>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7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620" w:type="dxa"/>
            <w:vAlign w:val="bottom"/>
            <w:gridSpan w:val="3"/>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(24,621)</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3"/>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3"/>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(24,621)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3"/>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(176)</w:t>
            </w:r>
          </w:p>
        </w:tc>
        <w:tc>
          <w:tcPr>
            <w:tcW w:w="80" w:type="dxa"/>
            <w:vAlign w:val="bottom"/>
          </w:tcPr>
          <w:p>
            <w:pPr>
              <w:spacing w:after="0"/>
              <w:rPr>
                <w:sz w:val="11"/>
                <w:szCs w:val="11"/>
                <w:color w:val="auto"/>
              </w:rPr>
            </w:pPr>
          </w:p>
        </w:tc>
        <w:tc>
          <w:tcPr>
            <w:tcW w:w="640" w:type="dxa"/>
            <w:vAlign w:val="bottom"/>
            <w:gridSpan w:val="3"/>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(24,797)</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17"/>
        </w:trPr>
        <w:tc>
          <w:tcPr>
            <w:tcW w:w="196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Other comprehensive income, net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r>
      <w:tr>
        <w:trPr>
          <w:trHeight w:val="153"/>
        </w:trPr>
        <w:tc>
          <w:tcPr>
            <w:tcW w:w="1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of income taxes</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9,986</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9,986</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9,986</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196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Restricted stock units and stock</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53"/>
        </w:trPr>
        <w:tc>
          <w:tcPr>
            <w:tcW w:w="1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options surrendered</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(3,761)</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(3,761)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(3,761)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196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Equity-based compensation</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r>
      <w:tr>
        <w:trPr>
          <w:trHeight w:val="153"/>
        </w:trPr>
        <w:tc>
          <w:tcPr>
            <w:tcW w:w="1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expense</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3,786</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3,786</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3,786</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29"/>
        </w:trPr>
        <w:tc>
          <w:tcPr>
            <w:tcW w:w="196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March 31, 2022</w:t>
            </w:r>
          </w:p>
        </w:tc>
        <w:tc>
          <w:tcPr>
            <w:tcW w:w="80" w:type="dxa"/>
            <w:vAlign w:val="bottom"/>
            <w:tcBorders>
              <w:top w:val="single" w:sz="8" w:color="auto"/>
              <w:bottom w:val="single" w:sz="8" w:color="auto"/>
            </w:tcBorders>
            <w:gridSpan w:val="2"/>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551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w w:val="97"/>
              </w:rPr>
              <w:t>$ 1,112,892</w:t>
            </w:r>
          </w:p>
        </w:tc>
        <w:tc>
          <w:tcPr>
            <w:tcW w:w="120" w:type="dxa"/>
            <w:vAlign w:val="bottom"/>
          </w:tcPr>
          <w:p>
            <w:pPr>
              <w:spacing w:after="0"/>
              <w:rPr>
                <w:sz w:val="11"/>
                <w:szCs w:val="11"/>
                <w:color w:val="auto"/>
              </w:rPr>
            </w:pPr>
          </w:p>
        </w:tc>
        <w:tc>
          <w:tcPr>
            <w:tcW w:w="52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w w:val="92"/>
              </w:rPr>
              <w:t>$ (18,467)</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w w:val="96"/>
              </w:rPr>
              <w:t>$ (1,112,726)</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bottom w:val="single" w:sz="8" w:color="auto"/>
            </w:tcBorders>
            <w:gridSpan w:val="2"/>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(19,094)</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bottom w:val="single" w:sz="8" w:color="auto"/>
            </w:tcBorders>
            <w:gridSpan w:val="2"/>
          </w:tcPr>
          <w:p>
            <w:pPr>
              <w:jc w:val="right"/>
              <w:ind w:right="25"/>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(36,844)</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(335)</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w w:val="95"/>
              </w:rPr>
              <w:t>$ (37,179)</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r>
      <w:tr>
        <w:trPr>
          <w:trHeight w:val="20"/>
        </w:trPr>
        <w:tc>
          <w:tcPr>
            <w:tcW w:w="19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r>
      <w:tr>
        <w:trPr>
          <w:trHeight w:val="551"/>
        </w:trPr>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7"/>
              </w:rPr>
              <w:t>Distributions</w:t>
            </w:r>
          </w:p>
        </w:tc>
        <w:tc>
          <w:tcPr>
            <w:tcW w:w="20" w:type="dxa"/>
            <w:vAlign w:val="bottom"/>
          </w:tcPr>
          <w:p>
            <w:pPr>
              <w:spacing w:after="0"/>
              <w:rPr>
                <w:sz w:val="24"/>
                <w:szCs w:val="24"/>
                <w:color w:val="auto"/>
              </w:rPr>
            </w:pPr>
          </w:p>
        </w:tc>
        <w:tc>
          <w:tcPr>
            <w:tcW w:w="880" w:type="dxa"/>
            <w:vAlign w:val="bottom"/>
            <w:gridSpan w:val="4"/>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gridSpan w:val="5"/>
          </w:tcPr>
          <w:p>
            <w:pPr>
              <w:ind w:left="20"/>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Noncontrolling</w:t>
            </w:r>
          </w:p>
        </w:tc>
      </w:tr>
      <w:tr>
        <w:trPr>
          <w:trHeight w:val="135"/>
        </w:trPr>
        <w:tc>
          <w:tcPr>
            <w:tcW w:w="1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2"/>
                <w:szCs w:val="12"/>
                <w:b w:val="1"/>
                <w:bCs w:val="1"/>
                <w:color w:val="auto"/>
                <w:w w:val="98"/>
              </w:rPr>
              <w:t>Additional</w:t>
            </w: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2"/>
                <w:szCs w:val="12"/>
                <w:b w:val="1"/>
                <w:bCs w:val="1"/>
                <w:color w:val="auto"/>
                <w:w w:val="96"/>
              </w:rPr>
              <w:t>in Excess of</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3"/>
          </w:tcPr>
          <w:p>
            <w:pPr>
              <w:jc w:val="center"/>
              <w:ind w:right="240"/>
              <w:spacing w:after="0" w:line="135"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3"/>
          </w:tcPr>
          <w:p>
            <w:pPr>
              <w:jc w:val="center"/>
              <w:ind w:right="240"/>
              <w:spacing w:after="0" w:line="135" w:lineRule="exact"/>
              <w:rPr>
                <w:sz w:val="20"/>
                <w:szCs w:val="20"/>
                <w:color w:val="auto"/>
              </w:rPr>
            </w:pPr>
            <w:r>
              <w:rPr>
                <w:rFonts w:ascii="Times New Roman" w:cs="Times New Roman" w:eastAsia="Times New Roman" w:hAnsi="Times New Roman"/>
                <w:sz w:val="12"/>
                <w:szCs w:val="12"/>
                <w:b w:val="1"/>
                <w:bCs w:val="1"/>
                <w:color w:val="auto"/>
                <w:w w:val="87"/>
              </w:rPr>
              <w:t>Total</w:t>
            </w:r>
          </w:p>
        </w:tc>
        <w:tc>
          <w:tcPr>
            <w:tcW w:w="80" w:type="dxa"/>
            <w:vAlign w:val="bottom"/>
          </w:tcPr>
          <w:p>
            <w:pPr>
              <w:spacing w:after="0"/>
              <w:rPr>
                <w:sz w:val="11"/>
                <w:szCs w:val="11"/>
                <w:color w:val="auto"/>
              </w:rPr>
            </w:pPr>
          </w:p>
        </w:tc>
        <w:tc>
          <w:tcPr>
            <w:tcW w:w="820" w:type="dxa"/>
            <w:vAlign w:val="bottom"/>
            <w:gridSpan w:val="4"/>
          </w:tcPr>
          <w:p>
            <w:pPr>
              <w:ind w:left="60"/>
              <w:spacing w:after="0" w:line="135" w:lineRule="exact"/>
              <w:rPr>
                <w:sz w:val="20"/>
                <w:szCs w:val="20"/>
                <w:color w:val="auto"/>
              </w:rPr>
            </w:pPr>
            <w:r>
              <w:rPr>
                <w:rFonts w:ascii="Times New Roman" w:cs="Times New Roman" w:eastAsia="Times New Roman" w:hAnsi="Times New Roman"/>
                <w:sz w:val="12"/>
                <w:szCs w:val="12"/>
                <w:b w:val="1"/>
                <w:bCs w:val="1"/>
                <w:color w:val="auto"/>
              </w:rPr>
              <w:t>Interest in</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ind w:right="18"/>
              <w:spacing w:after="0" w:line="135" w:lineRule="exact"/>
              <w:rPr>
                <w:sz w:val="20"/>
                <w:szCs w:val="20"/>
                <w:color w:val="auto"/>
              </w:rPr>
            </w:pPr>
            <w:r>
              <w:rPr>
                <w:rFonts w:ascii="Times New Roman" w:cs="Times New Roman" w:eastAsia="Times New Roman" w:hAnsi="Times New Roman"/>
                <w:sz w:val="12"/>
                <w:szCs w:val="12"/>
                <w:b w:val="1"/>
                <w:bCs w:val="1"/>
                <w:color w:val="auto"/>
                <w:w w:val="98"/>
              </w:rPr>
              <w:t>Interest in</w:t>
            </w:r>
          </w:p>
        </w:tc>
      </w:tr>
      <w:tr>
        <w:trPr>
          <w:trHeight w:val="135"/>
        </w:trPr>
        <w:tc>
          <w:tcPr>
            <w:tcW w:w="1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gridSpan w:val="4"/>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Common</w:t>
            </w:r>
          </w:p>
        </w:tc>
        <w:tc>
          <w:tcPr>
            <w:tcW w:w="20" w:type="dxa"/>
            <w:vAlign w:val="bottom"/>
          </w:tcPr>
          <w:p>
            <w:pPr>
              <w:spacing w:after="0"/>
              <w:rPr>
                <w:sz w:val="11"/>
                <w:szCs w:val="11"/>
                <w:color w:val="auto"/>
              </w:rPr>
            </w:pPr>
          </w:p>
        </w:tc>
        <w:tc>
          <w:tcPr>
            <w:tcW w:w="7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6"/>
              </w:rPr>
              <w:t>Paid-in</w:t>
            </w:r>
          </w:p>
        </w:tc>
        <w:tc>
          <w:tcPr>
            <w:tcW w:w="20" w:type="dxa"/>
            <w:vAlign w:val="bottom"/>
          </w:tcPr>
          <w:p>
            <w:pPr>
              <w:spacing w:after="0"/>
              <w:rPr>
                <w:sz w:val="11"/>
                <w:szCs w:val="11"/>
                <w:color w:val="auto"/>
              </w:rPr>
            </w:pPr>
          </w:p>
        </w:tc>
        <w:tc>
          <w:tcPr>
            <w:tcW w:w="62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7"/>
              </w:rPr>
              <w:t>Treasury</w:t>
            </w:r>
          </w:p>
        </w:tc>
        <w:tc>
          <w:tcPr>
            <w:tcW w:w="20" w:type="dxa"/>
            <w:vAlign w:val="bottom"/>
          </w:tcPr>
          <w:p>
            <w:pPr>
              <w:spacing w:after="0"/>
              <w:rPr>
                <w:sz w:val="11"/>
                <w:szCs w:val="11"/>
                <w:color w:val="auto"/>
              </w:rPr>
            </w:pPr>
          </w:p>
        </w:tc>
        <w:tc>
          <w:tcPr>
            <w:tcW w:w="80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5"/>
              </w:rPr>
              <w:t>Retained</w:t>
            </w:r>
          </w:p>
        </w:tc>
        <w:tc>
          <w:tcPr>
            <w:tcW w:w="20" w:type="dxa"/>
            <w:vAlign w:val="bottom"/>
          </w:tcPr>
          <w:p>
            <w:pPr>
              <w:spacing w:after="0"/>
              <w:rPr>
                <w:sz w:val="11"/>
                <w:szCs w:val="11"/>
                <w:color w:val="auto"/>
              </w:rPr>
            </w:pPr>
          </w:p>
        </w:tc>
        <w:tc>
          <w:tcPr>
            <w:tcW w:w="880" w:type="dxa"/>
            <w:vAlign w:val="bottom"/>
            <w:gridSpan w:val="4"/>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4"/>
              </w:rPr>
              <w:t>Comprehensive</w:t>
            </w:r>
          </w:p>
        </w:tc>
        <w:tc>
          <w:tcPr>
            <w:tcW w:w="20" w:type="dxa"/>
            <w:vAlign w:val="bottom"/>
          </w:tcPr>
          <w:p>
            <w:pPr>
              <w:spacing w:after="0"/>
              <w:rPr>
                <w:sz w:val="11"/>
                <w:szCs w:val="11"/>
                <w:color w:val="auto"/>
              </w:rPr>
            </w:pPr>
          </w:p>
        </w:tc>
        <w:tc>
          <w:tcPr>
            <w:tcW w:w="800" w:type="dxa"/>
            <w:vAlign w:val="bottom"/>
            <w:gridSpan w:val="4"/>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7"/>
              </w:rPr>
              <w:t>Stockholders'</w:t>
            </w:r>
          </w:p>
        </w:tc>
        <w:tc>
          <w:tcPr>
            <w:tcW w:w="80" w:type="dxa"/>
            <w:vAlign w:val="bottom"/>
          </w:tcPr>
          <w:p>
            <w:pPr>
              <w:spacing w:after="0"/>
              <w:rPr>
                <w:sz w:val="11"/>
                <w:szCs w:val="11"/>
                <w:color w:val="auto"/>
              </w:rPr>
            </w:pPr>
          </w:p>
        </w:tc>
        <w:tc>
          <w:tcPr>
            <w:tcW w:w="820" w:type="dxa"/>
            <w:vAlign w:val="bottom"/>
            <w:gridSpan w:val="4"/>
          </w:tcPr>
          <w:p>
            <w:pPr>
              <w:ind w:left="60"/>
              <w:spacing w:after="0" w:line="135" w:lineRule="exact"/>
              <w:rPr>
                <w:sz w:val="20"/>
                <w:szCs w:val="20"/>
                <w:color w:val="auto"/>
              </w:rPr>
            </w:pPr>
            <w:r>
              <w:rPr>
                <w:rFonts w:ascii="Times New Roman" w:cs="Times New Roman" w:eastAsia="Times New Roman" w:hAnsi="Times New Roman"/>
                <w:sz w:val="12"/>
                <w:szCs w:val="12"/>
                <w:b w:val="1"/>
                <w:bCs w:val="1"/>
                <w:color w:val="auto"/>
              </w:rPr>
              <w:t>Operating</w:t>
            </w:r>
          </w:p>
        </w:tc>
        <w:tc>
          <w:tcPr>
            <w:tcW w:w="80" w:type="dxa"/>
            <w:vAlign w:val="bottom"/>
          </w:tcPr>
          <w:p>
            <w:pPr>
              <w:spacing w:after="0"/>
              <w:rPr>
                <w:sz w:val="11"/>
                <w:szCs w:val="11"/>
                <w:color w:val="auto"/>
              </w:rPr>
            </w:pPr>
          </w:p>
        </w:tc>
        <w:tc>
          <w:tcPr>
            <w:tcW w:w="640" w:type="dxa"/>
            <w:vAlign w:val="bottom"/>
            <w:gridSpan w:val="3"/>
          </w:tcPr>
          <w:p>
            <w:pPr>
              <w:jc w:val="center"/>
              <w:ind w:right="200"/>
              <w:spacing w:after="0" w:line="135" w:lineRule="exact"/>
              <w:rPr>
                <w:sz w:val="20"/>
                <w:szCs w:val="20"/>
                <w:color w:val="auto"/>
              </w:rPr>
            </w:pPr>
            <w:r>
              <w:rPr>
                <w:rFonts w:ascii="Times New Roman" w:cs="Times New Roman" w:eastAsia="Times New Roman" w:hAnsi="Times New Roman"/>
                <w:sz w:val="12"/>
                <w:szCs w:val="12"/>
                <w:b w:val="1"/>
                <w:bCs w:val="1"/>
                <w:color w:val="auto"/>
                <w:w w:val="87"/>
              </w:rPr>
              <w:t>Total</w:t>
            </w:r>
          </w:p>
        </w:tc>
        <w:tc>
          <w:tcPr>
            <w:tcW w:w="20" w:type="dxa"/>
            <w:vAlign w:val="bottom"/>
          </w:tcPr>
          <w:p>
            <w:pPr>
              <w:spacing w:after="0"/>
              <w:rPr>
                <w:sz w:val="11"/>
                <w:szCs w:val="11"/>
                <w:color w:val="auto"/>
              </w:rPr>
            </w:pPr>
          </w:p>
        </w:tc>
        <w:tc>
          <w:tcPr>
            <w:tcW w:w="7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Consolidated</w:t>
            </w:r>
          </w:p>
        </w:tc>
      </w:tr>
      <w:tr>
        <w:trPr>
          <w:trHeight w:val="145"/>
        </w:trPr>
        <w:tc>
          <w:tcPr>
            <w:tcW w:w="1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20" w:type="dxa"/>
            <w:vAlign w:val="bottom"/>
          </w:tcPr>
          <w:p>
            <w:pPr>
              <w:spacing w:after="0"/>
              <w:rPr>
                <w:sz w:val="12"/>
                <w:szCs w:val="12"/>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20" w:type="dxa"/>
            <w:vAlign w:val="bottom"/>
          </w:tcPr>
          <w:p>
            <w:pPr>
              <w:spacing w:after="0"/>
              <w:rPr>
                <w:sz w:val="12"/>
                <w:szCs w:val="12"/>
                <w:color w:val="auto"/>
              </w:rPr>
            </w:pPr>
          </w:p>
        </w:tc>
        <w:tc>
          <w:tcPr>
            <w:tcW w:w="62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20" w:type="dxa"/>
            <w:vAlign w:val="bottom"/>
          </w:tcPr>
          <w:p>
            <w:pPr>
              <w:spacing w:after="0"/>
              <w:rPr>
                <w:sz w:val="12"/>
                <w:szCs w:val="12"/>
                <w:color w:val="auto"/>
              </w:rPr>
            </w:pPr>
          </w:p>
        </w:tc>
        <w:tc>
          <w:tcPr>
            <w:tcW w:w="80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8"/>
              </w:rPr>
              <w:t>Earnings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3"/>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Loss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3"/>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80" w:type="dxa"/>
            <w:vAlign w:val="bottom"/>
          </w:tcPr>
          <w:p>
            <w:pPr>
              <w:spacing w:after="0"/>
              <w:rPr>
                <w:sz w:val="12"/>
                <w:szCs w:val="12"/>
                <w:color w:val="auto"/>
              </w:rPr>
            </w:pPr>
          </w:p>
        </w:tc>
        <w:tc>
          <w:tcPr>
            <w:tcW w:w="820" w:type="dxa"/>
            <w:vAlign w:val="bottom"/>
            <w:gridSpan w:val="4"/>
          </w:tcPr>
          <w:p>
            <w:pPr>
              <w:ind w:left="20"/>
              <w:spacing w:after="0"/>
              <w:rPr>
                <w:sz w:val="20"/>
                <w:szCs w:val="20"/>
                <w:color w:val="auto"/>
              </w:rPr>
            </w:pPr>
            <w:r>
              <w:rPr>
                <w:rFonts w:ascii="Times New Roman" w:cs="Times New Roman" w:eastAsia="Times New Roman" w:hAnsi="Times New Roman"/>
                <w:sz w:val="12"/>
                <w:szCs w:val="12"/>
                <w:b w:val="1"/>
                <w:bCs w:val="1"/>
                <w:color w:val="auto"/>
              </w:rPr>
              <w:t>Partnership</w:t>
            </w:r>
          </w:p>
        </w:tc>
        <w:tc>
          <w:tcPr>
            <w:tcW w:w="80" w:type="dxa"/>
            <w:vAlign w:val="bottom"/>
          </w:tcPr>
          <w:p>
            <w:pPr>
              <w:spacing w:after="0"/>
              <w:rPr>
                <w:sz w:val="12"/>
                <w:szCs w:val="12"/>
                <w:color w:val="auto"/>
              </w:rPr>
            </w:pPr>
          </w:p>
        </w:tc>
        <w:tc>
          <w:tcPr>
            <w:tcW w:w="640" w:type="dxa"/>
            <w:vAlign w:val="bottom"/>
            <w:gridSpan w:val="3"/>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20" w:type="dxa"/>
            <w:vAlign w:val="bottom"/>
          </w:tcPr>
          <w:p>
            <w:pPr>
              <w:spacing w:after="0"/>
              <w:rPr>
                <w:sz w:val="12"/>
                <w:szCs w:val="12"/>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Joint Venture</w:t>
            </w:r>
          </w:p>
        </w:tc>
      </w:tr>
      <w:tr>
        <w:trPr>
          <w:trHeight w:val="128"/>
        </w:trPr>
        <w:tc>
          <w:tcPr>
            <w:tcW w:w="196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December 31, 2020</w:t>
            </w: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550</w:t>
            </w:r>
          </w:p>
        </w:tc>
        <w:tc>
          <w:tcPr>
            <w:tcW w:w="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3"/>
              </w:rPr>
              <w:t>$ 1,192,261</w:t>
            </w: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2"/>
              </w:rPr>
              <w:t>$ (18,467)</w:t>
            </w: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gridSpan w:val="2"/>
            <w:shd w:val="clear" w:color="auto" w:fill="CCEEFF"/>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  (911,092)</w:t>
            </w: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(57,951)</w:t>
            </w: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205,301</w:t>
            </w: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14,516</w:t>
            </w: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219,817</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100,969</w:t>
            </w:r>
          </w:p>
        </w:tc>
      </w:tr>
      <w:tr>
        <w:trPr>
          <w:trHeight w:val="135"/>
        </w:trPr>
        <w:tc>
          <w:tcPr>
            <w:tcW w:w="19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3"/>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7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620" w:type="dxa"/>
            <w:vAlign w:val="bottom"/>
            <w:gridSpan w:val="3"/>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4"/>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(104,521)</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3"/>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(104,521)</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(807)</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w w:val="98"/>
              </w:rPr>
              <w:t>(105,328)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(11,793)</w:t>
            </w:r>
          </w:p>
        </w:tc>
      </w:tr>
      <w:tr>
        <w:trPr>
          <w:trHeight w:val="117"/>
        </w:trPr>
        <w:tc>
          <w:tcPr>
            <w:tcW w:w="196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Other comprehensive income, net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r>
      <w:tr>
        <w:trPr>
          <w:trHeight w:val="153"/>
        </w:trPr>
        <w:tc>
          <w:tcPr>
            <w:tcW w:w="1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of income taxes</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6,100</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6,100</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6,100</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196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Redemption of noncontrolling</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53"/>
        </w:trPr>
        <w:tc>
          <w:tcPr>
            <w:tcW w:w="1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interest in Operating Partnership</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6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4"/>
          </w:tcPr>
          <w:p>
            <w:pPr>
              <w:jc w:val="right"/>
              <w:ind w:right="120"/>
              <w:spacing w:after="0"/>
              <w:rPr>
                <w:sz w:val="20"/>
                <w:szCs w:val="20"/>
                <w:color w:val="auto"/>
              </w:rPr>
            </w:pPr>
            <w:r>
              <w:rPr>
                <w:rFonts w:ascii="Times New Roman" w:cs="Times New Roman" w:eastAsia="Times New Roman" w:hAnsi="Times New Roman"/>
                <w:sz w:val="13"/>
                <w:szCs w:val="13"/>
                <w:color w:val="auto"/>
              </w:rPr>
              <w:t>(1,352)</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(1,352)</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(1,086)</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(2,438)</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196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Contribution to consolidated joint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r>
      <w:tr>
        <w:trPr>
          <w:trHeight w:val="153"/>
        </w:trPr>
        <w:tc>
          <w:tcPr>
            <w:tcW w:w="1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venture</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4,425</w:t>
            </w:r>
          </w:p>
        </w:tc>
      </w:tr>
      <w:tr>
        <w:trPr>
          <w:trHeight w:val="117"/>
        </w:trPr>
        <w:tc>
          <w:tcPr>
            <w:tcW w:w="196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Restricted stock units and stock</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53"/>
        </w:trPr>
        <w:tc>
          <w:tcPr>
            <w:tcW w:w="1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options surrendered</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(3,357)</w:t>
            </w:r>
          </w:p>
        </w:tc>
        <w:tc>
          <w:tcPr>
            <w:tcW w:w="20" w:type="dxa"/>
            <w:vAlign w:val="bottom"/>
          </w:tcPr>
          <w:p>
            <w:pPr>
              <w:spacing w:after="0"/>
              <w:rPr>
                <w:sz w:val="13"/>
                <w:szCs w:val="13"/>
                <w:color w:val="auto"/>
              </w:rPr>
            </w:pPr>
          </w:p>
        </w:tc>
        <w:tc>
          <w:tcPr>
            <w:tcW w:w="6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(3,345)</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(3,345)</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196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Equity-based compensation</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r>
      <w:tr>
        <w:trPr>
          <w:trHeight w:val="153"/>
        </w:trPr>
        <w:tc>
          <w:tcPr>
            <w:tcW w:w="1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expense</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2,522</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2,522</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2,522</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28"/>
        </w:trPr>
        <w:tc>
          <w:tcPr>
            <w:tcW w:w="196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March 31, 2021</w:t>
            </w:r>
          </w:p>
        </w:tc>
        <w:tc>
          <w:tcPr>
            <w:tcW w:w="2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550</w:t>
            </w:r>
          </w:p>
        </w:tc>
        <w:tc>
          <w:tcPr>
            <w:tcW w:w="20" w:type="dxa"/>
            <w:vAlign w:val="bottom"/>
            <w:tcBorders>
              <w:top w:val="single" w:sz="8" w:color="auto"/>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3"/>
              </w:rPr>
              <w:t>$ 1,191,426</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w w:val="92"/>
              </w:rPr>
              <w:t>$ (18,467)</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Borders>
              <w:top w:val="single" w:sz="8" w:color="auto"/>
              <w:bottom w:val="single" w:sz="8" w:color="auto"/>
            </w:tcBorders>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w w:val="93"/>
              </w:rPr>
              <w:t>$ (1,016,953)</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(51,851)</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104,705</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12,623</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117,328</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93,601</w:t>
            </w:r>
          </w:p>
        </w:tc>
      </w:tr>
      <w:tr>
        <w:trPr>
          <w:trHeight w:val="20"/>
        </w:trPr>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60" w:right="79"/>
        <w:spacing w:after="0" w:line="268" w:lineRule="auto"/>
        <w:rPr>
          <w:sz w:val="20"/>
          <w:szCs w:val="20"/>
          <w:color w:val="auto"/>
        </w:rPr>
      </w:pPr>
      <w:r>
        <w:rPr>
          <w:rFonts w:ascii="Times New Roman" w:cs="Times New Roman" w:eastAsia="Times New Roman" w:hAnsi="Times New Roman"/>
          <w:sz w:val="18"/>
          <w:szCs w:val="18"/>
          <w:b w:val="1"/>
          <w:bCs w:val="1"/>
          <w:color w:val="auto"/>
        </w:rPr>
        <w:t>RYMAN HOSPITALITY PROPERTIES, INC. AND SUBSIDIARIES NOTES TO CONDENSED CONSOLIDATED FINANCIAL STATEMENTS (UNAUDITED)</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29"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On January 1, 2013, Ryman Hospitality Properties, Inc. (“Ryman”) and its subsidiaries (collectively with Ryman, the “Company”) began operating as a real estate investment trust (“REIT”) for federal income tax purposes, specializing in group-oriented, destination hotel assets in urban and resort markets. The Company’s owned assets include a network of upscale, meetings-focused resorts that are managed by Marriott International, Inc. (“Marriott”) under the Gaylord Hotels brand. These resorts, which the Company refers to as the Gaylord Hotels properties, consist of the Gaylord Opryland Resort &amp; Convention Center in Nashville, Tennessee (“Gaylord Opryland”), the Gaylord Palms Resort &amp; Convention Center near Orlando, Florida (“Gaylord Palms”), the Gaylord Texan Resort &amp; Convention Center near Dallas, Texas (“Gaylord Texan”), the Gaylord National Resort &amp; Convention Center near Washington D.C. (“Gaylord National”), and the Gaylord Rockies Resort &amp; Convention Center near Denver, Colorado (“Gaylord Rockies”), which prior to May 2021 was owned by a joint venture (the “Gaylord Rockies joint venture”) in which the Company owned a 65% interest. The Company’s other owned hotel assets managed by Marriott include the Inn at Opryland, an overflow hotel adjacent to Gaylord Opryland, and the AC Hotel at National Harbor, Washington D.C. (“AC Hotel”), an overflow hotel adjacent to Gaylord National.</w:t>
      </w:r>
    </w:p>
    <w:p>
      <w:pPr>
        <w:spacing w:after="0" w:line="147"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In April 2021, the Company entered into an agreement with RIDA Development Corporation to acquire the remaining 35% ownership interest in the Gaylord Rockies joint venture not previously owned by the Company for $188.0 million and approximately 130 acres of undeveloped, adjacent land for $22.0 million in cash (the “JV Purchase”). The JV Purchase closed in May 2021 and was funded through cash on hand and borrowings under the Company’s $700 million revolving credit facility. As discussed below, the Company consolidated the Gaylord Rockies joint venture both before and after the purchase in the accompanying condensed consolidated financial statements.</w:t>
      </w:r>
    </w:p>
    <w:p>
      <w:pPr>
        <w:spacing w:after="0" w:line="147" w:lineRule="exact"/>
        <w:rPr>
          <w:sz w:val="20"/>
          <w:szCs w:val="20"/>
          <w:color w:val="auto"/>
        </w:rPr>
      </w:pPr>
    </w:p>
    <w:p>
      <w:pPr>
        <w:ind w:left="60" w:right="159"/>
        <w:spacing w:after="0" w:line="272" w:lineRule="auto"/>
        <w:rPr>
          <w:sz w:val="20"/>
          <w:szCs w:val="20"/>
          <w:color w:val="auto"/>
        </w:rPr>
      </w:pPr>
      <w:r>
        <w:rPr>
          <w:rFonts w:ascii="Times New Roman" w:cs="Times New Roman" w:eastAsia="Times New Roman" w:hAnsi="Times New Roman"/>
          <w:sz w:val="17"/>
          <w:szCs w:val="17"/>
          <w:color w:val="auto"/>
        </w:rPr>
        <w:t>As further discussed in the Company’s Annual Report on Form 10-K for the year ended December 31, 2021, management concluded that the Company was the primary beneficiary of the Gaylord Rockies joint venture, which was a variable interest entity (“VIE”). As such, the Company consolidated the assets, liabilities and results of operations of the Gaylord Rockies joint venture in the accompanying condensed consolidated financial statements. The portion of the Gaylord Rockies joint venture that the Company did not previously own was recorded as noncontrolling interest in consolidated joint venture in the accompanying condensed consolidated balance sheet, and any previous adjustment necessary to reflect the noncontrolling interest at its redemption value is shown in the accompanying condensed consolidated statements of equity. As the Gaylord Rockies joint venture is now wholly-owned by the Company, it is no longer considered as a VIE.</w:t>
      </w:r>
    </w:p>
    <w:p>
      <w:pPr>
        <w:spacing w:after="0" w:line="145"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also owns a number of media and entertainment assets, including the Grand Ole Opry, the legendary weekly showcase of country music’s finest performers; the Ryman Auditorium, the storied live music venue and former home of the Grand Ole Opry; WSM-AM, the Opry’s radio home; Ole Red, a brand of Blake Shelton-themed bar, music venue and event spaces; and two Nashville-based assets managed by Marriott –the Wildhorse Saloon and the General Jackson Showboat. The Company also owns a 50% interest in a joint venture that creates and distributes a linear multicast and over-the-top channel dedicated to the country music lifestyle (“Circle”), which launched its broadcast network on January 1, 2020. See Note 13, “Commitments and Contingencies,” and Note 17, “Subsequent Events,” to the condensed consolidated financial statements included herein for further disclosure.</w:t>
      </w:r>
    </w:p>
    <w:p>
      <w:pPr>
        <w:spacing w:after="0" w:line="151"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Ryman and its subsidiaries and have been prepared by the Company, without audit, pursuant to the rules and regulations of the Securities and Exchange Commission (the “SEC”). Certain information and footnote disclosures normally included in annual financial statements prepared in accordance with generally accepted accounting principles have been condensed or omitted from this report pursuant to such rules and regulations. These condensed consolidated financial statements should be read in conjunction with the audited consolidated financial statements and the notes thereto included in the Company’s Annual Report on Form 10-K for the year ended December 31, 2021. In the opinion of management, all adjustments necessary for a fair statement of the results of operations for the interim periods have been included. All adjustments are of a normal,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39"/>
        <w:spacing w:after="0" w:line="282" w:lineRule="auto"/>
        <w:rPr>
          <w:sz w:val="20"/>
          <w:szCs w:val="20"/>
          <w:color w:val="auto"/>
        </w:rPr>
      </w:pPr>
      <w:r>
        <w:rPr>
          <w:rFonts w:ascii="Times New Roman" w:cs="Times New Roman" w:eastAsia="Times New Roman" w:hAnsi="Times New Roman"/>
          <w:sz w:val="18"/>
          <w:szCs w:val="18"/>
          <w:color w:val="auto"/>
        </w:rPr>
        <w:t>recurring nature. The results of operations for such interim periods are not necessarily indicative of the results for the full year because of seasonal and short-term variations.</w:t>
      </w:r>
    </w:p>
    <w:p>
      <w:pPr>
        <w:spacing w:after="0" w:line="135" w:lineRule="exact"/>
        <w:rPr>
          <w:sz w:val="20"/>
          <w:szCs w:val="20"/>
          <w:color w:val="auto"/>
        </w:rPr>
      </w:pPr>
    </w:p>
    <w:p>
      <w:pPr>
        <w:ind w:left="60" w:right="539"/>
        <w:spacing w:after="0" w:line="282" w:lineRule="auto"/>
        <w:rPr>
          <w:sz w:val="20"/>
          <w:szCs w:val="20"/>
          <w:color w:val="auto"/>
        </w:rPr>
      </w:pPr>
      <w:r>
        <w:rPr>
          <w:rFonts w:ascii="Times New Roman" w:cs="Times New Roman" w:eastAsia="Times New Roman" w:hAnsi="Times New Roman"/>
          <w:sz w:val="18"/>
          <w:szCs w:val="18"/>
          <w:color w:val="auto"/>
        </w:rPr>
        <w:t>The Company principally operates, through its subsidiaries and its property managers, as applicable, in the following business segments: Hospitality, Entertainment, and Corporate and Other.</w:t>
      </w:r>
    </w:p>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Impact of COVID-19 Pandemic</w:t>
      </w:r>
    </w:p>
    <w:p>
      <w:pPr>
        <w:spacing w:after="0" w:line="187"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The novel coronavirus disease (COVID-19) pandemic has been and continues to be a complex and evolving situation, causing unprecedented levels of disruption to the Company’s business. Although the Company’s assets are currently open and operating without capacity restrictions, there remains significant uncertainty surrounding the full extent of the impact of the COVID-19 pandemic on the Company’s future results of operations and financial position.</w:t>
      </w:r>
    </w:p>
    <w:p>
      <w:pPr>
        <w:spacing w:after="0" w:line="153"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The majority of the Company’s businesses have been open and operating throughout 2021 and 2022. However, Gaylord National remained closed during the first half of 2021 and reopened July 1, 2021. The Grand Ole Opry and Ryman Auditorium reopened for limited-capacity publicly attended performances in September 2020, and reopened for full-capacity publicly attended performances in May 2021. In addition, subsequent to the December 2020 downtown Nashville bombing, the Wildhorse Saloon reopened in April 2021.</w:t>
      </w:r>
    </w:p>
    <w:p>
      <w:pPr>
        <w:spacing w:after="0" w:line="143"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The Company amended its credit facility on April 23, 2020, and again on December 22, 2020, as described in Note 4, “Debt,” to the Company’s Annual Report on Form 10-K for the year ended December 31, 2021. The Company continues to pay all required debt service payments on its indebtedness, lease payments, taxes and other payables. Beginning in July 2020, Gaylord Rockies was in a cash sweep position pursuant to and as defined in the Gaylord Rockies $800 million term loan agreement, and such cash amounts are included in cash and cash equivalents – restricted in the accompanying condensed consolidated balance sheets.</w:t>
      </w:r>
    </w:p>
    <w:p>
      <w:pPr>
        <w:spacing w:after="0" w:line="147" w:lineRule="exact"/>
        <w:rPr>
          <w:sz w:val="20"/>
          <w:szCs w:val="20"/>
          <w:color w:val="auto"/>
        </w:rPr>
      </w:pPr>
    </w:p>
    <w:p>
      <w:pPr>
        <w:ind w:left="60" w:right="139"/>
        <w:spacing w:after="0" w:line="281" w:lineRule="auto"/>
        <w:rPr>
          <w:sz w:val="20"/>
          <w:szCs w:val="20"/>
          <w:color w:val="auto"/>
        </w:rPr>
      </w:pPr>
      <w:r>
        <w:rPr>
          <w:rFonts w:ascii="Times New Roman" w:cs="Times New Roman" w:eastAsia="Times New Roman" w:hAnsi="Times New Roman"/>
          <w:sz w:val="17"/>
          <w:szCs w:val="17"/>
          <w:color w:val="auto"/>
        </w:rPr>
        <w:t>At March 31, 2022, the Company had $509.9 million available for borrowing under its revolving credit facility and $128.4 million in unrestricted cash on hand. The Company’s quarterly dividend is currently suspended. The Company’s board of directors will consider a future dividend as permitted by the Company’s credit agreement, and any future dividend is subject to the Company’s board of directors’ determinations as to the amount of distributions and timing thereof.</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Block 21 Acquisition</w:t>
      </w:r>
    </w:p>
    <w:p>
      <w:pPr>
        <w:spacing w:after="0" w:line="187"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In October 2021, the Company entered into an agreement to purchase Block 21, a mixed-use entertainment, lodging, office, and retail complex located in Austin, Texas (“Block 21”), for $260 million, which includes the assumption of approximately $137 million of existing mortgage debt. Block 21 is the home of the Austin City Limits Live at The Moody Theater (“ACL Live”), a 2,750-seat entertainment venue that serves as the filming location for the Austin City Limits television series. The Block 21 complex also includes the 251-room W Austin Hotel, the 3TEN at ACL Live club and approximately 53,000 square feet of other Class A commercial space. The acquisition is expected to close prior to June 1, 2022, subject to customary closing conditions including, but not limited to, consent to the Company’s assumption of the existing mortgage loan by the loan servicer and the consent of the hotel property manager, an affiliate of Marriott, to the Company’s assignment and assumption of the existing hotel management agreement. The Company has the capacity to finance the transaction under its revolving credit facility and may use cash on hand, including from any sales of stock under its ATM program, and will make a determination of funding sources prior to closing. Block 21 assets will be reflected in the Company’s Entertainment segment after the acquisition closes.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Newly Issued Accounting Standards</w:t>
      </w:r>
    </w:p>
    <w:p>
      <w:pPr>
        <w:spacing w:after="0" w:line="185" w:lineRule="exact"/>
        <w:rPr>
          <w:sz w:val="20"/>
          <w:szCs w:val="20"/>
          <w:color w:val="auto"/>
        </w:rPr>
      </w:pPr>
    </w:p>
    <w:p>
      <w:pPr>
        <w:ind w:left="60" w:right="99"/>
        <w:spacing w:after="0" w:line="257" w:lineRule="auto"/>
        <w:rPr>
          <w:sz w:val="20"/>
          <w:szCs w:val="20"/>
          <w:color w:val="auto"/>
        </w:rPr>
      </w:pPr>
      <w:r>
        <w:rPr>
          <w:rFonts w:ascii="Times New Roman" w:cs="Times New Roman" w:eastAsia="Times New Roman" w:hAnsi="Times New Roman"/>
          <w:sz w:val="18"/>
          <w:szCs w:val="18"/>
          <w:color w:val="auto"/>
        </w:rPr>
        <w:t>In March 2020, the FASB issued ASU No. 2020-04, “</w:t>
      </w:r>
      <w:r>
        <w:rPr>
          <w:rFonts w:ascii="Times New Roman" w:cs="Times New Roman" w:eastAsia="Times New Roman" w:hAnsi="Times New Roman"/>
          <w:sz w:val="18"/>
          <w:szCs w:val="18"/>
          <w:i w:val="1"/>
          <w:iCs w:val="1"/>
          <w:color w:val="auto"/>
        </w:rPr>
        <w:t>Reference Rate Reform – Facilitation of the Effects of Reference 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Reform on Financial Reporting</w:t>
      </w:r>
      <w:r>
        <w:rPr>
          <w:rFonts w:ascii="Times New Roman" w:cs="Times New Roman" w:eastAsia="Times New Roman" w:hAnsi="Times New Roman"/>
          <w:sz w:val="18"/>
          <w:szCs w:val="18"/>
          <w:color w:val="auto"/>
        </w:rPr>
        <w:t>,” which provides temporary optional expedients and exceptions to the existing guidance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 modifications and hedge accounting to ease the financial reporting burdens of the expected market transition from the London Interbank Offered Rate (“LIBOR”) and other interbank offered rates to alternative reference rates, such as the Secured Overnight Financing Rate (“SOFR”). The guidance in ASU 2020-04 is optional, effective immediately, and may be elected over time as reference rate reform activities occur generally through December 31,</w:t>
      </w:r>
    </w:p>
    <w:p>
      <w:pPr>
        <w:sectPr>
          <w:pgSz w:w="11900" w:h="16838" w:orient="portrait"/>
          <w:cols w:equalWidth="0" w:num="1">
            <w:col w:w="9019"/>
          </w:cols>
          <w:pgMar w:left="1440" w:top="513" w:right="1440"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58" w:lineRule="auto"/>
        <w:rPr>
          <w:sz w:val="20"/>
          <w:szCs w:val="20"/>
          <w:color w:val="auto"/>
        </w:rPr>
      </w:pPr>
      <w:r>
        <w:rPr>
          <w:rFonts w:ascii="Times New Roman" w:cs="Times New Roman" w:eastAsia="Times New Roman" w:hAnsi="Times New Roman"/>
          <w:sz w:val="18"/>
          <w:szCs w:val="18"/>
          <w:color w:val="auto"/>
        </w:rPr>
        <w:t>2022. During 2020, the Company elected to apply the hedge accounting expedients related to probability and the assessments of effectiveness for future LIBOR-indexed cash flows to assume that the index upon which future hedged transactions will be based matches the index on the corresponding derivatives. Application of these expedients preserves the presentation of derivatives consistent with past presentation. The Company continues to evaluate the impact of this guidance and may apply other elections as applicable as additional market changes occur.</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REVENUES:</w:t>
      </w:r>
    </w:p>
    <w:p>
      <w:pPr>
        <w:spacing w:after="0" w:line="189" w:lineRule="exact"/>
        <w:rPr>
          <w:sz w:val="20"/>
          <w:szCs w:val="20"/>
          <w:color w:val="auto"/>
        </w:rPr>
      </w:pPr>
    </w:p>
    <w:p>
      <w:pPr>
        <w:ind w:left="60" w:right="79"/>
        <w:spacing w:after="0" w:line="268" w:lineRule="auto"/>
        <w:rPr>
          <w:sz w:val="20"/>
          <w:szCs w:val="20"/>
          <w:color w:val="auto"/>
        </w:rPr>
      </w:pPr>
      <w:r>
        <w:rPr>
          <w:rFonts w:ascii="Times New Roman" w:cs="Times New Roman" w:eastAsia="Times New Roman" w:hAnsi="Times New Roman"/>
          <w:sz w:val="17"/>
          <w:szCs w:val="17"/>
          <w:color w:val="auto"/>
        </w:rPr>
        <w:t>Revenues from occupied hotel rooms are recognized over time as the daily hotel stay is provided to hotel groups and guests. Revenues from concessions, food and beverage sales, and group meeting services are recognized over the period or at the point in time those goods or services are delivered to the hotel group or guest. Revenues from ancillary services at the Company’s hotels, such as spa, parking, and transportation services, are generally recognized at the time the goods or services are provided. Cancellation fees and attrition fees, which are charged to groups when they do not fulfill the minimum number of room nights or minimum food and beverage spending requirements originally contracted for, are generally recognized as revenue in the period the Company determines it is probable that a significant reversal in the amount of revenue recognized will not occur, which is typically the period these fees are collected. The Company generally recognizes revenues from the Entertainment segment at the point in time that services are provided or goods are delivered or shipped to the customer, as applicable. Entertainment segment revenues from licenses of content are recognized at the point in time the content is delivered to the licensee and the licensee can use and benefit from the content. Revenue related to content provided to Circle is eliminated for the portion of Circle that the Company owns. Almost all of the Company’s revenues are either cash-based or, for meeting and convention groups who meet the Company’s credit criteria, billed and collected on a short-term receivables basis. The Company is required to collect certain taxes from customers on behalf of government agencies and remit these to the applicable governmental entity on a periodic basis. These taxes are collected from customers at the time of purchase but are not included in revenue. The Company records a liability upon collection of such taxes from the customer and relieves the liability when payments are remitted to the applicable governmental agency.</w:t>
      </w:r>
    </w:p>
    <w:p>
      <w:pPr>
        <w:spacing w:after="0" w:line="1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revenues disaggregated by major source are as follows (in thousands):</w:t>
      </w:r>
    </w:p>
    <w:p>
      <w:pPr>
        <w:spacing w:after="0" w:line="20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69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920" w:type="dxa"/>
            <w:vAlign w:val="bottom"/>
          </w:tcPr>
          <w:p>
            <w:pPr>
              <w:spacing w:after="0"/>
              <w:rPr>
                <w:sz w:val="12"/>
                <w:szCs w:val="12"/>
                <w:color w:val="auto"/>
              </w:rPr>
            </w:pPr>
          </w:p>
        </w:tc>
        <w:tc>
          <w:tcPr>
            <w:tcW w:w="3020" w:type="dxa"/>
            <w:vAlign w:val="bottom"/>
            <w:tcBorders>
              <w:bottom w:val="single" w:sz="8" w:color="CCEEFF"/>
            </w:tcBorders>
          </w:tcPr>
          <w:p>
            <w:pPr>
              <w:spacing w:after="0"/>
              <w:rPr>
                <w:sz w:val="12"/>
                <w:szCs w:val="12"/>
                <w:color w:val="auto"/>
              </w:rPr>
            </w:pPr>
          </w:p>
        </w:tc>
        <w:tc>
          <w:tcPr>
            <w:tcW w:w="24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Hotel group rooms</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62,478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Hotel transient rooms</w:t>
            </w: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Hotel food and beverage - banquets</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72,824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Hotel food and beverage - outlets</w:t>
            </w: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Hotel other</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23,399</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Entertainment admissions/ticketing</w:t>
            </w: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Entertainment food and beverage</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Entertainment produced content</w:t>
            </w: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2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Total revenues</w:t>
            </w:r>
          </w:p>
        </w:tc>
        <w:tc>
          <w:tcPr>
            <w:tcW w:w="24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299,135</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84,175</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440" w:type="dxa"/>
            <w:vAlign w:val="bottom"/>
            <w:vMerge w:val="restart"/>
          </w:tcPr>
          <w:p>
            <w:pPr>
              <w:jc w:val="right"/>
              <w:ind w:right="179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9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9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Hospitality segment revenues disaggregated by location are as follows (in thousands):</w:t>
      </w:r>
    </w:p>
    <w:p>
      <w:pPr>
        <w:spacing w:after="0" w:line="19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4"/>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2"/>
                <w:szCs w:val="12"/>
                <w:color w:val="auto"/>
              </w:rPr>
            </w:pPr>
          </w:p>
        </w:tc>
        <w:tc>
          <w:tcPr>
            <w:tcW w:w="700" w:type="dxa"/>
            <w:vAlign w:val="bottom"/>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20" w:type="dxa"/>
            <w:vAlign w:val="bottom"/>
          </w:tcPr>
          <w:p>
            <w:pPr>
              <w:spacing w:after="0"/>
              <w:rPr>
                <w:sz w:val="18"/>
                <w:szCs w:val="18"/>
                <w:color w:val="auto"/>
              </w:rPr>
            </w:pPr>
          </w:p>
        </w:tc>
        <w:tc>
          <w:tcPr>
            <w:tcW w:w="5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Gaylord Opryland</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73,519</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$ 21,759</w:t>
            </w: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Gaylord Palms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59,848</w:t>
            </w: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15,117</w:t>
            </w: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Gaylord Texan</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56,636</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18,358</w:t>
            </w: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Gaylord National</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32,587</w:t>
            </w: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1,257</w:t>
            </w: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Gaylord Rockies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34,787</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11,970</w:t>
            </w: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AC Hotel</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805</w:t>
            </w: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Inn at Opryland</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r>
      <w:tr>
        <w:trPr>
          <w:trHeight w:val="209"/>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Hospitality segment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261,111</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$ 69,802</w:t>
            </w: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majority of the Company’s Entertainment segment revenues are concentrated in Tennessee.</w:t>
      </w:r>
    </w:p>
    <w:p>
      <w:pPr>
        <w:spacing w:after="0" w:line="185"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The Company records deferred revenues when cash payments are received in advance of its performance obligations, primarily related to advanced deposits on hotel rooms in its Hospitality segment and advanced ticketing in its Entertainment segment. At March 31, 2022 and December 31, 2021, the Company had $145.3 million and $116.8 million, respectively, in deferred revenues, which are included in accounts payable and accrued liabilities in the accompanying condensed consolidated balance sheets. Of the amount outstanding at December 31, 2021, approximately $27.2 million was recognized in revenue during the three months ended March 31, 2022.</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INCOME (LOSS) PER SHARE:</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weighted average number of common shares outstanding is calculated as follows (in thousands):</w:t>
      </w:r>
    </w:p>
    <w:p>
      <w:pPr>
        <w:spacing w:after="0" w:line="19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70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880" w:type="dxa"/>
        <w:tblCellMar>
          <w:top w:w="0" w:type="dxa"/>
          <w:left w:w="0" w:type="dxa"/>
          <w:bottom w:w="0" w:type="dxa"/>
          <w:right w:w="0" w:type="dxa"/>
        </w:tblCellMar>
      </w:tblPr>
      <w:tr>
        <w:trPr>
          <w:trHeight w:val="142"/>
        </w:trPr>
        <w:tc>
          <w:tcPr>
            <w:tcW w:w="582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55,086</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54,995</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Effect of dilutive stock-based compensation</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55,086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54,995</w:t>
            </w:r>
          </w:p>
        </w:tc>
      </w:tr>
      <w:tr>
        <w:trPr>
          <w:trHeight w:val="20"/>
        </w:trPr>
        <w:tc>
          <w:tcPr>
            <w:tcW w:w="58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2022 and 2021, the effect of dilutive stock-based compensation was the equivalent of 0.3 million and 0.2 million shares of common stock outstanding. Because the Company had a loss available to common stockholders in the three months ended March 31, 2022 and 2021, these incremental shares were excluded from the computation of dilutive earnings per share as the effect of their inclusion would have been anti-dilutive.</w:t>
      </w:r>
    </w:p>
    <w:p>
      <w:pPr>
        <w:spacing w:after="0" w:line="139"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The operating partnership units (“OP Units”) held by the noncontrolling interest holders have been excluded from the denominator of the diluted loss per share calculation for the three months ended March 31, 2022 and 2021 as there would be no effect on the calculation of diluted loss per share because the loss attributable to the OP Units held by the noncontrolling interest holders would also be subtracted to derive net loss available to common stockholders.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ACCUMULATED OTHER COMPREHENSIVE LOSS:</w:t>
      </w:r>
    </w:p>
    <w:p>
      <w:pPr>
        <w:spacing w:after="0" w:line="189"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The Company’s balance in accumulated other comprehensive loss is comprised of amounts related to the Company’s minimum pension liability discussed in Note 11, “Pension Plans,” interest rate derivatives designated as cash flow hedges related to the Company’s outstanding debt as discussed in Note 7, “Debt,” and amounts related to an other-than-temporary impairment of a held-to-maturity investment that existed prior to 2020 with respect to the notes receivable discussed in Note 6, “Notes Receivable,” to the condensed consolidated financial statements included herein. Changes in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accumulated other comprehensive loss by component for the three months ended March 31, 2022 and 2021 consisted of the following (in thousands):</w:t>
      </w:r>
    </w:p>
    <w:p>
      <w:pPr>
        <w:spacing w:after="0" w:line="12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vMerge w:val="restart"/>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160" w:type="dxa"/>
            <w:vAlign w:val="bottom"/>
          </w:tcPr>
          <w:p>
            <w:pPr>
              <w:spacing w:after="0"/>
              <w:rPr>
                <w:sz w:val="13"/>
                <w:szCs w:val="13"/>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Other-Than-</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w w:val="99"/>
              </w:rPr>
              <w:t>Temporary</w:t>
            </w:r>
          </w:p>
        </w:tc>
        <w:tc>
          <w:tcPr>
            <w:tcW w:w="140" w:type="dxa"/>
            <w:vAlign w:val="bottom"/>
          </w:tcPr>
          <w:p>
            <w:pPr>
              <w:spacing w:after="0"/>
              <w:rPr>
                <w:sz w:val="12"/>
                <w:szCs w:val="12"/>
                <w:color w:val="auto"/>
              </w:rPr>
            </w:pP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2"/>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1060" w:type="dxa"/>
            <w:vAlign w:val="bottom"/>
            <w:gridSpan w:val="3"/>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Impairment of</w:t>
            </w: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68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4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December 31, 2021</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(16,419)</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(3,298)</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(9,363)</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(29,080)</w:t>
            </w:r>
          </w:p>
        </w:tc>
        <w:tc>
          <w:tcPr>
            <w:tcW w:w="0" w:type="dxa"/>
            <w:vAlign w:val="bottom"/>
          </w:tcPr>
          <w:p>
            <w:pPr>
              <w:spacing w:after="0"/>
              <w:rPr>
                <w:sz w:val="1"/>
                <w:szCs w:val="1"/>
                <w:color w:val="auto"/>
              </w:rPr>
            </w:pPr>
          </w:p>
        </w:tc>
      </w:tr>
      <w:tr>
        <w:trPr>
          <w:trHeight w:val="203"/>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Gains arising during period</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6,070</w:t>
            </w:r>
          </w:p>
        </w:tc>
        <w:tc>
          <w:tcPr>
            <w:tcW w:w="0" w:type="dxa"/>
            <w:vAlign w:val="bottom"/>
          </w:tcPr>
          <w:p>
            <w:pPr>
              <w:spacing w:after="0"/>
              <w:rPr>
                <w:sz w:val="1"/>
                <w:szCs w:val="1"/>
                <w:color w:val="auto"/>
              </w:rPr>
            </w:pPr>
          </w:p>
        </w:tc>
      </w:tr>
      <w:tr>
        <w:trPr>
          <w:trHeight w:val="203"/>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4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3,949</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3,916</w:t>
            </w:r>
          </w:p>
        </w:tc>
        <w:tc>
          <w:tcPr>
            <w:tcW w:w="0" w:type="dxa"/>
            <w:vAlign w:val="bottom"/>
          </w:tcPr>
          <w:p>
            <w:pPr>
              <w:spacing w:after="0"/>
              <w:rPr>
                <w:sz w:val="1"/>
                <w:szCs w:val="1"/>
                <w:color w:val="auto"/>
              </w:rPr>
            </w:pPr>
          </w:p>
        </w:tc>
      </w:tr>
      <w:tr>
        <w:trPr>
          <w:trHeight w:val="196"/>
        </w:trPr>
        <w:tc>
          <w:tcPr>
            <w:tcW w:w="4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other comprehensive income (loss)</w:t>
            </w:r>
          </w:p>
        </w:tc>
        <w:tc>
          <w:tcPr>
            <w:tcW w:w="4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10,019</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9,986</w:t>
            </w:r>
          </w:p>
        </w:tc>
        <w:tc>
          <w:tcPr>
            <w:tcW w:w="0" w:type="dxa"/>
            <w:vAlign w:val="bottom"/>
          </w:tcPr>
          <w:p>
            <w:pPr>
              <w:spacing w:after="0"/>
              <w:rPr>
                <w:sz w:val="1"/>
                <w:szCs w:val="1"/>
                <w:color w:val="auto"/>
              </w:rPr>
            </w:pPr>
          </w:p>
        </w:tc>
      </w:tr>
      <w:tr>
        <w:trPr>
          <w:trHeight w:val="196"/>
        </w:trPr>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March 31, 2022</w:t>
            </w:r>
          </w:p>
        </w:tc>
        <w:tc>
          <w:tcPr>
            <w:tcW w:w="4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(16,505)</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(3,245)</w:t>
            </w: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(19,094)</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4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vMerge w:val="restart"/>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160" w:type="dxa"/>
            <w:vAlign w:val="bottom"/>
          </w:tcPr>
          <w:p>
            <w:pPr>
              <w:spacing w:after="0"/>
              <w:rPr>
                <w:sz w:val="24"/>
                <w:szCs w:val="2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Other-Than-</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w w:val="99"/>
              </w:rPr>
              <w:t>Temporary</w:t>
            </w:r>
          </w:p>
        </w:tc>
        <w:tc>
          <w:tcPr>
            <w:tcW w:w="140" w:type="dxa"/>
            <w:vAlign w:val="bottom"/>
          </w:tcPr>
          <w:p>
            <w:pPr>
              <w:spacing w:after="0"/>
              <w:rPr>
                <w:sz w:val="12"/>
                <w:szCs w:val="12"/>
                <w:color w:val="auto"/>
              </w:rPr>
            </w:pP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2"/>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1060" w:type="dxa"/>
            <w:vAlign w:val="bottom"/>
            <w:gridSpan w:val="3"/>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Impairment of</w:t>
            </w: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68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4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December 31, 2020</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(26,623)</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(3,509)</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(27,819)</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(57,951)</w:t>
            </w:r>
          </w:p>
        </w:tc>
        <w:tc>
          <w:tcPr>
            <w:tcW w:w="0" w:type="dxa"/>
            <w:vAlign w:val="bottom"/>
          </w:tcPr>
          <w:p>
            <w:pPr>
              <w:spacing w:after="0"/>
              <w:rPr>
                <w:sz w:val="1"/>
                <w:szCs w:val="1"/>
                <w:color w:val="auto"/>
              </w:rPr>
            </w:pPr>
          </w:p>
        </w:tc>
      </w:tr>
      <w:tr>
        <w:trPr>
          <w:trHeight w:val="203"/>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Gains arising during period</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2,038</w:t>
            </w:r>
          </w:p>
        </w:tc>
        <w:tc>
          <w:tcPr>
            <w:tcW w:w="0" w:type="dxa"/>
            <w:vAlign w:val="bottom"/>
          </w:tcPr>
          <w:p>
            <w:pPr>
              <w:spacing w:after="0"/>
              <w:rPr>
                <w:sz w:val="1"/>
                <w:szCs w:val="1"/>
                <w:color w:val="auto"/>
              </w:rPr>
            </w:pPr>
          </w:p>
        </w:tc>
      </w:tr>
      <w:tr>
        <w:trPr>
          <w:trHeight w:val="203"/>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4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4,001</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4,062</w:t>
            </w:r>
          </w:p>
        </w:tc>
        <w:tc>
          <w:tcPr>
            <w:tcW w:w="0" w:type="dxa"/>
            <w:vAlign w:val="bottom"/>
          </w:tcPr>
          <w:p>
            <w:pPr>
              <w:spacing w:after="0"/>
              <w:rPr>
                <w:sz w:val="1"/>
                <w:szCs w:val="1"/>
                <w:color w:val="auto"/>
              </w:rPr>
            </w:pPr>
          </w:p>
        </w:tc>
      </w:tr>
      <w:tr>
        <w:trPr>
          <w:trHeight w:val="196"/>
        </w:trPr>
        <w:tc>
          <w:tcPr>
            <w:tcW w:w="4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other comprehensive income</w:t>
            </w:r>
          </w:p>
        </w:tc>
        <w:tc>
          <w:tcPr>
            <w:tcW w:w="4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1,444</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4,603</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6,100</w:t>
            </w:r>
          </w:p>
        </w:tc>
        <w:tc>
          <w:tcPr>
            <w:tcW w:w="0" w:type="dxa"/>
            <w:vAlign w:val="bottom"/>
          </w:tcPr>
          <w:p>
            <w:pPr>
              <w:spacing w:after="0"/>
              <w:rPr>
                <w:sz w:val="1"/>
                <w:szCs w:val="1"/>
                <w:color w:val="auto"/>
              </w:rPr>
            </w:pPr>
          </w:p>
        </w:tc>
      </w:tr>
      <w:tr>
        <w:trPr>
          <w:trHeight w:val="196"/>
        </w:trPr>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March 31, 2021</w:t>
            </w:r>
          </w:p>
        </w:tc>
        <w:tc>
          <w:tcPr>
            <w:tcW w:w="4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(25,179)</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(3,456)</w:t>
            </w: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(23,216)</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(51,851)</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PROPERTY AND EQUIPMENT:</w:t>
      </w:r>
    </w:p>
    <w:p>
      <w:pPr>
        <w:spacing w:after="0" w:line="189"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Property and equipment, including right-of-use finance lease assets, at March 31, 2022 and December 31, 2021 is recorded at cost (except for right-of-use finance lease assets) and summarized as follows (in thousands):</w:t>
      </w:r>
    </w:p>
    <w:p>
      <w:pPr>
        <w:spacing w:after="0" w:line="169"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9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377,220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378,598</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3,604,950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3,601,974</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983,947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981,589</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Right-of-use finance lease assets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Construction-in-progress</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14,337</w:t>
            </w: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4,984,861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4,978,111</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(1,990,320)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(1,946,267)</w:t>
            </w:r>
          </w:p>
        </w:tc>
      </w:tr>
      <w:tr>
        <w:trPr>
          <w:trHeight w:val="210"/>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2,994,541</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3,031,844</w:t>
            </w: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NOTES RECEIVABLE:</w:t>
      </w:r>
    </w:p>
    <w:p>
      <w:pPr>
        <w:spacing w:after="0" w:line="189"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As further discussed in the Company’s Annual Report on Form 10-K for the year ended December 31, 2021, in connection with the development of Gaylord National, the Company holds two issuances of governmental bonds (“Series A bond” and “Series B bond”) with a total carrying value and approximate fair value of $67.5 million and $71.2 million at March 31, 2022 and December 31, 2021, respectively, net of credit loss reserve of $38.0 million at each of March 31, 2022 and December 31, 2021. The Company receives debt service and principal payments thereon, payable from property tax increments, hotel taxes and special hotel rental taxes generated from Gaylord National through the maturity dates of July 1, 2034 and September 1, 2037, respectively. The Company records interest income over the life of the notes using the effective interest method.</w:t>
      </w:r>
    </w:p>
    <w:p>
      <w:pPr>
        <w:spacing w:after="0" w:line="165" w:lineRule="exact"/>
        <w:rPr>
          <w:sz w:val="20"/>
          <w:szCs w:val="20"/>
          <w:color w:val="auto"/>
        </w:rPr>
      </w:pPr>
    </w:p>
    <w:p>
      <w:pPr>
        <w:ind w:left="60" w:right="279"/>
        <w:spacing w:after="0" w:line="277" w:lineRule="auto"/>
        <w:rPr>
          <w:sz w:val="20"/>
          <w:szCs w:val="20"/>
          <w:color w:val="auto"/>
        </w:rPr>
      </w:pPr>
      <w:r>
        <w:rPr>
          <w:rFonts w:ascii="Times New Roman" w:cs="Times New Roman" w:eastAsia="Times New Roman" w:hAnsi="Times New Roman"/>
          <w:sz w:val="17"/>
          <w:szCs w:val="17"/>
          <w:color w:val="auto"/>
        </w:rPr>
        <w:t>The Company has the intent and ability to hold these bonds to maturity. The Company’s quarterly assessment of credit losses considers the estimate of projected tax revenues that will service the bonds over their remaining terms. These tax revenue projections are updated each quarter to reflect updated industry projections as to future anticipated operations of the hotel. As a result of reduced tax revenue projections over the remaining life of the bonds, the Series B bond is fully reserved. The Series A bond is of higher priority than other tranches which fall between the Company’s two issuances.</w:t>
      </w:r>
    </w:p>
    <w:p>
      <w:pPr>
        <w:sectPr>
          <w:pgSz w:w="11900" w:h="16838" w:orient="portrait"/>
          <w:cols w:equalWidth="0" w:num="1">
            <w:col w:w="9019"/>
          </w:cols>
          <w:pgMar w:left="1440" w:top="513"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During each of the three months ended March 31, 2022 and 2021, the Company recorded interest income of $1.3 million on these bonds. The Company received payments of $5.1 million and $2.8 million during the three months ended March 31, 2022 and 2021, respectively, relating to these bonds. At March 31, 2022 and December 31, 2021, before consideration of the credit loss reserve, the Company had accrued interest receivable related to these bonds of $39.6 million and $41.0 million, respectively.</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debt and finance lease obligations at March 31, 2022 and December 31, 2021 consisted of (in thousands):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40" w:type="dxa"/>
            <w:vAlign w:val="bottom"/>
          </w:tcPr>
          <w:p>
            <w:pPr>
              <w:spacing w:after="0"/>
              <w:rPr>
                <w:sz w:val="13"/>
                <w:szCs w:val="13"/>
                <w:color w:val="auto"/>
              </w:rPr>
            </w:pPr>
          </w:p>
        </w:tc>
        <w:tc>
          <w:tcPr>
            <w:tcW w:w="6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3"/>
                <w:szCs w:val="13"/>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40" w:type="dxa"/>
            <w:vAlign w:val="bottom"/>
            <w:tcBorders>
              <w:bottom w:val="single" w:sz="8" w:color="CCEEFF"/>
            </w:tcBorders>
          </w:tcPr>
          <w:p>
            <w:pPr>
              <w:spacing w:after="0"/>
              <w:rPr>
                <w:sz w:val="15"/>
                <w:szCs w:val="15"/>
                <w:color w:val="auto"/>
              </w:rPr>
            </w:pPr>
          </w:p>
        </w:tc>
        <w:tc>
          <w:tcPr>
            <w:tcW w:w="63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$700M Revolving Credit Facility, interest at LIBOR plus 2.25%, maturing March 31, 2024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190,000</w:t>
            </w:r>
          </w:p>
        </w:tc>
      </w:tr>
      <w:tr>
        <w:trPr>
          <w:trHeight w:val="216"/>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$300M Term Loan A, interest at LIBOR plus 2.25%, maturing March 31, 2025</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r>
      <w:tr>
        <w:trPr>
          <w:trHeight w:val="216"/>
        </w:trPr>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$500M</w:t>
            </w:r>
          </w:p>
        </w:tc>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B, interest at LIBOR plus 2.00%, maturing May 11, 2024</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376,250</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w w:val="99"/>
              </w:rPr>
              <w:t>$600M</w:t>
            </w:r>
          </w:p>
        </w:tc>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interest at 4.50%, maturing February 15, 2029</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r>
      <w:tr>
        <w:trPr>
          <w:trHeight w:val="216"/>
        </w:trPr>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$700M</w:t>
            </w:r>
          </w:p>
        </w:tc>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interest at 4.75%, maturing October 15, 2027</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w w:val="99"/>
              </w:rPr>
              <w:t>$800M</w:t>
            </w:r>
          </w:p>
        </w:tc>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Gaylord Rockies Term Loan, interest at LIBOR plus 2.50%, maturing July 2, 2023</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800,000</w:t>
            </w:r>
          </w:p>
        </w:tc>
      </w:tr>
      <w:tr>
        <w:trPr>
          <w:trHeight w:val="216"/>
        </w:trPr>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obligations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r>
      <w:tr>
        <w:trPr>
          <w:trHeight w:val="216"/>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Unamortized deferred financing costs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(32,203)</w:t>
            </w:r>
          </w:p>
        </w:tc>
      </w:tr>
      <w:tr>
        <w:trPr>
          <w:trHeight w:val="216"/>
        </w:trPr>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premium</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w:t>
            </w:r>
          </w:p>
        </w:tc>
      </w:tr>
      <w:tr>
        <w:trPr>
          <w:trHeight w:val="210"/>
        </w:trPr>
        <w:tc>
          <w:tcPr>
            <w:tcW w:w="6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 debt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2,937,660</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2,936,819</w:t>
            </w:r>
          </w:p>
        </w:tc>
      </w:tr>
      <w:tr>
        <w:trPr>
          <w:trHeight w:val="20"/>
        </w:trPr>
        <w:tc>
          <w:tcPr>
            <w:tcW w:w="54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79"/>
        <w:spacing w:after="0" w:line="312" w:lineRule="auto"/>
        <w:rPr>
          <w:sz w:val="20"/>
          <w:szCs w:val="20"/>
          <w:color w:val="auto"/>
        </w:rPr>
      </w:pPr>
      <w:r>
        <w:rPr>
          <w:rFonts w:ascii="Times New Roman" w:cs="Times New Roman" w:eastAsia="Times New Roman" w:hAnsi="Times New Roman"/>
          <w:sz w:val="17"/>
          <w:szCs w:val="17"/>
          <w:color w:val="auto"/>
        </w:rPr>
        <w:t>Amounts due within one year consist of the amortization payments for the $500 million term loan B of 1.0% of the original principal balance, as described in the Company’s Annual Report on Form 10-K for the year ended December 31, 2021.</w:t>
      </w:r>
    </w:p>
    <w:p>
      <w:pPr>
        <w:spacing w:after="0" w:line="99"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At March 31, 2022, the Temporary Waiver Period (as defined in the Company’s credit facility) expired, and there were no defaults under the covenants related to the Company’s outstanding debt based on the amended terms of the Company’s credit agreement.</w:t>
      </w:r>
    </w:p>
    <w:p>
      <w:pPr>
        <w:spacing w:after="0" w:line="149" w:lineRule="exact"/>
        <w:rPr>
          <w:sz w:val="20"/>
          <w:szCs w:val="20"/>
          <w:color w:val="auto"/>
        </w:rPr>
      </w:pPr>
    </w:p>
    <w:p>
      <w:pPr>
        <w:ind w:left="60" w:right="79"/>
        <w:spacing w:after="0" w:line="312" w:lineRule="auto"/>
        <w:rPr>
          <w:sz w:val="20"/>
          <w:szCs w:val="20"/>
          <w:color w:val="auto"/>
        </w:rPr>
      </w:pPr>
      <w:r>
        <w:rPr>
          <w:rFonts w:ascii="Times New Roman" w:cs="Times New Roman" w:eastAsia="Times New Roman" w:hAnsi="Times New Roman"/>
          <w:sz w:val="17"/>
          <w:szCs w:val="17"/>
          <w:color w:val="auto"/>
        </w:rPr>
        <w:t>As a result of the Company’s February 2021 purchase and redemption of its previous $400 million 5% senior notes due 2023, the Company recognized a loss on extinguishment of debt of $2.9 million in the three months ended March 31, 2021.</w:t>
      </w:r>
    </w:p>
    <w:p>
      <w:pPr>
        <w:spacing w:after="0" w:line="1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Rate Derivatives</w:t>
      </w:r>
    </w:p>
    <w:p>
      <w:pPr>
        <w:spacing w:after="0" w:line="187"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The Company has entered into interest rate swaps to manage interest rate risk associated with the Company’s $500 million term loan B and the Gaylord Rockies $800 million term loan. Each swap has been designated as a cash flow hedge whereby the Company receives variable-rate amounts in exchange for fixed-rate payments over the life of the agreement without exchange of the underlying principal amount. The Company does not use derivatives for trading or speculative purposes and currently does not hold any derivatives that are not designated as hedges.</w:t>
      </w:r>
    </w:p>
    <w:p>
      <w:pPr>
        <w:spacing w:after="0" w:line="143"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color w:val="auto"/>
        </w:rPr>
        <w:t>For derivatives designated as and that qualify as cash flow hedges of interest rate risk, the gain or loss on the derivative is recorded in accumulated other comprehensive loss and subsequently reclassified to interest expense in the same period during which the hedged transaction affects earnings. These amounts reported in accumulated other comprehensive loss will be reclassified to interest expense as interest payments are made on the related variable-rate debt. The Company estimates that $0.1 million will be reclassified from accumulated other comprehensive income as a reduction to interest expense in the next twelve months.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The estimated fair value of the Company’s derivative financial instruments at March 31, 2022 and December 31, 2021 is as follows (in thousands):</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173"/>
        </w:trPr>
        <w:tc>
          <w:tcPr>
            <w:tcW w:w="2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Strike</w:t>
            </w: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80" w:type="dxa"/>
            <w:vAlign w:val="bottom"/>
          </w:tcPr>
          <w:p>
            <w:pPr>
              <w:spacing w:after="0"/>
              <w:rPr>
                <w:sz w:val="15"/>
                <w:szCs w:val="15"/>
                <w:color w:val="auto"/>
              </w:rPr>
            </w:pPr>
          </w:p>
        </w:tc>
        <w:tc>
          <w:tcPr>
            <w:tcW w:w="16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Asset (Liability) Balance</w:t>
            </w:r>
          </w:p>
        </w:tc>
        <w:tc>
          <w:tcPr>
            <w:tcW w:w="0" w:type="dxa"/>
            <w:vAlign w:val="bottom"/>
          </w:tcPr>
          <w:p>
            <w:pPr>
              <w:spacing w:after="0"/>
              <w:rPr>
                <w:sz w:val="1"/>
                <w:szCs w:val="1"/>
                <w:color w:val="auto"/>
              </w:rPr>
            </w:pPr>
          </w:p>
        </w:tc>
      </w:tr>
      <w:tr>
        <w:trPr>
          <w:trHeight w:val="117"/>
        </w:trPr>
        <w:tc>
          <w:tcPr>
            <w:tcW w:w="208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Hedged Debt</w:t>
            </w:r>
          </w:p>
        </w:tc>
        <w:tc>
          <w:tcPr>
            <w:tcW w:w="13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660" w:type="dxa"/>
            <w:vAlign w:val="bottom"/>
            <w:gridSpan w:val="2"/>
            <w:vMerge w:val="continue"/>
          </w:tcPr>
          <w:p>
            <w:pPr>
              <w:spacing w:after="0"/>
              <w:rPr>
                <w:sz w:val="10"/>
                <w:szCs w:val="10"/>
                <w:color w:val="auto"/>
              </w:rPr>
            </w:pPr>
          </w:p>
        </w:tc>
        <w:tc>
          <w:tcPr>
            <w:tcW w:w="11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Index</w:t>
            </w:r>
          </w:p>
        </w:tc>
        <w:tc>
          <w:tcPr>
            <w:tcW w:w="10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940" w:type="dxa"/>
            <w:vAlign w:val="bottom"/>
            <w:gridSpan w:val="2"/>
            <w:vMerge w:val="continue"/>
          </w:tcPr>
          <w:p>
            <w:pPr>
              <w:spacing w:after="0"/>
              <w:rPr>
                <w:sz w:val="10"/>
                <w:szCs w:val="10"/>
                <w:color w:val="auto"/>
              </w:rPr>
            </w:pPr>
          </w:p>
        </w:tc>
        <w:tc>
          <w:tcPr>
            <w:tcW w:w="840" w:type="dxa"/>
            <w:vAlign w:val="bottom"/>
            <w:tcBorders>
              <w:top w:val="single" w:sz="8" w:color="auto"/>
            </w:tcBorders>
            <w:gridSpan w:val="3"/>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90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80" w:type="dxa"/>
            <w:vAlign w:val="bottom"/>
            <w:gridSpan w:val="2"/>
            <w:vMerge w:val="continue"/>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6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12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5"/>
                <w:szCs w:val="15"/>
                <w:color w:val="auto"/>
              </w:rPr>
            </w:pPr>
          </w:p>
        </w:tc>
        <w:tc>
          <w:tcPr>
            <w:tcW w:w="70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0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Term Loan B</w:t>
            </w:r>
          </w:p>
        </w:tc>
        <w:tc>
          <w:tcPr>
            <w:tcW w:w="8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Interest Rate Swap</w:t>
            </w:r>
          </w:p>
        </w:tc>
        <w:tc>
          <w:tcPr>
            <w:tcW w:w="8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1.2235%</w:t>
            </w:r>
          </w:p>
        </w:tc>
        <w:tc>
          <w:tcPr>
            <w:tcW w:w="6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1-month LIBOR</w:t>
            </w:r>
          </w:p>
        </w:tc>
        <w:tc>
          <w:tcPr>
            <w:tcW w:w="6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May 11, 2023</w:t>
            </w:r>
          </w:p>
        </w:tc>
        <w:tc>
          <w:tcPr>
            <w:tcW w:w="6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$ 87,500</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655</w:t>
            </w:r>
          </w:p>
        </w:tc>
        <w:tc>
          <w:tcPr>
            <w:tcW w:w="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center"/>
              <w:ind w:right="5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Term Loan B</w:t>
            </w:r>
          </w:p>
        </w:tc>
        <w:tc>
          <w:tcPr>
            <w:tcW w:w="13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Interest Rate Swap</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1.2235%</w:t>
            </w:r>
          </w:p>
        </w:tc>
        <w:tc>
          <w:tcPr>
            <w:tcW w:w="60" w:type="dxa"/>
            <w:vAlign w:val="bottom"/>
          </w:tcPr>
          <w:p>
            <w:pPr>
              <w:spacing w:after="0"/>
              <w:rPr>
                <w:sz w:val="12"/>
                <w:szCs w:val="12"/>
                <w:color w:val="auto"/>
              </w:rPr>
            </w:pPr>
          </w:p>
        </w:tc>
        <w:tc>
          <w:tcPr>
            <w:tcW w:w="11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1-month LIBOR</w:t>
            </w:r>
          </w:p>
        </w:tc>
        <w:tc>
          <w:tcPr>
            <w:tcW w:w="10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May 11, 2023</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$ 87,500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655</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Term Loan B</w:t>
            </w:r>
          </w:p>
        </w:tc>
        <w:tc>
          <w:tcPr>
            <w:tcW w:w="1300" w:type="dxa"/>
            <w:vAlign w:val="bottom"/>
            <w:gridSpan w:val="2"/>
            <w:shd w:val="clear" w:color="auto" w:fill="CCEEFF"/>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Interest Rate Swap</w:t>
            </w:r>
          </w:p>
        </w:tc>
        <w:tc>
          <w:tcPr>
            <w:tcW w:w="6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1.2235%</w:t>
            </w: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1-month LIBOR</w:t>
            </w:r>
          </w:p>
        </w:tc>
        <w:tc>
          <w:tcPr>
            <w:tcW w:w="1060" w:type="dxa"/>
            <w:vAlign w:val="bottom"/>
            <w:gridSpan w:val="2"/>
            <w:shd w:val="clear" w:color="auto" w:fill="CCEEFF"/>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May 11, 2023</w:t>
            </w:r>
          </w:p>
        </w:tc>
        <w:tc>
          <w:tcPr>
            <w:tcW w:w="8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$ 87,500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652</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Term Loan B</w:t>
            </w:r>
          </w:p>
        </w:tc>
        <w:tc>
          <w:tcPr>
            <w:tcW w:w="13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Interest Rate Swap</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1.2315%</w:t>
            </w:r>
          </w:p>
        </w:tc>
        <w:tc>
          <w:tcPr>
            <w:tcW w:w="60" w:type="dxa"/>
            <w:vAlign w:val="bottom"/>
          </w:tcPr>
          <w:p>
            <w:pPr>
              <w:spacing w:after="0"/>
              <w:rPr>
                <w:sz w:val="12"/>
                <w:szCs w:val="12"/>
                <w:color w:val="auto"/>
              </w:rPr>
            </w:pPr>
          </w:p>
        </w:tc>
        <w:tc>
          <w:tcPr>
            <w:tcW w:w="11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1-month LIBOR</w:t>
            </w:r>
          </w:p>
        </w:tc>
        <w:tc>
          <w:tcPr>
            <w:tcW w:w="10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May 11, 2023</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$ 87,500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645</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Gaylord Rockies Term Loan</w:t>
            </w:r>
          </w:p>
        </w:tc>
        <w:tc>
          <w:tcPr>
            <w:tcW w:w="1300" w:type="dxa"/>
            <w:vAlign w:val="bottom"/>
            <w:gridSpan w:val="2"/>
            <w:shd w:val="clear" w:color="auto" w:fill="CCEEFF"/>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Interest Rate Swap</w:t>
            </w:r>
          </w:p>
        </w:tc>
        <w:tc>
          <w:tcPr>
            <w:tcW w:w="6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1.6500%</w:t>
            </w: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1-month LIBOR</w:t>
            </w:r>
          </w:p>
        </w:tc>
        <w:tc>
          <w:tcPr>
            <w:tcW w:w="1060" w:type="dxa"/>
            <w:vAlign w:val="bottom"/>
            <w:gridSpan w:val="2"/>
            <w:shd w:val="clear" w:color="auto" w:fill="CCEEFF"/>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August 1, 2022</w:t>
            </w:r>
          </w:p>
        </w:tc>
        <w:tc>
          <w:tcPr>
            <w:tcW w:w="8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$ 800,000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(1,951)</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0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2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0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0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00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86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656</w:t>
            </w:r>
          </w:p>
        </w:tc>
        <w:tc>
          <w:tcPr>
            <w:tcW w:w="60" w:type="dxa"/>
            <w:vAlign w:val="bottom"/>
            <w:tcBorders>
              <w:top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center"/>
              <w:ind w:right="5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(9,362)</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579"/>
        <w:spacing w:after="0" w:line="282" w:lineRule="auto"/>
        <w:rPr>
          <w:sz w:val="20"/>
          <w:szCs w:val="20"/>
          <w:color w:val="auto"/>
        </w:rPr>
      </w:pPr>
      <w:r>
        <w:rPr>
          <w:rFonts w:ascii="Times New Roman" w:cs="Times New Roman" w:eastAsia="Times New Roman" w:hAnsi="Times New Roman"/>
          <w:sz w:val="18"/>
          <w:szCs w:val="18"/>
          <w:color w:val="auto"/>
        </w:rPr>
        <w:t>Derivative financial instruments in an asset position are included in prepaid expenses and other assets, and those in a liability position are included in other liabilities in the accompanying condensed consolidated balance sheets.</w:t>
      </w:r>
    </w:p>
    <w:p>
      <w:pPr>
        <w:spacing w:after="0" w:line="121"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The effect of the Company’s derivative financial instruments on the accompanying condensed consolidated statements of operations for the respective periods is as follows (in thousands):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15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8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4"/>
          </w:tcPr>
          <w:p>
            <w:pPr>
              <w:jc w:val="center"/>
              <w:ind w:right="5"/>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 OCI on</w:t>
            </w:r>
          </w:p>
        </w:tc>
        <w:tc>
          <w:tcPr>
            <w:tcW w:w="120" w:type="dxa"/>
            <w:vAlign w:val="bottom"/>
          </w:tcPr>
          <w:p>
            <w:pPr>
              <w:spacing w:after="0"/>
              <w:rPr>
                <w:sz w:val="12"/>
                <w:szCs w:val="12"/>
                <w:color w:val="auto"/>
              </w:rPr>
            </w:pPr>
          </w:p>
        </w:tc>
        <w:tc>
          <w:tcPr>
            <w:tcW w:w="15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Location of Gain (Loss)</w:t>
            </w:r>
          </w:p>
        </w:tc>
        <w:tc>
          <w:tcPr>
            <w:tcW w:w="2100" w:type="dxa"/>
            <w:vAlign w:val="bottom"/>
            <w:gridSpan w:val="6"/>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from Accumulated</w:t>
            </w:r>
          </w:p>
        </w:tc>
        <w:tc>
          <w:tcPr>
            <w:tcW w:w="0" w:type="dxa"/>
            <w:vAlign w:val="bottom"/>
          </w:tcPr>
          <w:p>
            <w:pPr>
              <w:spacing w:after="0"/>
              <w:rPr>
                <w:sz w:val="1"/>
                <w:szCs w:val="1"/>
                <w:color w:val="auto"/>
              </w:rPr>
            </w:pPr>
          </w:p>
        </w:tc>
      </w:tr>
      <w:tr>
        <w:trPr>
          <w:trHeight w:val="173"/>
        </w:trPr>
        <w:tc>
          <w:tcPr>
            <w:tcW w:w="3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4"/>
          </w:tcPr>
          <w:p>
            <w:pPr>
              <w:jc w:val="center"/>
              <w:ind w:right="5"/>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2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OCI into Income (Expense)</w:t>
            </w:r>
          </w:p>
        </w:tc>
        <w:tc>
          <w:tcPr>
            <w:tcW w:w="0" w:type="dxa"/>
            <w:vAlign w:val="bottom"/>
          </w:tcPr>
          <w:p>
            <w:pPr>
              <w:spacing w:after="0"/>
              <w:rPr>
                <w:sz w:val="1"/>
                <w:szCs w:val="1"/>
                <w:color w:val="auto"/>
              </w:rPr>
            </w:pPr>
          </w:p>
        </w:tc>
      </w:tr>
      <w:tr>
        <w:trPr>
          <w:trHeight w:val="117"/>
        </w:trPr>
        <w:tc>
          <w:tcPr>
            <w:tcW w:w="35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4"/>
          </w:tcPr>
          <w:p>
            <w:pPr>
              <w:jc w:val="center"/>
              <w:ind w:right="5"/>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120" w:type="dxa"/>
            <w:vAlign w:val="bottom"/>
          </w:tcPr>
          <w:p>
            <w:pPr>
              <w:spacing w:after="0"/>
              <w:rPr>
                <w:sz w:val="10"/>
                <w:szCs w:val="10"/>
                <w:color w:val="auto"/>
              </w:rPr>
            </w:pPr>
          </w:p>
        </w:tc>
        <w:tc>
          <w:tcPr>
            <w:tcW w:w="156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Reclassified from</w:t>
            </w:r>
          </w:p>
        </w:tc>
        <w:tc>
          <w:tcPr>
            <w:tcW w:w="120" w:type="dxa"/>
            <w:vAlign w:val="bottom"/>
            <w:tcBorders>
              <w:top w:val="single" w:sz="8" w:color="auto"/>
            </w:tcBorders>
          </w:tcPr>
          <w:p>
            <w:pPr>
              <w:spacing w:after="0"/>
              <w:rPr>
                <w:sz w:val="10"/>
                <w:szCs w:val="10"/>
                <w:color w:val="auto"/>
              </w:rPr>
            </w:pPr>
          </w:p>
        </w:tc>
        <w:tc>
          <w:tcPr>
            <w:tcW w:w="1860" w:type="dxa"/>
            <w:vAlign w:val="bottom"/>
            <w:tcBorders>
              <w:top w:val="single" w:sz="8" w:color="auto"/>
            </w:tcBorders>
            <w:gridSpan w:val="4"/>
          </w:tcPr>
          <w:p>
            <w:pPr>
              <w:jc w:val="center"/>
              <w:ind w:right="45"/>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5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5"/>
                <w:szCs w:val="15"/>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 OCI</w:t>
            </w: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center"/>
              <w:ind w:left="42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16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14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2"/>
                <w:szCs w:val="12"/>
                <w:color w:val="auto"/>
              </w:rPr>
            </w:pPr>
          </w:p>
        </w:tc>
        <w:tc>
          <w:tcPr>
            <w:tcW w:w="156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into Income (Expense)</w:t>
            </w:r>
          </w:p>
        </w:tc>
        <w:tc>
          <w:tcPr>
            <w:tcW w:w="120" w:type="dxa"/>
            <w:vAlign w:val="bottom"/>
          </w:tcPr>
          <w:p>
            <w:pPr>
              <w:spacing w:after="0"/>
              <w:rPr>
                <w:sz w:val="12"/>
                <w:szCs w:val="12"/>
                <w:color w:val="auto"/>
              </w:rPr>
            </w:pPr>
          </w:p>
        </w:tc>
        <w:tc>
          <w:tcPr>
            <w:tcW w:w="840" w:type="dxa"/>
            <w:vAlign w:val="bottom"/>
          </w:tcPr>
          <w:p>
            <w:pPr>
              <w:jc w:val="right"/>
              <w:ind w:right="26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jc w:val="right"/>
              <w:ind w:right="24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58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color w:val="auto"/>
              </w:rPr>
              <w:t>Derivatives in Cash Flow Hedging Relationships:</w:t>
            </w:r>
          </w:p>
        </w:tc>
        <w:tc>
          <w:tcPr>
            <w:tcW w:w="1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80" w:type="dxa"/>
            <w:vAlign w:val="bottom"/>
          </w:tcPr>
          <w:p>
            <w:pPr>
              <w:ind w:left="20"/>
              <w:spacing w:after="0" w:line="162" w:lineRule="exact"/>
              <w:rPr>
                <w:sz w:val="20"/>
                <w:szCs w:val="20"/>
                <w:color w:val="auto"/>
              </w:rPr>
            </w:pPr>
            <w:r>
              <w:rPr>
                <w:rFonts w:ascii="Times New Roman" w:cs="Times New Roman" w:eastAsia="Times New Roman" w:hAnsi="Times New Roman"/>
                <w:sz w:val="15"/>
                <w:szCs w:val="15"/>
                <w:color w:val="auto"/>
              </w:rPr>
              <w:t>Interest rate swaps</w:t>
            </w:r>
          </w:p>
        </w:tc>
        <w:tc>
          <w:tcPr>
            <w:tcW w:w="1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6,070</w:t>
            </w:r>
          </w:p>
        </w:tc>
        <w:tc>
          <w:tcPr>
            <w:tcW w:w="40" w:type="dxa"/>
            <w:vAlign w:val="bottom"/>
          </w:tcPr>
          <w:p>
            <w:pPr>
              <w:spacing w:after="0"/>
              <w:rPr>
                <w:sz w:val="14"/>
                <w:szCs w:val="14"/>
                <w:color w:val="auto"/>
              </w:rPr>
            </w:pPr>
          </w:p>
        </w:tc>
        <w:tc>
          <w:tcPr>
            <w:tcW w:w="1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602</w:t>
            </w:r>
          </w:p>
        </w:tc>
        <w:tc>
          <w:tcPr>
            <w:tcW w:w="120" w:type="dxa"/>
            <w:vAlign w:val="bottom"/>
          </w:tcPr>
          <w:p>
            <w:pPr>
              <w:spacing w:after="0"/>
              <w:rPr>
                <w:sz w:val="14"/>
                <w:szCs w:val="14"/>
                <w:color w:val="auto"/>
              </w:rPr>
            </w:pPr>
          </w:p>
        </w:tc>
        <w:tc>
          <w:tcPr>
            <w:tcW w:w="156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5"/>
                <w:szCs w:val="15"/>
                <w:color w:val="auto"/>
              </w:rPr>
              <w:t>Interest expense</w:t>
            </w:r>
          </w:p>
        </w:tc>
        <w:tc>
          <w:tcPr>
            <w:tcW w:w="1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(3,949)</w:t>
            </w:r>
          </w:p>
        </w:tc>
        <w:tc>
          <w:tcPr>
            <w:tcW w:w="300" w:type="dxa"/>
            <w:vAlign w:val="bottom"/>
          </w:tcPr>
          <w:p>
            <w:pPr>
              <w:jc w:val="right"/>
              <w:ind w:right="14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(4,001)</w:t>
            </w:r>
          </w:p>
        </w:tc>
        <w:tc>
          <w:tcPr>
            <w:tcW w:w="0" w:type="dxa"/>
            <w:vAlign w:val="bottom"/>
          </w:tcPr>
          <w:p>
            <w:pPr>
              <w:spacing w:after="0"/>
              <w:rPr>
                <w:sz w:val="1"/>
                <w:szCs w:val="1"/>
                <w:color w:val="auto"/>
              </w:rPr>
            </w:pPr>
          </w:p>
        </w:tc>
      </w:tr>
      <w:tr>
        <w:trPr>
          <w:trHeight w:val="156"/>
        </w:trPr>
        <w:tc>
          <w:tcPr>
            <w:tcW w:w="3580" w:type="dxa"/>
            <w:vAlign w:val="bottom"/>
            <w:tcBorders>
              <w:top w:val="single" w:sz="8" w:color="CCEEFF"/>
              <w:bottom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color w:val="auto"/>
              </w:rPr>
              <w:t>Total derivatives</w:t>
            </w:r>
          </w:p>
        </w:tc>
        <w:tc>
          <w:tcPr>
            <w:tcW w:w="1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6,070</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602</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4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(3,949)</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jc w:val="right"/>
              <w:ind w:right="14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(4,001)</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Reclassifications from accumulated other comprehensive loss for interest rate swaps are shown in the table above and included in interest expense. Total consolidated interest expense for the three months ended March 31, 2022 and 2021 was $31.9 million and $30.8 million, respectively.</w:t>
      </w:r>
    </w:p>
    <w:p>
      <w:pPr>
        <w:spacing w:after="0" w:line="149"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At March 31, 2022, the fair value of derivatives in a net liability position including accrued interest but excluding any adjustment for nonperformance risk related to these agreements was $2.9 million. As of March 31, 2022, the Company has not posted any collateral related to these agreements and was not in breach of any agreement provisions. If the Company had breached any of these provisions, it could have been required to settle its obligations under the agreements at the aggregate termination value of $2.9 million. In addition, the Company has an agreement with its derivative counterparty that contains a provision whereby the Company could be declared in default on its derivative obligations if repayment of the underlying indebtedness is accelerated by the lender due to the Company’s default on the indebtedness.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DEFERRED MANAGEMENT RIGHTS PROCEEDS:</w:t>
      </w:r>
    </w:p>
    <w:p>
      <w:pPr>
        <w:spacing w:after="0" w:line="189" w:lineRule="exact"/>
        <w:rPr>
          <w:sz w:val="20"/>
          <w:szCs w:val="20"/>
          <w:color w:val="auto"/>
        </w:rPr>
      </w:pPr>
    </w:p>
    <w:p>
      <w:pPr>
        <w:ind w:left="60" w:right="199"/>
        <w:spacing w:after="0" w:line="254" w:lineRule="auto"/>
        <w:rPr>
          <w:sz w:val="20"/>
          <w:szCs w:val="20"/>
          <w:color w:val="auto"/>
        </w:rPr>
      </w:pPr>
      <w:r>
        <w:rPr>
          <w:rFonts w:ascii="Times New Roman" w:cs="Times New Roman" w:eastAsia="Times New Roman" w:hAnsi="Times New Roman"/>
          <w:sz w:val="18"/>
          <w:szCs w:val="18"/>
          <w:color w:val="auto"/>
        </w:rPr>
        <w:t>On October 1, 2012, the Company consummated its agreement to sell the Gaylord Hotels brand and rights to manage the Gaylord Hotels properties (the “Management Rights”) to Marriott for $210.0 million in cash. Effective October 1, 2012, Marriott assumed responsibility for managing the day-to-day operations of the Gaylord Hotels properties pursuant to a management agreement for each Gaylord Hotel property. The Company allocated $190.0 million of the purchase price to the Management Rights, based on the Company’s estimates of the fair values for the respective components. For financial accounting purposes, the amount related to the Management Rights was deferred and is amortized on a straight-line basis over the 65-year term of the hotel management agreements, including extensions, as a reduction in management fee expense.</w:t>
      </w:r>
    </w:p>
    <w:p>
      <w:pPr>
        <w:spacing w:after="0" w:line="1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189"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The Company is a lessee of a 65.3 acre site in Osceola County, Florida on which Gaylord Palms is located, building or land leases for Ole Red Gatlinburg, Ole Red Orlando, Ole Red Tishomingo, Ole Red Nashville International Airport, and various warehouse, general office and other equipment leases. The Gaylord Palms land lease has a term through 2074,</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which may be extended through January 2101, at the Company’s discretion. The leases for Ole Red locations range from five to ten years, with renewal options ranging from five to fifty-five years, at the Company’s discretion. Extension options are not considered reasonably assured and as a result are not included in the Company’s calculation of its right-of-use assets and lease liabilities.</w:t>
      </w:r>
    </w:p>
    <w:p>
      <w:pPr>
        <w:spacing w:after="0" w:line="180" w:lineRule="exact"/>
        <w:rPr>
          <w:sz w:val="20"/>
          <w:szCs w:val="20"/>
          <w:color w:val="auto"/>
        </w:rPr>
      </w:pPr>
    </w:p>
    <w:p>
      <w:pPr>
        <w:ind w:left="60" w:right="399"/>
        <w:spacing w:after="0" w:line="266" w:lineRule="auto"/>
        <w:rPr>
          <w:sz w:val="20"/>
          <w:szCs w:val="20"/>
          <w:color w:val="auto"/>
        </w:rPr>
      </w:pPr>
      <w:r>
        <w:rPr>
          <w:rFonts w:ascii="Times New Roman" w:cs="Times New Roman" w:eastAsia="Times New Roman" w:hAnsi="Times New Roman"/>
          <w:sz w:val="18"/>
          <w:szCs w:val="18"/>
          <w:color w:val="auto"/>
        </w:rPr>
        <w:t>The terms of the Gaylord Palms lease include variable lease payments based upon net revenues at Gaylord Palms and certain other of the Company’s leases include rental payments adjusted periodically for inflation. The Company’s lease agreements do not contain any material residual value guarantees or material restrictive covenants.</w:t>
      </w:r>
    </w:p>
    <w:p>
      <w:pPr>
        <w:spacing w:after="0" w:line="176"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As the discount rate implicit in the Company’s operating leases is not readily determinable, the Company applies judgments related to the determination of the discount rates used to calculate the lease liability as required by Accounting Standards Codification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Company calculates its incremental borrowing rates by utilizing judgments and estimates regarding the Company’s secured borrowing rates, market credit rating, comparable bond yield curve, and adjustments to market yield curves to determine a securitized rate.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lease costs for the three months ended March 31, 2022 and 2021 are as follows (in thousands):</w:t>
      </w:r>
    </w:p>
    <w:p>
      <w:pPr>
        <w:spacing w:after="0" w:line="111" w:lineRule="exact"/>
        <w:rPr>
          <w:sz w:val="20"/>
          <w:szCs w:val="20"/>
          <w:color w:val="auto"/>
        </w:rPr>
      </w:pPr>
    </w:p>
    <w:tbl>
      <w:tblPr>
        <w:tblLayout w:type="fixed"/>
        <w:tblInd w:w="92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4"/>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26"/>
        </w:trPr>
        <w:tc>
          <w:tcPr>
            <w:tcW w:w="5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20" w:type="dxa"/>
            <w:vAlign w:val="bottom"/>
            <w:tcBorders>
              <w:bottom w:val="single" w:sz="8" w:color="auto"/>
            </w:tcBorders>
          </w:tcPr>
          <w:p>
            <w:pPr>
              <w:spacing w:after="0"/>
              <w:rPr>
                <w:sz w:val="19"/>
                <w:szCs w:val="19"/>
                <w:color w:val="auto"/>
              </w:rPr>
            </w:pPr>
          </w:p>
        </w:tc>
      </w:tr>
      <w:tr>
        <w:trPr>
          <w:trHeight w:val="223"/>
        </w:trPr>
        <w:tc>
          <w:tcPr>
            <w:tcW w:w="53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5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53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9"/>
        </w:trPr>
        <w:tc>
          <w:tcPr>
            <w:tcW w:w="5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lease cost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w:t>
            </w:r>
          </w:p>
        </w:tc>
      </w:tr>
      <w:tr>
        <w:trPr>
          <w:trHeight w:val="20"/>
        </w:trPr>
        <w:tc>
          <w:tcPr>
            <w:tcW w:w="5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Future minimum lease payments under non-cancelable leases at March 31, 2022 are as follows (in thousands):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40" w:type="dxa"/>
            <w:vAlign w:val="bottom"/>
          </w:tcPr>
          <w:p>
            <w:pPr>
              <w:spacing w:after="0"/>
              <w:rPr>
                <w:sz w:val="13"/>
                <w:szCs w:val="13"/>
                <w:color w:val="auto"/>
              </w:rPr>
            </w:pPr>
          </w:p>
        </w:tc>
        <w:tc>
          <w:tcPr>
            <w:tcW w:w="7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0" w:type="dxa"/>
            <w:vAlign w:val="bottom"/>
          </w:tcPr>
          <w:p>
            <w:pPr>
              <w:spacing w:after="0"/>
              <w:rPr>
                <w:sz w:val="1"/>
                <w:szCs w:val="1"/>
                <w:color w:val="auto"/>
              </w:rPr>
            </w:pPr>
          </w:p>
        </w:tc>
      </w:tr>
      <w:tr>
        <w:trPr>
          <w:trHeight w:val="173"/>
        </w:trPr>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Year 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Year 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Years thereafter</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563,451</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597,761</w:t>
            </w: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(482,780)</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present value of minimum payments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114,981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1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The remaining lease term and discount rate for the Company’s leases are as follows:</w:t>
            </w: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18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60" w:type="dxa"/>
            <w:vAlign w:val="bottom"/>
            <w:vMerge w:val="restart"/>
          </w:tcPr>
          <w:p>
            <w:pPr>
              <w:spacing w:after="0"/>
              <w:rPr>
                <w:sz w:val="19"/>
                <w:szCs w:val="19"/>
                <w:color w:val="auto"/>
              </w:rPr>
            </w:pPr>
          </w:p>
        </w:tc>
        <w:tc>
          <w:tcPr>
            <w:tcW w:w="532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 leases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years</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Finance leases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years</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Operating leases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Finance leases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STOCK PLANS:</w:t>
      </w:r>
    </w:p>
    <w:p>
      <w:pPr>
        <w:spacing w:after="0" w:line="202"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2022, the Company granted 0.1 million restricted stock units with a weighted-average grant date fair value of $82.99 per unit. There were 0.6 million restricted stock units outstanding at each of March 31, 2022 and December 31, 2021, respectively.</w:t>
      </w:r>
    </w:p>
    <w:p>
      <w:pPr>
        <w:spacing w:after="0" w:line="135"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Compensation expense for the Company’s stock-based compensation plans was $3.8 million and $2.5 million for the three months ended March 31, 2022 and 2021, respectively.</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PENSION PLANS:</w:t>
      </w:r>
    </w:p>
    <w:p>
      <w:pPr>
        <w:spacing w:after="0" w:line="202" w:lineRule="exact"/>
        <w:rPr>
          <w:sz w:val="20"/>
          <w:szCs w:val="20"/>
          <w:color w:val="auto"/>
        </w:rPr>
      </w:pPr>
    </w:p>
    <w:p>
      <w:pPr>
        <w:ind w:left="60" w:right="679"/>
        <w:spacing w:after="0" w:line="312" w:lineRule="auto"/>
        <w:rPr>
          <w:sz w:val="20"/>
          <w:szCs w:val="20"/>
          <w:color w:val="auto"/>
        </w:rPr>
      </w:pPr>
      <w:r>
        <w:rPr>
          <w:rFonts w:ascii="Times New Roman" w:cs="Times New Roman" w:eastAsia="Times New Roman" w:hAnsi="Times New Roman"/>
          <w:sz w:val="17"/>
          <w:szCs w:val="17"/>
          <w:color w:val="auto"/>
        </w:rPr>
        <w:t>Net periodic pension income reflected in other gains and (losses), net in the accompanying condensed consolidated statements of operations included the following components for the respective periods (in thousands):</w:t>
      </w:r>
    </w:p>
    <w:p>
      <w:pPr>
        <w:spacing w:after="0" w:line="10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66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920" w:type="dxa"/>
        <w:tblCellMar>
          <w:top w:w="0" w:type="dxa"/>
          <w:left w:w="0" w:type="dxa"/>
          <w:bottom w:w="0" w:type="dxa"/>
          <w:right w:w="0" w:type="dxa"/>
        </w:tblCellMar>
      </w:tblPr>
      <w:tr>
        <w:trPr>
          <w:trHeight w:val="142"/>
        </w:trPr>
        <w:tc>
          <w:tcPr>
            <w:tcW w:w="51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r>
      <w:tr>
        <w:trPr>
          <w:trHeight w:val="209"/>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20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20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net actuarial loss</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00" w:type="dxa"/>
            <w:vAlign w:val="bottom"/>
            <w:shd w:val="clear" w:color="auto" w:fill="CCEEFF"/>
          </w:tcPr>
          <w:p>
            <w:pPr>
              <w:spacing w:after="0"/>
              <w:rPr>
                <w:sz w:val="18"/>
                <w:szCs w:val="18"/>
                <w:color w:val="auto"/>
              </w:rPr>
            </w:pPr>
          </w:p>
        </w:tc>
      </w:tr>
      <w:tr>
        <w:trPr>
          <w:trHeight w:val="209"/>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Total net periodic pension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00" w:type="dxa"/>
            <w:vAlign w:val="bottom"/>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89" w:lineRule="exact"/>
        <w:rPr>
          <w:sz w:val="20"/>
          <w:szCs w:val="20"/>
          <w:color w:val="auto"/>
        </w:rPr>
      </w:pPr>
    </w:p>
    <w:p>
      <w:pPr>
        <w:ind w:left="60" w:right="79"/>
        <w:spacing w:after="0" w:line="281" w:lineRule="auto"/>
        <w:rPr>
          <w:sz w:val="20"/>
          <w:szCs w:val="20"/>
          <w:color w:val="auto"/>
        </w:rPr>
      </w:pPr>
      <w:r>
        <w:rPr>
          <w:rFonts w:ascii="Times New Roman" w:cs="Times New Roman" w:eastAsia="Times New Roman" w:hAnsi="Times New Roman"/>
          <w:sz w:val="17"/>
          <w:szCs w:val="17"/>
          <w:color w:val="auto"/>
        </w:rPr>
        <w:t>The Company elected to be taxed as a REIT effective January 1, 2013, pursuant to the U.S. Internal Revenue Code of 1986, as amended. As a REIT, generally the Company is not subject to federal corporate income taxes on ordinary taxable income and capital gains income from real estate investments that it distributes to its stockholders. The Company continues to be required to pay federal and state corporate income taxes on earnings of its taxable REIT subsidiaries (“TRSs”).</w:t>
      </w:r>
    </w:p>
    <w:p>
      <w:pPr>
        <w:spacing w:after="0" w:line="137" w:lineRule="exact"/>
        <w:rPr>
          <w:sz w:val="20"/>
          <w:szCs w:val="20"/>
          <w:color w:val="auto"/>
        </w:rPr>
      </w:pPr>
    </w:p>
    <w:p>
      <w:pPr>
        <w:ind w:left="60" w:right="41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2022, the Company recorded an income tax benefit of $0.1 million related to its TRSs.</w:t>
      </w:r>
    </w:p>
    <w:p>
      <w:pPr>
        <w:spacing w:after="0" w:line="121"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2021, the Company recorded an income tax provision of $4.0 million, which includes the recording of a valuation allowance of $3.6 million related to the Company’s reassessment of the realizability of its deferred tax assets due to the impact of the COVID-19 pandemic.</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At March 31, 2022 and December 31, 2021, the Company had no unrecognized tax benefits.</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189"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The Company has entered into limited repayment and carry guaranties related to the Gaylord Rockies Loan that, in the aggregate, guarantee repayment of 10% of the principal debt, together with interest and operating expenses, which are to be released once Gaylord Rockies achieves a certain debt service coverage threshold as defined in the Gaylord Rockies Loan. Generally, the Gaylord Rockies Loan is non-recourse to the Company, subject to (i) those limited guaranties, (ii) a completion guaranty in the event a property expansion is pursued, and (iii) customary non-recourse carve-outs.</w:t>
      </w:r>
    </w:p>
    <w:p>
      <w:pPr>
        <w:spacing w:after="0" w:line="143" w:lineRule="exact"/>
        <w:rPr>
          <w:sz w:val="20"/>
          <w:szCs w:val="20"/>
          <w:color w:val="auto"/>
        </w:rPr>
      </w:pPr>
    </w:p>
    <w:p>
      <w:pPr>
        <w:ind w:left="60" w:right="359"/>
        <w:spacing w:after="0" w:line="258" w:lineRule="auto"/>
        <w:rPr>
          <w:sz w:val="20"/>
          <w:szCs w:val="20"/>
          <w:color w:val="auto"/>
        </w:rPr>
      </w:pPr>
      <w:r>
        <w:rPr>
          <w:rFonts w:ascii="Times New Roman" w:cs="Times New Roman" w:eastAsia="Times New Roman" w:hAnsi="Times New Roman"/>
          <w:sz w:val="18"/>
          <w:szCs w:val="18"/>
          <w:color w:val="auto"/>
        </w:rPr>
        <w:t>In April 2019, a subsidiary of the Company entered into a joint venture with Gray Television, Inc. that creates and distributes a linear multicast and over-the-top channel dedicated to the country music lifestyle, Circle. The Company acquired a 50% equity interest in this joint venture and has made capital contributions of $23.0 million. In addition, the Company intends to contribute up to an additional $10.0 million through December 31, 2022 for working capital needs. The Company accounts for its investment in this joint venture under the equity method of accounting.</w:t>
      </w:r>
    </w:p>
    <w:p>
      <w:pPr>
        <w:spacing w:after="0" w:line="156"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The Company has entered into employment agreements with certain officers, which provide for severance payments upon certain events, including certain terminations in connection with a change of control.</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The Company, in the ordinary course of business, is involved in certain legal actions and claims on a variety of matters. It is the opinion of management that such contingencies will not have a material effect on the financial statements of the Company.</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EQUITY:</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87" w:lineRule="exact"/>
        <w:rPr>
          <w:sz w:val="20"/>
          <w:szCs w:val="20"/>
          <w:color w:val="auto"/>
        </w:rPr>
      </w:pPr>
    </w:p>
    <w:p>
      <w:pPr>
        <w:ind w:left="60" w:right="99"/>
        <w:spacing w:after="0" w:line="289" w:lineRule="auto"/>
        <w:rPr>
          <w:sz w:val="20"/>
          <w:szCs w:val="20"/>
          <w:color w:val="auto"/>
        </w:rPr>
      </w:pPr>
      <w:r>
        <w:rPr>
          <w:rFonts w:ascii="Times New Roman" w:cs="Times New Roman" w:eastAsia="Times New Roman" w:hAnsi="Times New Roman"/>
          <w:sz w:val="17"/>
          <w:szCs w:val="17"/>
          <w:color w:val="auto"/>
        </w:rPr>
        <w:t>Due to the COVID-19 pandemic, the Company has suspended its regular quarterly dividend payments. The Company’s board of directors will consider a future dividend as permitted by the Company’s credit agreement, and any future dividend is subject to the Company’s board of directors’ determination as to the amount of distributions and the timing thereof.</w:t>
      </w:r>
    </w:p>
    <w:p>
      <w:pPr>
        <w:spacing w:after="0" w:line="1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Noncontrolling Interest in the Operating Partnership</w:t>
      </w:r>
    </w:p>
    <w:p>
      <w:pPr>
        <w:spacing w:after="0" w:line="187"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The Company consolidates the Operating Partnership, which is a majority-owned limited partnership that has a noncontrolling interest. The outstanding OP Units held by the noncontrolling limited partners are redeemable for cash, or if the Company so elects, in shares of the Company’s common stock on a one-for-one basis, subject to certain adjustments. At March 31, 2022, 0.4 million outstanding OP Units, or less than 1% of the outstanding OP Units, were held by the noncontrolling limited partners and are included as a component of equity in the accompanying condensed consolidated balance sheet. The Company owns, directly or indirectly, the remaining 99.3% of the outstanding OP Units.</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At-the-Market (“ATM”) Equity Distribution Agreement</w:t>
      </w:r>
    </w:p>
    <w:p>
      <w:pPr>
        <w:spacing w:after="0" w:line="200" w:lineRule="exact"/>
        <w:rPr>
          <w:sz w:val="20"/>
          <w:szCs w:val="20"/>
          <w:color w:val="auto"/>
        </w:rPr>
      </w:pPr>
    </w:p>
    <w:p>
      <w:pPr>
        <w:ind w:left="60" w:right="439"/>
        <w:spacing w:after="0" w:line="258" w:lineRule="auto"/>
        <w:rPr>
          <w:sz w:val="20"/>
          <w:szCs w:val="20"/>
          <w:color w:val="auto"/>
        </w:rPr>
      </w:pPr>
      <w:r>
        <w:rPr>
          <w:rFonts w:ascii="Times New Roman" w:cs="Times New Roman" w:eastAsia="Times New Roman" w:hAnsi="Times New Roman"/>
          <w:sz w:val="18"/>
          <w:szCs w:val="18"/>
          <w:color w:val="auto"/>
        </w:rPr>
        <w:t>On May 27, 2021, the Company entered into an ATM equity distribution agreement (the “ATM Agreement”) with a consortium of banks (each a “Sales Agent” and collectively, the “Sales Agents”), pursuant to which the Company may offer and sell to or through the Sales Agents (the “ATM Offering”), from time to time, up to 4.0 million shares (the “Shares”) of the Company’s common stock in such share amounts as the Company may specify by notice to the Sales Agents, in accordance with the terms and conditions set forth in the ATM Agreement.</w:t>
      </w:r>
    </w:p>
    <w:p>
      <w:pPr>
        <w:spacing w:after="0" w:line="143" w:lineRule="exact"/>
        <w:rPr>
          <w:sz w:val="20"/>
          <w:szCs w:val="20"/>
          <w:color w:val="auto"/>
        </w:rPr>
      </w:pPr>
    </w:p>
    <w:p>
      <w:pPr>
        <w:ind w:left="60" w:right="99"/>
        <w:spacing w:after="0" w:line="269" w:lineRule="auto"/>
        <w:rPr>
          <w:sz w:val="20"/>
          <w:szCs w:val="20"/>
          <w:color w:val="auto"/>
        </w:rPr>
      </w:pPr>
      <w:r>
        <w:rPr>
          <w:rFonts w:ascii="Times New Roman" w:cs="Times New Roman" w:eastAsia="Times New Roman" w:hAnsi="Times New Roman"/>
          <w:sz w:val="17"/>
          <w:szCs w:val="17"/>
          <w:color w:val="auto"/>
        </w:rPr>
        <w:t>Under the ATM Agreement, the Company will set the parameters for the sale of the Shares, including the number of the Shares to be issued, the time period during which sales are requested to be made, limitation on the number of the Shares that may be sold in any one trading day and any minimum price below which sales may not be made. Each Sales Agent will use its commercially reasonable efforts, consistent with its normal trading and sales practices, to sell such Shares up to the amount specified, and otherwise in accordance with mutually agreed terms between the Sales Agent and the Company. Neither the Company nor any of the Sales Agents are obligated to sell any specific number or dollar amount of Shares under the ATM Agreement. The Sales Agents will be paid a commission of up to 2.0% of the gross sales price from the sale of any Shares. The Company intends to use the net proceeds from any sale of Shares for the repayment of outstanding indebtedness, which may include the repayment of amounts outstanding under the Company’s credit agreement governing the Company’s revolving credit facility. Net proceeds which are not used for the repayment of outstanding indebtedness (to the extent then permitted by the Company’s credit agreement) may be used for general corporate purposes.</w:t>
      </w:r>
    </w:p>
    <w:p>
      <w:pPr>
        <w:spacing w:after="0" w:line="1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 shares were issued under the ATM Agreement during the three months ended March 31, 2022.</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15. FAIR VALUE MEASUREMENTS:</w:t>
      </w:r>
    </w:p>
    <w:p>
      <w:pPr>
        <w:spacing w:after="0" w:line="189"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The Company uses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139"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The investments held by the Company in connection with its deferred compensation plan consist of mutual funds traded in an active market. The Company determined the fair value of these mutual funds based on the net asset value per unit of the funds or the portfolio, which is based upon quoted market prices in an active market. Therefore, the Company has categorized these investments as Level 1.</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The Company’s interest rate swaps consist of over-the-counter swap contracts, which are not traded on a public exchange. The Company determines the fair value of these swap contracts based on a widely accepted valuation methodology of netting the discounted future fixed cash flows and the discounted expected variable cash flows, using interest rates derived from observable market interest rate curves and volatilities, with appropriate adjustments for any significant impact of non-performance risk of the parties to the swap contracts. Therefore, these swap contracts have been classified as Level 2.</w:t>
      </w:r>
    </w:p>
    <w:p>
      <w:pPr>
        <w:spacing w:after="0" w:line="156"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The Company has consistently applied the above valuation techniques in all periods presented and believes it has obtained the most accurate information available for each type of instrument.</w:t>
      </w:r>
    </w:p>
    <w:p>
      <w:pPr>
        <w:spacing w:after="0" w:line="121"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The Company’s assets and liabilities measured at fair value on a recurring basis at March 31, 2022 and December 31, 2021, were as follows (in thousands):</w:t>
      </w:r>
    </w:p>
    <w:tbl>
      <w:tblPr>
        <w:tblLayout w:type="fixed"/>
        <w:tblInd w:w="6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140"/>
              <w:spacing w:after="0" w:line="137"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4"/>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 plan investments</w:t>
            </w:r>
          </w:p>
        </w:tc>
        <w:tc>
          <w:tcPr>
            <w:tcW w:w="9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29,887</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29,887</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Variable to fixed interest rate swaps</w:t>
            </w: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Markets for</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6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 plan investments</w:t>
            </w:r>
          </w:p>
        </w:tc>
        <w:tc>
          <w:tcPr>
            <w:tcW w:w="960" w:type="dxa"/>
            <w:vAlign w:val="bottom"/>
            <w:gridSpan w:val="2"/>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31,183</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gridSpan w:val="2"/>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31,183</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8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960" w:type="dxa"/>
            <w:vAlign w:val="bottom"/>
            <w:tcBorders>
              <w:bottom w:val="single" w:sz="8" w:color="CCEEFF"/>
            </w:tcBorders>
            <w:gridSpan w:val="2"/>
          </w:tcPr>
          <w:p>
            <w:pPr>
              <w:spacing w:after="0"/>
              <w:rPr>
                <w:sz w:val="21"/>
                <w:szCs w:val="21"/>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31,183</w:t>
            </w: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CCEEFF"/>
            </w:tcBorders>
            <w:gridSpan w:val="2"/>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31,183</w:t>
            </w: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gridSpan w:val="2"/>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CCEEFF"/>
            </w:tcBorders>
            <w:gridSpan w:val="2"/>
          </w:tcPr>
          <w:p>
            <w:pPr>
              <w:spacing w:after="0"/>
              <w:rPr>
                <w:sz w:val="21"/>
                <w:szCs w:val="21"/>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8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Variable to fixed interest rate swaps</w:t>
            </w:r>
          </w:p>
        </w:tc>
        <w:tc>
          <w:tcPr>
            <w:tcW w:w="114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9,362</w:t>
            </w: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9,362</w:t>
            </w:r>
          </w:p>
        </w:tc>
        <w:tc>
          <w:tcPr>
            <w:tcW w:w="3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9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9,362</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9,362</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The remainder of the assets and liabilities held by the Company at March 31, 2022 are not required to be recorded at fair value, and the carrying value of these assets and liabilities approximates fair value, except as described below.</w:t>
      </w:r>
    </w:p>
    <w:p>
      <w:pPr>
        <w:spacing w:after="0" w:line="121" w:lineRule="exact"/>
        <w:rPr>
          <w:sz w:val="20"/>
          <w:szCs w:val="20"/>
          <w:color w:val="auto"/>
        </w:rPr>
      </w:pPr>
    </w:p>
    <w:p>
      <w:pPr>
        <w:ind w:left="60" w:right="99"/>
        <w:spacing w:after="0" w:line="289" w:lineRule="auto"/>
        <w:rPr>
          <w:sz w:val="20"/>
          <w:szCs w:val="20"/>
          <w:color w:val="auto"/>
        </w:rPr>
      </w:pPr>
      <w:r>
        <w:rPr>
          <w:rFonts w:ascii="Times New Roman" w:cs="Times New Roman" w:eastAsia="Times New Roman" w:hAnsi="Times New Roman"/>
          <w:sz w:val="17"/>
          <w:szCs w:val="17"/>
          <w:color w:val="auto"/>
        </w:rPr>
        <w:t>The Company has outstanding $600.0 million in aggregate principal amount of $600 million 4.50% senior notes. The carrying value of these notes at March 31, 2022 was $590.9 million, net of unamortized deferred financing costs (“DFCs”). The fair value of these notes, based upon quoted market prices (Level 1), was $565.7 million at March 31, 2022.</w:t>
      </w:r>
    </w:p>
    <w:p>
      <w:pPr>
        <w:spacing w:after="0" w:line="131" w:lineRule="exact"/>
        <w:rPr>
          <w:sz w:val="20"/>
          <w:szCs w:val="20"/>
          <w:color w:val="auto"/>
        </w:rPr>
      </w:pPr>
    </w:p>
    <w:p>
      <w:pPr>
        <w:jc w:val="both"/>
        <w:ind w:left="60" w:right="459"/>
        <w:spacing w:after="0" w:line="266" w:lineRule="auto"/>
        <w:rPr>
          <w:sz w:val="20"/>
          <w:szCs w:val="20"/>
          <w:color w:val="auto"/>
        </w:rPr>
      </w:pPr>
      <w:r>
        <w:rPr>
          <w:rFonts w:ascii="Times New Roman" w:cs="Times New Roman" w:eastAsia="Times New Roman" w:hAnsi="Times New Roman"/>
          <w:sz w:val="18"/>
          <w:szCs w:val="18"/>
          <w:color w:val="auto"/>
        </w:rPr>
        <w:t>The Company has outstanding $700.0 million in aggregate principal amount of $700 million 4.75% senior notes. The carrying value of these notes at March 31, 2022 was $692.9 million, net of unamortized DFCs and premiums. The fair value of these notes, based upon quoted market prices (Level 1), was $677.4 million at March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16. FINANCIAL REPORTING BY BUSINESS SEGMENTS:</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operations are organized into three principal business segments:</w:t>
      </w:r>
    </w:p>
    <w:p>
      <w:pPr>
        <w:spacing w:after="0" w:line="183" w:lineRule="exact"/>
        <w:rPr>
          <w:sz w:val="20"/>
          <w:szCs w:val="20"/>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Hospitality</w:t>
      </w:r>
      <w:r>
        <w:rPr>
          <w:rFonts w:ascii="Times New Roman" w:cs="Times New Roman" w:eastAsia="Times New Roman" w:hAnsi="Times New Roman"/>
          <w:sz w:val="18"/>
          <w:szCs w:val="18"/>
          <w:color w:val="auto"/>
        </w:rPr>
        <w:t>, which includes the Gaylord Hotels properties, the Inn at Opryland and the AC Hotel;</w:t>
      </w:r>
    </w:p>
    <w:p>
      <w:pPr>
        <w:spacing w:after="0" w:line="29" w:lineRule="exact"/>
        <w:rPr>
          <w:rFonts w:ascii="Times New Roman" w:cs="Times New Roman" w:eastAsia="Times New Roman" w:hAnsi="Times New Roman"/>
          <w:sz w:val="18"/>
          <w:szCs w:val="18"/>
          <w:color w:val="auto"/>
        </w:rPr>
      </w:pPr>
    </w:p>
    <w:p>
      <w:pPr>
        <w:ind w:left="720" w:right="13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Entertainment</w:t>
      </w:r>
      <w:r>
        <w:rPr>
          <w:rFonts w:ascii="Times New Roman" w:cs="Times New Roman" w:eastAsia="Times New Roman" w:hAnsi="Times New Roman"/>
          <w:sz w:val="18"/>
          <w:szCs w:val="18"/>
          <w:color w:val="auto"/>
        </w:rPr>
        <w:t>, which includes the Grand Ole Opry, the Ryman Auditorium, WSM-AM, Ole Red,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investment in Circle, and the Company’s Nashville-based attractions; and</w:t>
      </w: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Corporate and Other</w:t>
      </w:r>
      <w:r>
        <w:rPr>
          <w:rFonts w:ascii="Times New Roman" w:cs="Times New Roman" w:eastAsia="Times New Roman" w:hAnsi="Times New Roman"/>
          <w:sz w:val="18"/>
          <w:szCs w:val="18"/>
          <w:color w:val="auto"/>
        </w:rPr>
        <w:t>, which includes the Company’s corporate expenses.</w:t>
      </w:r>
    </w:p>
    <w:p>
      <w:pPr>
        <w:spacing w:after="0" w:line="166"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The following information is derived directly from the segments’ internal financial reports used for corporate management purposes (amounts in thousands):</w:t>
      </w:r>
    </w:p>
    <w:p>
      <w:pPr>
        <w:spacing w:after="0" w:line="12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40" w:type="dxa"/>
            <w:vAlign w:val="bottom"/>
            <w:gridSpan w:val="6"/>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40" w:type="dxa"/>
            <w:vAlign w:val="bottom"/>
            <w:gridSpan w:val="6"/>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Borders>
              <w:bottom w:val="single" w:sz="8" w:color="CCEEFF"/>
            </w:tcBorders>
          </w:tcPr>
          <w:p>
            <w:pPr>
              <w:spacing w:after="0"/>
              <w:rPr>
                <w:sz w:val="12"/>
                <w:szCs w:val="12"/>
                <w:color w:val="auto"/>
              </w:rPr>
            </w:pPr>
          </w:p>
        </w:tc>
        <w:tc>
          <w:tcPr>
            <w:tcW w:w="18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Hospitality</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261,111</w:t>
            </w:r>
          </w:p>
        </w:tc>
        <w:tc>
          <w:tcPr>
            <w:tcW w:w="180" w:type="dxa"/>
            <w:vAlign w:val="bottom"/>
          </w:tcPr>
          <w:p>
            <w:pPr>
              <w:spacing w:after="0"/>
              <w:rPr>
                <w:sz w:val="18"/>
                <w:szCs w:val="18"/>
                <w:color w:val="auto"/>
              </w:rPr>
            </w:pPr>
          </w:p>
        </w:tc>
        <w:tc>
          <w:tcPr>
            <w:tcW w:w="160" w:type="dxa"/>
            <w:vAlign w:val="bottom"/>
            <w:gridSpan w:val="2"/>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69,802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Entertainment</w:t>
            </w:r>
          </w:p>
        </w:tc>
        <w:tc>
          <w:tcPr>
            <w:tcW w:w="1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and Other</w:t>
            </w:r>
          </w:p>
        </w:tc>
        <w:tc>
          <w:tcPr>
            <w:tcW w:w="1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8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299,135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84,175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8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Hospitality</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52,271</w:t>
            </w:r>
          </w:p>
        </w:tc>
        <w:tc>
          <w:tcPr>
            <w:tcW w:w="180" w:type="dxa"/>
            <w:vAlign w:val="bottom"/>
          </w:tcPr>
          <w:p>
            <w:pPr>
              <w:spacing w:after="0"/>
              <w:rPr>
                <w:sz w:val="18"/>
                <w:szCs w:val="18"/>
                <w:color w:val="auto"/>
              </w:rPr>
            </w:pPr>
          </w:p>
        </w:tc>
        <w:tc>
          <w:tcPr>
            <w:tcW w:w="160" w:type="dxa"/>
            <w:vAlign w:val="bottom"/>
            <w:gridSpan w:val="2"/>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49,148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Entertainment</w:t>
            </w:r>
          </w:p>
        </w:tc>
        <w:tc>
          <w:tcPr>
            <w:tcW w:w="1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Corporate and Other</w:t>
            </w:r>
          </w:p>
        </w:tc>
        <w:tc>
          <w:tcPr>
            <w:tcW w:w="18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8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56,028</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53,315</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Hospitality</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15,668</w:t>
            </w:r>
          </w:p>
        </w:tc>
        <w:tc>
          <w:tcPr>
            <w:tcW w:w="180" w:type="dxa"/>
            <w:vAlign w:val="bottom"/>
          </w:tcPr>
          <w:p>
            <w:pPr>
              <w:spacing w:after="0"/>
              <w:rPr>
                <w:sz w:val="18"/>
                <w:szCs w:val="18"/>
                <w:color w:val="auto"/>
              </w:rPr>
            </w:pPr>
          </w:p>
        </w:tc>
        <w:tc>
          <w:tcPr>
            <w:tcW w:w="160" w:type="dxa"/>
            <w:vAlign w:val="bottom"/>
            <w:gridSpan w:val="2"/>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(63,462)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Entertainment</w:t>
            </w:r>
          </w:p>
        </w:tc>
        <w:tc>
          <w:tcPr>
            <w:tcW w:w="1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and Other</w:t>
            </w:r>
          </w:p>
        </w:tc>
        <w:tc>
          <w:tcPr>
            <w:tcW w:w="1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Preopening costs</w:t>
            </w:r>
          </w:p>
        </w:tc>
        <w:tc>
          <w:tcPr>
            <w:tcW w:w="1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Gain (loss) on sale of assets</w:t>
            </w:r>
          </w:p>
        </w:tc>
        <w:tc>
          <w:tcPr>
            <w:tcW w:w="18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income (loss)</w:t>
            </w:r>
          </w:p>
        </w:tc>
        <w:tc>
          <w:tcPr>
            <w:tcW w:w="1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(79,557)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1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(31,937)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income</w:t>
            </w:r>
          </w:p>
        </w:tc>
        <w:tc>
          <w:tcPr>
            <w:tcW w:w="1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Loss from unconsolidated joint ventures</w:t>
            </w:r>
          </w:p>
        </w:tc>
        <w:tc>
          <w:tcPr>
            <w:tcW w:w="1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gains and (losses), net</w:t>
            </w:r>
          </w:p>
        </w:tc>
        <w:tc>
          <w:tcPr>
            <w:tcW w:w="18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8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(24,862)</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(113,167)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17. SUBSEQUENT EVENTS:</w:t>
      </w:r>
    </w:p>
    <w:p>
      <w:pPr>
        <w:spacing w:after="0" w:line="229"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On April 4, 2022, the Company and certain of its subsidiaries, including OEG Attractions Holdings, LLC (“OEG”), entered into an investment agreement (the “Investment Agreement”) with Atairos Group, Inc. (“Atairos”) and A-OEG Holdings, LLC, an affiliate of Atairos (the “Investor”), pursuant to which OEG will issue and sell to Investor, and Investor will acquire, 30% of the equity interests of OEG for approximately $293.0 million, subject to certain adjustments as set forth in the Investment Agreement (the “OEG Transaction”). The purchase price in connection with the OEG Transaction may be increased by $30.0 million if OEG achieves certain financial objectives in 2023 or 2024.</w:t>
      </w:r>
    </w:p>
    <w:p>
      <w:pPr>
        <w:spacing w:after="0" w:line="187"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Upon closing of the OEG Transaction, the Company will retain a controlling 70% equity interest in OEG and will continue to consolidate OEG and the other subsidiaries comprising the Company’s Entertainment segment in the Company’s consolidated financial statements. The transaction is expected to close in the second quarter of 2022, subject</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to customary closing conditions, including the closing of the OEG Financing (as defined below). After the payment of transaction expenses, the Company anticipates using substantially all of the net proceeds from the OEG Transaction, together with the net proceeds the Company receives from the OEG Financing (as defined below), to repay the outstanding balance of the Company’s existing $300 million term loan A and to pay down substantially all borrowings outstanding under the Company’s revolving credit facility.</w:t>
      </w:r>
    </w:p>
    <w:p>
      <w:pPr>
        <w:spacing w:after="0" w:line="183"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In connection with the execution of the Investment Agreement, OEG Borrower, LLC (“OEG Borrower”), an entity that is to be a wholly owned subsidiary of OEG, executed a commitment letter (the “Commitment Letter”) with JPMorgan Chase Bank, N.A. and Morgan Stanley Senior Funding, Inc. (collectively, the “Commitment Parties”). Under the terms of the Commitment Letter, the Commitment Parties have agreed to structure and arrange (i) the OEG term loan in an aggregate principal amount of $300.0 million, plus, at OEG Borrower’s election, an additional amount sufficient to fund certain original issue discount or upfront fees and (ii) a senior secured revolving credit facility in an initial committed amount of $50.0 million (or, following a Successful Revolving Syndication (as defined in the Commitment Letter), such greater amount up to $65.0 million as contemplated by the Commitment Letter in connection with the appointment of additional lead arrangers) (collectively, (i) and (ii) being the “OEG Financing”).</w:t>
      </w:r>
    </w:p>
    <w:p>
      <w:pPr>
        <w:spacing w:after="0" w:line="188"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On April 4, 2022, the Company entered into Amendment No. 5 (the “Fifth Amendment”) to the Sixth Amended and Restated Credit Agreement dated as of October 31, 2019 (as amended prior to the Fifth Amendment, the “Existing Credit Agreement” and the Existing Credit Agreement, as amended by the Fifth Amendment, the “Credit Agreement”), among the Company, as a guarantor, its subsidiary RHP Hotel Properties, LP, as borrower, certain other subsidiaries of the Company party thereto, as guarantors, certain subsidiaries of the Company party thereto, as pledgors, the lenders party thereto and Wells Fargo Bank, National Association, as administrative agent. The Fifth Amendment provides for certain amendments to the Existing Credit Agreement, each of which is to be effective upon the closing of the OEG Transaction. These amendments include, among others, the exclusion of OEG and its subsidiaries from negative covenants and certain restrictions related to certain equity issuances, investments, acquisitions, dispositions and indebtedness; changes to certain financial covenant requirements through December 2022; and a requirement that, following January 1, 2023, the Company satisfy the financial covenants currently provided for in the Credit Agreement.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32"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Ryman Hospitality Properties, Inc. (“Ryman”) is a Delaware corporation that conducts its operations so as to maintain its qualification as a real estate investment trust (“REIT”) for federal income tax purposes. The Company conducts its business through an umbrella partnership REIT, in which all of its assets are held by, and operations are conducted through, RHP Hotel Properties, LP, a subsidiary operating partnership (the “Operating Partnership”). RHP Finance Corporation, a Delaware corporation (“Finco”), was formed as a wholly-owned subsidiary of the Operating Partnership for the sole purpose of being a co-issuer of debt securities with the Operating Partnership. Neither Ryman nor Finco has any material assets, other than Ryman’s investment in the Operating Partnership and the Operating Partnership’s owned subsidiaries. Neither the Operating Partnership nor Finco has any business, operations, financial results or other material information, other than the business, operations, financial results and other material information described in this Quarterly Report on Form 10-Q and Ryman’s other reports, documents or other information filed with the Securities and Exchange Commission (the “SEC”) pursuant to the Securities Exchange Act of 1934, as amended (the “Exchange Act”). In this report, we use the terms the “Company,” “we” or “our” to refer to Ryman Hospitality Properties, Inc. and its subsidiaries unless the context indicates otherwise.</w:t>
      </w:r>
    </w:p>
    <w:p>
      <w:pPr>
        <w:spacing w:after="0" w:line="147"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our condensed consolidated financial statements and related notes included elsewhere in this report and our audited consolidated financial statements and related notes for the year ended December 31, 2021, included in our Annual Report on Form 10-K that was filed with the SEC on February 25, 2022.</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Cautionary Note Regarding Forward-Looking Statements</w:t>
      </w:r>
    </w:p>
    <w:p>
      <w:pPr>
        <w:spacing w:after="0" w:line="202" w:lineRule="exact"/>
        <w:rPr>
          <w:sz w:val="20"/>
          <w:szCs w:val="20"/>
          <w:color w:val="auto"/>
        </w:rPr>
      </w:pPr>
    </w:p>
    <w:p>
      <w:pPr>
        <w:ind w:left="60" w:right="59"/>
        <w:spacing w:after="0" w:line="251"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intended to qualify for the safe harbor from liability established by the Private Securities Litigation Reform Act of 1995. These forward-looking statements concern our goals, beliefs, expectations, strategies, objectives, plans, future operating results and underlying assumptions, and other statements that are not necessarily based on historical facts. Without limitation, you can identify these statements by the fact that they do not relate strictly to historical or current facts, and these statements may contain words such as “may,” “will,” “could,” “should,” “might,” “projects,” “expects,” “believes,” “anticipates,” “intends,” “plans,” “continue,” “estimate,” or “pursue,” or the negative or other variations thereof or comparable terms. In particular, they include statements relating to, among other things, future actions, strategies, future performance, the outcome of contingencies such as legal proceedings and future financial results. These also include statements regarding (i) the anticipated impact of the novel coronavirus disease (COVID-19) pandemic on future travel, transient and group demand, our results of operations and liquidity, and efforts to rebook customers for future dates; (ii) the effect of our election to be taxed as a REIT and maintain REIT status for federal income tax purposes; (iii) the holding of our non-qualifying REIT assets in one or more taxable REIT subsidiaries (“TRSs”); (iv) the suspension of our dividend and our dividend policy, including the frequency and amount of any dividend we may pay; (v) potential growth opportunities, including future expansion of the geographic diversity of our existing asset portfolio through acquisitions and investment in joint ventures; (vi) Marriott International, Inc.’s (“Marriott”) ability to effectively manage our hotels and other properties; (vii) our anticipated capital expenditures and investments; (viii) the potential operating and financial restrictions imposed on our activities under existing and future financing agreements including our credit facility and other contractual arrangements with third parties, including management agreements with Marriott; (ix) our use of cash during the remainder of 2022; (x) our ability to borrow available funds under our credit facility; (xi) our expectations about successfully amending the agreements governing our indebtedness should the need arise; (xii) our pending acquisition of the Block 21 complex in Austin, Texas (“Block 21”); (xiii) the pending OEG Transaction, which is expected to close in the second quarter of 2022; (xiv) the effects of inflation and increased costs on our business; and (xv) any other business or operational matters. We have based these forward-looking statements on our current expectations and projections about future events.</w:t>
      </w:r>
    </w:p>
    <w:p>
      <w:pPr>
        <w:spacing w:after="0" w:line="164"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We caution the reader that forward-looking statements involve risks and uncertainties that cannot be predicted or quantified, and, consequently, actual results may differ materially from those expressed or implied by such forward-looking statements. Important factors that could cause actual results to differ materially from those in the forward-looking statements include, among other things, risks and uncertainties associated with the COVID-19 pandemic, including the effects of the COVID-19 pandemic on us and the hospitality and entertainment industries generally, the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effects of the COVID-19 pandemic on the demand for travel, transient and group business (including government-imposed restrictions or guidelines), levels of consumer confidence in the safety of travel and group gatherings as a result of COVID-19, the length and severity of the COVID-19 pandemic in the United States and the pace of recovery following the COVID-19 pandemic, the duration and severity of the COVID-19 pandemic in the markets where our assets are located, the economic conditions affecting the hospitality business generally, the geographic concentration of our hotel properties, business levels at our hotels, the effects of inflation on our business, including the effects on costs of labor and supplies, our ability to remain qualified as a REIT, our ability to execute our strategic goals as a REIT, our ability to generate cash flows to support dividends, future board determinations regarding the timing and amount of dividends and changes to the dividend policy, our ability to borrow funds pursuant to our credit agreements and to refinance indebtedness and/or to successfully amend the agreements governing our indebtedness in the future, changes in interest rates, including future changes from the London Inter-Bank Offered Rate (“LIBOR”) to a different base rate, and those factors described elsewhere in this Quarterly Report on Form 10-Q, including in Item 1A, “Risk Factors,” and our Annual Report on Form 10-K for the year ended December 31, 2021 or described from time to time in our other reports filed with the SEC.</w:t>
      </w:r>
    </w:p>
    <w:p>
      <w:pPr>
        <w:spacing w:after="0" w:line="160"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Any forward-looking statement made in this Quarterly Report on Form 10-Q speaks only as of the date on which the statement is made. New risks and uncertainties arise from time to time, and it is impossible for us to predict these events or how they may affect us. We have no duty to, and do not intend to, update or revise the forward-looking statements we make in this Quarterly Report on Form 10-Q, except as may be required by law.</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89"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We operate as a REIT for federal income tax purposes, specializing in group-oriented, destination hotel assets in urban and resort markets. Our core holdings include a network of five upscale, meetings-focused resorts totaling 9,917 rooms that are managed by Marriott under the Gaylord Hotels brand. These five resorts, which we refer to as our Gaylord Hotels properties, consist of the Gaylord Opryland Resort &amp; Convention Center in Nashville, Tennessee (“Gaylord Opryland”), the Gaylord Palms Resort &amp; Convention Center near Orlando, Florida (“Gaylord Palms”), the Gaylord Texan Resort &amp; Convention Center near Dallas, Texas (“Gaylord Texan”), the Gaylord National Resort &amp; Convention Center near Washington D.C. (“Gaylord National”), and the Gaylord Rockies Resort &amp; Convention Center (“Gaylord Rockies”), which was previously owned by a joint venture (the “Gaylord Rockies joint venture”), in which we owned a 65% interest. On May 7, 2021, we purchased the remaining 35% interest in the Gaylord Rockies joint venture. Our other owned hotel assets managed by Marriott include the Inn at Opryland, an overflow hotel adjacent to Gaylord Opryland, and the AC Hotel at National Harbor, Washington D.C. (“AC Hotel”), an overflow hotel adjacent to Gaylord National.</w:t>
      </w:r>
    </w:p>
    <w:p>
      <w:pPr>
        <w:spacing w:after="0" w:line="165"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We also own and operate media and entertainment assets including the Grand Ole Opry, the legendary weekly showcase of country music’s finest performers for 96 years; the Ryman Auditorium, the storied live music venue and former home of the Grand Ole Opry located in downtown Nashville; WSM-AM, the Opry’s radio home; Ole Red, a brand of Blake Shelton-themed bar, music venue and event spaces; and two Nashville-based assets managed by Marriott – the Wildhorse Saloon and the General Jackson Showboat. We also own a 50% interest in a joint venture that creates and distributes a linear multicast and over-the-top channel dedicated to the country music lifestyle (“Circle”).</w:t>
      </w:r>
    </w:p>
    <w:p>
      <w:pPr>
        <w:spacing w:after="0" w:line="147"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Each of our award-winning Gaylord Hotels properties incorporates not only high quality lodging, but also at least 400,000 square feet of meeting, convention and exhibition space, superb food and beverage options and retail and spa facilities within a single self-contained property. As a result, our Gaylord Hotels properties provide a convenient and entertaining environment for convention guests. Our Gaylord Hotels properties focus on the large group meetings market in the United States.</w:t>
      </w:r>
    </w:p>
    <w:p>
      <w:pPr>
        <w:spacing w:after="0" w:line="143"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See “Cautionary Note Regarding Forward-Looking Statements” in this Item 2 and Item 1A, “Risk Factors,” in Part II of this Quarterly Report on Form 10-Q and Item 1A, “Risk Factors,” in our Annual Report on Form 10-K for the year ended December 31, 2021 for important information regarding forward-looking statements made in this report and risks and uncertainties we face.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Impact of COVID-19 Pandemic</w:t>
      </w:r>
    </w:p>
    <w:p>
      <w:pPr>
        <w:spacing w:after="0" w:line="202"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The COVID-19 pandemic has been and continues to be a complex and evolving situation, causing unprecedented levels of disruption of our business. Although our assets are currently open and operating without capacity restrictions, there remains significant uncertainty surrounding the full extent of the impact of the COVID-19 pandemic on our future results of operations and financial position.</w:t>
      </w:r>
    </w:p>
    <w:p>
      <w:pPr>
        <w:spacing w:after="0" w:line="139"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The majority of our businesses have been open and operating throughout 2021 and 2022. However, Gaylord National remained closed during the first half of 2021 and reopened July 1, 2021. The Grand Ole Opry and Ryman Auditorium reopened for limited-capacity publicly attended performances in May 2021. In addition, subsequent to the December 2020 downtown Nashville bombing, the Wildhorse saloon reopened in April 2021.</w:t>
      </w:r>
    </w:p>
    <w:p>
      <w:pPr>
        <w:spacing w:after="0" w:line="139"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Cancelled room nights in the three months ended March 31, 2022 decreased 44.5% from the three months ended March 31, 2021. Group attrition as a percentage of contracted block decreased 10.0 percentage points as compared to the same period in 2021. Occupancy and average daily rate (“ADR”) increased 30.9 points of occupancy and 21.0%, respectively, in the three months ended March 31, 2022 as compared to the same period in 2021. Outside-the-room spend increased 283.7% compared to the same period in 2021.</w:t>
      </w:r>
    </w:p>
    <w:p>
      <w:pPr>
        <w:spacing w:after="0" w:line="156"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Group business remains lower than in pre-pandemic periods. However, group stays have steadily increased in 2021 and 2022 and group nights on the books at March 31, 2022 for the next five years is approximately ninety-three percent of total group room nights that were on the books at December 31, 2019 for the corresponding following five years. In addition, the ADR of group room nights on the books at March 31, 2022 is over five percent higher than the ADR of the corresponding group room nights at December 31, 2019.</w:t>
      </w:r>
    </w:p>
    <w:p>
      <w:pPr>
        <w:spacing w:after="0" w:line="143" w:lineRule="exact"/>
        <w:rPr>
          <w:sz w:val="20"/>
          <w:szCs w:val="20"/>
          <w:color w:val="auto"/>
        </w:rPr>
      </w:pPr>
    </w:p>
    <w:p>
      <w:pPr>
        <w:ind w:left="60" w:right="259"/>
        <w:spacing w:after="0" w:line="258" w:lineRule="auto"/>
        <w:rPr>
          <w:sz w:val="20"/>
          <w:szCs w:val="20"/>
          <w:color w:val="auto"/>
        </w:rPr>
      </w:pPr>
      <w:r>
        <w:rPr>
          <w:rFonts w:ascii="Times New Roman" w:cs="Times New Roman" w:eastAsia="Times New Roman" w:hAnsi="Times New Roman"/>
          <w:sz w:val="18"/>
          <w:szCs w:val="18"/>
          <w:color w:val="auto"/>
        </w:rPr>
        <w:t>Throughout the COVID-19 pandemic, we have continued to pay all required debt service payments on our indebtedness, lease payments, taxes and other payables. At March 31, 2022, we had $509.9 million available for borrowing under our revolving credit facility and $128.4 million in unrestricted cash on hand. Our regular quarterly dividend is currently suspended. Our board of directors will consider a future dividend as permitted by our credit agreement and subject to our board of directors’ determinations as to the amount of distributions and the timing thereof.</w:t>
      </w:r>
    </w:p>
    <w:p>
      <w:pPr>
        <w:spacing w:after="0" w:line="143"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For additional discussion of the impact of the COVID-19 pandemic on our business, see “Risk Factors” under Part I, Item 1A of our Annual Report on Form 10-K for the year ended December 31, 2021.</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Block 21 Acquisition</w:t>
      </w:r>
    </w:p>
    <w:p>
      <w:pPr>
        <w:spacing w:after="0" w:line="189"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In October 2021, we entered into an agreement to purchase Block 21, a mixed-use entertainment, lodging, office, and retail complex located in Austin, Texas, for $260 million, which includes the assumption of approximately $137 million of existing mortgage debt. Block 21 is the home of the Austin City Limits Live at The Moody Theater (“ACL Live”), a 2,750-seat entertainment venue that serves as the filming location for the Austin City Limits television series. The Block 21 complex also includes the 251-room W Austin Hotel, the 3TEN at ACL Live club and approximately 53,000 square feet of other Class A commercial space. The acquisition is expected to close prior to June 1, 2022, subject to customary closing conditions including, but not limited to, consent to our assumption of the existing mortgage loan by the loan servicer and the consent of the hotel property manager, an affiliate of Marriott, to our assignment and assumption of the existing hotel management agreement. We have the capacity to finance the transaction under our revolving credit facility and may use cash on hand, including from any sales of stock under our ATM program, and will make a determination of funding sources prior to closing. Block 21 assets will be reflected in our Entertainment segment after the transaction closes.</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OEG Transaction</w:t>
      </w:r>
    </w:p>
    <w:p>
      <w:pPr>
        <w:spacing w:after="0" w:line="229"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On April 4, 2022, we and certain of our subsidiaries, including OEG Attractions Holdings, LLC (“OEG”), entered into an investment agreement (the “Investment Agreement”) with Atairos Group, Inc. (“Atairos”) and A-OEG Holdings, LLC, an affiliate of Atairos (the “Investor”) and pursuant to which OEG will issue and sell to Investor, and Investor will acquire, 30% of the equity interests of OEG for approximately $293.0 million, subject to certain adjustments as set forth</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in the Investment Agreement (the “OEG Transaction”). The purchase price in connection with the OEG Transaction may be increased by $30.0 million if OEG achieves certain financial objectives in 2023 or 2024.</w:t>
      </w:r>
    </w:p>
    <w:p>
      <w:pPr>
        <w:spacing w:after="0" w:line="162" w:lineRule="exact"/>
        <w:rPr>
          <w:sz w:val="20"/>
          <w:szCs w:val="20"/>
          <w:color w:val="auto"/>
        </w:rPr>
      </w:pPr>
    </w:p>
    <w:p>
      <w:pPr>
        <w:ind w:left="60" w:right="239"/>
        <w:spacing w:after="0" w:line="255" w:lineRule="auto"/>
        <w:rPr>
          <w:sz w:val="20"/>
          <w:szCs w:val="20"/>
          <w:color w:val="auto"/>
        </w:rPr>
      </w:pPr>
      <w:r>
        <w:rPr>
          <w:rFonts w:ascii="Times New Roman" w:cs="Times New Roman" w:eastAsia="Times New Roman" w:hAnsi="Times New Roman"/>
          <w:sz w:val="18"/>
          <w:szCs w:val="18"/>
          <w:color w:val="auto"/>
        </w:rPr>
        <w:t>Upon closing of the OEG Transaction, we will retain a controlling 70% equity interest in OEG and will continue to consolidate OEG and the other subsidiaries comprising our Entertainment segment in our consolidated financial statements. The transaction is expected to close in the second quarter of 2022, subject to customary closing conditions, including the closing of the OEG Financing (as defined below). After the payment of transaction expenses, we anticipate using substantially all of the net proceeds from the OEG Transaction, together with the net proceeds we will receive from the OEG Financing (as defined below), to repay the outstanding balance of our existing $300 million term loan A and to pay down substantially all borrowings outstanding under our revolving credit facility.</w:t>
      </w:r>
    </w:p>
    <w:p>
      <w:pPr>
        <w:spacing w:after="0" w:line="189"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In connection with the execution of the Investment Agreement, OEG Borrower, LLC (“OEG Borrower”), an entity that is to be a wholly owned subsidiary of OEG, executed a commitment letter (the “Commitment Letter”) with JPMorgan Chase Bank, N.A. and Morgan Stanley Senior Funding, Inc. (collectively, the “Commitment Parties”). Under the terms of the Commitment Letter, the Commitment Parties have agreed to structure and arrange (i) the OEG term loan in an aggregate principal amount of $300.0 million, plus, at OEG Borrower’s election, an additional amount sufficient to fund certain original issue discount or upfront fees and (ii) a senior secured revolving credit facility in an initial committed amount of $50.0 million (or, following a Successful Revolving Syndication (as defined in the Commitment Letter), such greater amount up to $65.0 million as contemplated by the Commitment Letter in connection with the appointment of additional lead arrangers) (collectively, (i) and (ii) being the “OEG Financing”).</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Gaylord Rockies Joint Venture</w:t>
      </w:r>
    </w:p>
    <w:p>
      <w:pPr>
        <w:spacing w:after="0" w:line="202"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In May 2021, we purchased the remaining 35% ownership interest in the Gaylord Rockies joint venture. Prior to May 2021, we had a 65% ownership interest in the Gaylord Rockies joint venture, and our management concluded that the Company was the primary beneficiary of this previous variable interest entity (“VIE”). The financial position and results of operations of this previous VIE have been consolidated in the accompanying condensed consolidated financial statements included herein. We also purchased 130 acres of undeveloped land, adjacent to Gaylord Rockies in May 2021.</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Gaylord Palms Expansion</w:t>
      </w:r>
    </w:p>
    <w:p>
      <w:pPr>
        <w:spacing w:after="0" w:line="189" w:lineRule="exact"/>
        <w:rPr>
          <w:sz w:val="20"/>
          <w:szCs w:val="20"/>
          <w:color w:val="auto"/>
        </w:rPr>
      </w:pPr>
    </w:p>
    <w:p>
      <w:pPr>
        <w:ind w:left="60" w:right="99"/>
        <w:spacing w:after="0" w:line="312" w:lineRule="auto"/>
        <w:rPr>
          <w:sz w:val="20"/>
          <w:szCs w:val="20"/>
          <w:color w:val="auto"/>
        </w:rPr>
      </w:pPr>
      <w:r>
        <w:rPr>
          <w:rFonts w:ascii="Times New Roman" w:cs="Times New Roman" w:eastAsia="Times New Roman" w:hAnsi="Times New Roman"/>
          <w:sz w:val="17"/>
          <w:szCs w:val="17"/>
          <w:color w:val="auto"/>
        </w:rPr>
        <w:t>In April 2021, we completed a $158 million expansion of Gaylord Palms, which includes an additional 302 guest rooms and 96,000 square feet of meeting space, an expanded resort pool and events lawn, and a new multi-level parking structure.</w:t>
      </w:r>
    </w:p>
    <w:p>
      <w:pPr>
        <w:spacing w:after="0" w:line="1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Circle</w:t>
      </w:r>
    </w:p>
    <w:p>
      <w:pPr>
        <w:spacing w:after="0" w:line="189"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In 2019, we acquired a 50% equity interest in Circle, and we have made $23.0 million in capital contributions through March 31, 2022. In addition, we intend to contribute up to an additional $10.0 million in the remainder of 2022 for working capital needs. Circle launched its broadcast network on January 1, 2020, with sixteen original shows and two major distribution partnerships. As of April 2022, Circle is available to more than 70% of U.S. television households via over-the-air and cable television and is available through multiple online streaming services covering over 193 million monthly average users.</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Long-Term Strategic Plan</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goal is to be the nation’s premier hospitality REIT for group-oriented meeting hotel assets in urban and resort markets.</w:t>
      </w:r>
    </w:p>
    <w:p>
      <w:pPr>
        <w:spacing w:after="0" w:line="183" w:lineRule="exact"/>
        <w:rPr>
          <w:sz w:val="20"/>
          <w:szCs w:val="20"/>
          <w:color w:val="auto"/>
        </w:rPr>
      </w:pPr>
    </w:p>
    <w:p>
      <w:pPr>
        <w:ind w:left="60" w:right="299"/>
        <w:spacing w:after="0" w:line="258" w:lineRule="auto"/>
        <w:rPr>
          <w:sz w:val="20"/>
          <w:szCs w:val="20"/>
          <w:color w:val="auto"/>
        </w:rPr>
      </w:pPr>
      <w:r>
        <w:rPr>
          <w:rFonts w:ascii="Times New Roman" w:cs="Times New Roman" w:eastAsia="Times New Roman" w:hAnsi="Times New Roman"/>
          <w:sz w:val="18"/>
          <w:szCs w:val="18"/>
          <w:i w:val="1"/>
          <w:iCs w:val="1"/>
          <w:color w:val="auto"/>
        </w:rPr>
        <w:t>Existing Hotel Property Design</w:t>
      </w:r>
      <w:r>
        <w:rPr>
          <w:rFonts w:ascii="Times New Roman" w:cs="Times New Roman" w:eastAsia="Times New Roman" w:hAnsi="Times New Roman"/>
          <w:sz w:val="18"/>
          <w:szCs w:val="18"/>
          <w:color w:val="auto"/>
        </w:rPr>
        <w:t>. Our Gaylord Hotels properties focus on the large group meetings market in the United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States and incorporate meeting and exhibition space, signature guest rooms, food and beverage offerings, fitness and spa facilities and other attractions within a large hotel property so attendees’ needs are met in one location. This strategy creates a better experience for both meeting planners and guests and has led to our current Gaylord Hotels properties claiming a place among the leading convention hotels in the country.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279"/>
        <w:spacing w:after="0" w:line="255" w:lineRule="auto"/>
        <w:rPr>
          <w:sz w:val="20"/>
          <w:szCs w:val="20"/>
          <w:color w:val="auto"/>
        </w:rPr>
      </w:pPr>
      <w:r>
        <w:rPr>
          <w:rFonts w:ascii="Times New Roman" w:cs="Times New Roman" w:eastAsia="Times New Roman" w:hAnsi="Times New Roman"/>
          <w:sz w:val="18"/>
          <w:szCs w:val="18"/>
          <w:i w:val="1"/>
          <w:iCs w:val="1"/>
          <w:color w:val="auto"/>
        </w:rPr>
        <w:t>Expansion of Hotel Asset Portfolio</w:t>
      </w:r>
      <w:r>
        <w:rPr>
          <w:rFonts w:ascii="Times New Roman" w:cs="Times New Roman" w:eastAsia="Times New Roman" w:hAnsi="Times New Roman"/>
          <w:sz w:val="18"/>
          <w:szCs w:val="18"/>
          <w:color w:val="auto"/>
        </w:rPr>
        <w:t>. Part of our long-term growth strategy includes acquisitions or developments of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hotels, particularly in the group meetings sector of the hospitality industry, either alone or through joint ventures or alliances with one or more third parties. We will consider attractive investment opportunities which meet our acquisition parameters, specifically, group-oriented large hotels and overflow hotels with existing or potential leisure appeal. We are generally interested in highly accessible upper-upscale or luxury assets with over 400 hotel rooms in urban and resort group destination markets. We also consider assets that possess significant meeting space or present a repositioning opportunity and/or would significantly benefit from capital investment in additional rooms or meeting space. We plan to expand the geographic diversity of our existing asset portfolio through acquisitions.</w:t>
      </w:r>
    </w:p>
    <w:p>
      <w:pPr>
        <w:spacing w:after="0" w:line="158"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i w:val="1"/>
          <w:iCs w:val="1"/>
          <w:color w:val="auto"/>
        </w:rPr>
        <w:t>Continued Investment in Our Existing Properties</w:t>
      </w:r>
      <w:r>
        <w:rPr>
          <w:rFonts w:ascii="Times New Roman" w:cs="Times New Roman" w:eastAsia="Times New Roman" w:hAnsi="Times New Roman"/>
          <w:sz w:val="18"/>
          <w:szCs w:val="18"/>
          <w:color w:val="auto"/>
        </w:rPr>
        <w:t>. We continuously evaluate and invest in our current portfolio,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 enhancements or expansions as part of our long-term strategic plan. In 2021, we completed our $158 million expansion of Gaylord Palms and we also completed our renovation of all of the guestrooms at Gaylord National. In 2022, we began a re-concepting of the food and beverage options at Gaylord National and have begun enhancements at Gaylord Rockies to better position the property for our group customers.</w:t>
      </w:r>
    </w:p>
    <w:p>
      <w:pPr>
        <w:spacing w:after="0" w:line="143"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i w:val="1"/>
          <w:iCs w:val="1"/>
          <w:color w:val="auto"/>
        </w:rPr>
        <w:t>Leverage Brand Name Awareness</w:t>
      </w:r>
      <w:r>
        <w:rPr>
          <w:rFonts w:ascii="Times New Roman" w:cs="Times New Roman" w:eastAsia="Times New Roman" w:hAnsi="Times New Roman"/>
          <w:sz w:val="18"/>
          <w:szCs w:val="18"/>
          <w:color w:val="auto"/>
        </w:rPr>
        <w:t>. We believe the Grand Ole Opry is one of the most recognized entertainment brands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United States. We promote the Grand Ole Opry name through various media, including our WSM-AM radio station, the Internet and television, and through performances by the Grand Ole Opry’s members, many of whom are renowned country music artists. As such, we have alliances in place with multiple distribution partners in an effort to foster brand extension. We believe that licensing our brand for products may provide an opportunity to increase revenues and cash flow with relatively little capital investment. We are continuously exploring additional products, such as television specials and retail products, through which we can capitalize on our brand affinity and awareness. To this end, we have invested in six Ole Red locations, as well as Circle.</w:t>
      </w:r>
    </w:p>
    <w:p>
      <w:pPr>
        <w:spacing w:after="0" w:line="144" w:lineRule="exact"/>
        <w:rPr>
          <w:sz w:val="20"/>
          <w:szCs w:val="20"/>
          <w:color w:val="auto"/>
        </w:rPr>
      </w:pPr>
    </w:p>
    <w:p>
      <w:pPr>
        <w:ind w:left="60" w:right="339"/>
        <w:spacing w:after="0" w:line="258" w:lineRule="auto"/>
        <w:rPr>
          <w:sz w:val="20"/>
          <w:szCs w:val="20"/>
          <w:color w:val="auto"/>
        </w:rPr>
      </w:pPr>
      <w:r>
        <w:rPr>
          <w:rFonts w:ascii="Times New Roman" w:cs="Times New Roman" w:eastAsia="Times New Roman" w:hAnsi="Times New Roman"/>
          <w:sz w:val="18"/>
          <w:szCs w:val="18"/>
          <w:i w:val="1"/>
          <w:iCs w:val="1"/>
          <w:color w:val="auto"/>
        </w:rPr>
        <w:t>Short-Term Capital Allocation</w:t>
      </w:r>
      <w:r>
        <w:rPr>
          <w:rFonts w:ascii="Times New Roman" w:cs="Times New Roman" w:eastAsia="Times New Roman" w:hAnsi="Times New Roman"/>
          <w:sz w:val="18"/>
          <w:szCs w:val="18"/>
          <w:color w:val="auto"/>
        </w:rPr>
        <w:t>. Prior to the COVID-19 pandemic, our short-term capital allocation strategy focused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returning capital to stockholders through the payment of dividends, in addition to investing in our assets and operations. However, in March 2020, we suspended our regular quarterly dividend payments. Our board of directors will consider a future dividend as permitted by our credit agreement. Any future dividend is subject to our board of directors’ determinations as to the amount and timing thereof.</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Operations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ongoing operations are organized into three principal business segments:</w:t>
      </w:r>
    </w:p>
    <w:p>
      <w:pPr>
        <w:spacing w:after="0" w:line="185" w:lineRule="exact"/>
        <w:rPr>
          <w:sz w:val="20"/>
          <w:szCs w:val="20"/>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Hospitality, consisting of our Gaylord Hotels properties, the Inn at Opryland and the AC Hotel.</w:t>
      </w:r>
    </w:p>
    <w:p>
      <w:pPr>
        <w:spacing w:after="0" w:line="198" w:lineRule="exact"/>
        <w:rPr>
          <w:rFonts w:ascii="Times New Roman" w:cs="Times New Roman" w:eastAsia="Times New Roman" w:hAnsi="Times New Roman"/>
          <w:sz w:val="18"/>
          <w:szCs w:val="18"/>
          <w:color w:val="auto"/>
        </w:rPr>
      </w:pPr>
    </w:p>
    <w:p>
      <w:pPr>
        <w:ind w:left="720" w:right="65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Entertainment, consisting of the Grand Ole Opry, the Ryman Auditorium, WSM-AM, Ole Red, our equity investment in Circle, and our other Nashville-based attractions.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consisting of our corporate expenses.</w:t>
      </w:r>
    </w:p>
    <w:p>
      <w:pPr>
        <w:spacing w:after="0" w:line="185"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2022 and 2021, our total revenues were divided among these business segments as follows:</w:t>
      </w:r>
    </w:p>
    <w:p>
      <w:pPr>
        <w:spacing w:after="0" w:line="129"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gridSpan w:val="4"/>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54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680" w:type="dxa"/>
            <w:vAlign w:val="bottom"/>
            <w:gridSpan w:val="4"/>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5440" w:type="dxa"/>
            <w:vAlign w:val="bottom"/>
            <w:gridSpan w:val="3"/>
            <w:vMerge w:val="continue"/>
          </w:tcPr>
          <w:p>
            <w:pPr>
              <w:spacing w:after="0"/>
              <w:rPr>
                <w:sz w:val="12"/>
                <w:szCs w:val="12"/>
                <w:color w:val="auto"/>
              </w:rPr>
            </w:pPr>
          </w:p>
        </w:tc>
        <w:tc>
          <w:tcPr>
            <w:tcW w:w="560" w:type="dxa"/>
            <w:vAlign w:val="bottom"/>
            <w:tcBorders>
              <w:top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Hospitality</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300" w:type="dxa"/>
            <w:vAlign w:val="bottom"/>
            <w:tcBorders>
              <w:top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Entertainment</w:t>
            </w:r>
          </w:p>
        </w:tc>
        <w:tc>
          <w:tcPr>
            <w:tcW w:w="8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13 %</w:t>
            </w:r>
          </w:p>
        </w:tc>
        <w:tc>
          <w:tcPr>
            <w:tcW w:w="8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8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0 %</w:t>
            </w:r>
          </w:p>
        </w:tc>
        <w:tc>
          <w:tcPr>
            <w:tcW w:w="8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Key Performance Indicators</w:t>
      </w:r>
    </w:p>
    <w:p>
      <w:pPr>
        <w:spacing w:after="0" w:line="189"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The operating results of our Hospitality segment are highly dependent on the volume of customers at our hotels and the quality of the customer mix at our hotels, which are managed by Marriott. These factors impact the price that Marriott can charge for our hotel rooms and other amenities, such as food and beverage and meeting space. The following key</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9"/>
        <w:spacing w:after="0" w:line="282" w:lineRule="auto"/>
        <w:rPr>
          <w:sz w:val="20"/>
          <w:szCs w:val="20"/>
          <w:color w:val="auto"/>
        </w:rPr>
      </w:pPr>
      <w:r>
        <w:rPr>
          <w:rFonts w:ascii="Times New Roman" w:cs="Times New Roman" w:eastAsia="Times New Roman" w:hAnsi="Times New Roman"/>
          <w:sz w:val="18"/>
          <w:szCs w:val="18"/>
          <w:color w:val="auto"/>
        </w:rPr>
        <w:t>performance indicators are commonly used in the hospitality industry and are used by management to evaluate hotel performance and allocate capital expenditures:</w:t>
      </w:r>
    </w:p>
    <w:p>
      <w:pPr>
        <w:spacing w:after="0" w:line="135" w:lineRule="exact"/>
        <w:rPr>
          <w:sz w:val="20"/>
          <w:szCs w:val="20"/>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hotel occupancy – a volume indicator calculated by dividing total rooms sold by total rooms available;</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daily rate (“ADR”) – a price indicator calculated by dividing room revenue by the number of rooms sold;</w:t>
      </w:r>
    </w:p>
    <w:p>
      <w:pPr>
        <w:spacing w:after="0" w:line="184" w:lineRule="exact"/>
        <w:rPr>
          <w:rFonts w:ascii="Times New Roman" w:cs="Times New Roman" w:eastAsia="Times New Roman" w:hAnsi="Times New Roman"/>
          <w:sz w:val="18"/>
          <w:szCs w:val="18"/>
          <w:color w:val="auto"/>
        </w:rPr>
      </w:pPr>
    </w:p>
    <w:p>
      <w:pPr>
        <w:ind w:left="720" w:right="57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per available room (“RevPAR”) – a summary measure of hotel results calculated by dividing room revenue by room nights available to guests for the period;</w:t>
      </w:r>
    </w:p>
    <w:p>
      <w:pPr>
        <w:spacing w:after="0" w:line="134" w:lineRule="exact"/>
        <w:rPr>
          <w:rFonts w:ascii="Times New Roman" w:cs="Times New Roman" w:eastAsia="Times New Roman" w:hAnsi="Times New Roman"/>
          <w:sz w:val="18"/>
          <w:szCs w:val="18"/>
          <w:color w:val="auto"/>
        </w:rPr>
      </w:pPr>
    </w:p>
    <w:p>
      <w:pPr>
        <w:ind w:left="720" w:right="9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per available room (“Total RevPAR”) – a summary measure of hotel results calculated by dividing the sum of room, food and beverage and other ancillary service revenue by room nights available to guests for the period; and</w:t>
      </w:r>
    </w:p>
    <w:p>
      <w:pPr>
        <w:spacing w:after="0" w:line="135"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definite group room nights booked – a volume indicator which represents the total number of definite group bookings for future room nights at our hotels confirmed during the applicable period, net of cancellations.</w:t>
      </w:r>
    </w:p>
    <w:p>
      <w:pPr>
        <w:spacing w:after="0" w:line="121" w:lineRule="exact"/>
        <w:rPr>
          <w:sz w:val="20"/>
          <w:szCs w:val="20"/>
          <w:color w:val="auto"/>
        </w:rPr>
      </w:pPr>
    </w:p>
    <w:p>
      <w:pPr>
        <w:jc w:val="both"/>
        <w:ind w:left="60" w:right="159"/>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2022 and 2021, the method of calculation of these indicators has not been changed as a result of the COVID-19 pandemic and the Gaylord National closure and is consistent with historical periods. As such, performance metrics include closed hotel room nights available.</w:t>
      </w:r>
    </w:p>
    <w:p>
      <w:pPr>
        <w:spacing w:after="0" w:line="149" w:lineRule="exact"/>
        <w:rPr>
          <w:sz w:val="20"/>
          <w:szCs w:val="20"/>
          <w:color w:val="auto"/>
        </w:rPr>
      </w:pPr>
    </w:p>
    <w:p>
      <w:pPr>
        <w:ind w:left="60" w:right="199"/>
        <w:spacing w:after="0" w:line="312" w:lineRule="auto"/>
        <w:rPr>
          <w:sz w:val="20"/>
          <w:szCs w:val="20"/>
          <w:color w:val="auto"/>
        </w:rPr>
      </w:pPr>
      <w:r>
        <w:rPr>
          <w:rFonts w:ascii="Times New Roman" w:cs="Times New Roman" w:eastAsia="Times New Roman" w:hAnsi="Times New Roman"/>
          <w:sz w:val="17"/>
          <w:szCs w:val="17"/>
          <w:color w:val="auto"/>
        </w:rPr>
        <w:t>We also use certain “non-GAAP financial measures,” which are measures of our historical performance that are not calculated and presented in accordance with GAAP, within the meaning of applicable SEC rules. These measures include:</w:t>
      </w:r>
    </w:p>
    <w:p>
      <w:pPr>
        <w:spacing w:after="0" w:line="97" w:lineRule="exact"/>
        <w:rPr>
          <w:sz w:val="20"/>
          <w:szCs w:val="20"/>
          <w:color w:val="auto"/>
        </w:rPr>
      </w:pPr>
    </w:p>
    <w:p>
      <w:pPr>
        <w:jc w:val="both"/>
        <w:ind w:left="720" w:right="159" w:hanging="319"/>
        <w:spacing w:after="0" w:line="267"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Before Interest Expense, Income Taxes, Depreciation and Amortization for Real Estate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and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Excluding Noncontrolling Interest in Consolidated Joint Venture, and</w:t>
      </w:r>
    </w:p>
    <w:p>
      <w:pPr>
        <w:spacing w:after="0" w:line="134" w:lineRule="exact"/>
        <w:rPr>
          <w:rFonts w:ascii="Times New Roman" w:cs="Times New Roman" w:eastAsia="Times New Roman" w:hAnsi="Times New Roman"/>
          <w:sz w:val="18"/>
          <w:szCs w:val="18"/>
          <w:color w:val="auto"/>
        </w:rPr>
      </w:pPr>
    </w:p>
    <w:p>
      <w:pPr>
        <w:ind w:left="720" w:right="139" w:hanging="319"/>
        <w:spacing w:after="0" w:line="28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Funds From Operations (“FFO”) available to common shareholders and unit holders and Adjusted FFO available to common shareholders and unitholders.</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“Non-GAAP Financial Measures” below for further discussion.</w:t>
      </w:r>
    </w:p>
    <w:p>
      <w:pPr>
        <w:spacing w:after="0" w:line="185" w:lineRule="exact"/>
        <w:rPr>
          <w:sz w:val="20"/>
          <w:szCs w:val="20"/>
          <w:color w:val="auto"/>
        </w:rPr>
      </w:pPr>
    </w:p>
    <w:p>
      <w:pPr>
        <w:jc w:val="both"/>
        <w:ind w:left="60" w:right="419"/>
        <w:spacing w:after="0" w:line="266" w:lineRule="auto"/>
        <w:rPr>
          <w:sz w:val="20"/>
          <w:szCs w:val="20"/>
          <w:color w:val="auto"/>
        </w:rPr>
      </w:pPr>
      <w:r>
        <w:rPr>
          <w:rFonts w:ascii="Times New Roman" w:cs="Times New Roman" w:eastAsia="Times New Roman" w:hAnsi="Times New Roman"/>
          <w:sz w:val="18"/>
          <w:szCs w:val="18"/>
          <w:color w:val="auto"/>
        </w:rPr>
        <w:t>The closure and pandemic-constrained business levels of our Gaylord Hotels properties have resulted in the significant decrease in performance reflected in these key performance indicators and non-GAAP financial measures for the three months ended March 31, 2021, as compared to the current period and historical periods prior to 2020.</w:t>
      </w:r>
    </w:p>
    <w:p>
      <w:pPr>
        <w:spacing w:after="0" w:line="135"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The results of operations of our Hospitality segment are affected by the number and type of group meetings and conventions scheduled to attend our hotels in a given period. A variety of factors can affect the results of any interim period, including the nature and quality of the group meetings and conventions attending our hotels during such period, which meetings and conventions (and applicable room rates) have often been contracted for several years in advance, the level of attrition our hotels experience, and the level of transient business at our hotels during such period. Increases in costs, including labor costs, costs of food and other supplies, and energy costs can negatively affect our results, particularly during an inflationary economic environment. We rely on Marriott, as the manager of our hotels, to manage these factors and to offset any identified shortfalls in occupancy.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Selected Financial Information</w:t>
      </w:r>
    </w:p>
    <w:p>
      <w:pPr>
        <w:spacing w:after="0" w:line="202"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The following table contains our unaudited selected summary financial data for the three months ended March 31, 2022 and 2021. The table also shows the percentage relationships to total revenues and, in the case of segment operating income, its relationship to segment revenues (in thousands, except percentages).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gridSpan w:val="6"/>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173"/>
        </w:trPr>
        <w:tc>
          <w:tcPr>
            <w:tcW w:w="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8"/>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r>
      <w:tr>
        <w:trPr>
          <w:trHeight w:val="142"/>
        </w:trPr>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gridSpan w:val="2"/>
          </w:tcPr>
          <w:p>
            <w:pPr>
              <w:jc w:val="center"/>
              <w:ind w:left="108"/>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2"/>
                <w:szCs w:val="12"/>
                <w:color w:val="auto"/>
              </w:rPr>
            </w:pPr>
          </w:p>
        </w:tc>
        <w:tc>
          <w:tcPr>
            <w:tcW w:w="480" w:type="dxa"/>
            <w:vAlign w:val="bottom"/>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2"/>
                <w:szCs w:val="12"/>
                <w:color w:val="auto"/>
              </w:rPr>
            </w:pPr>
          </w:p>
        </w:tc>
      </w:tr>
      <w:tr>
        <w:trPr>
          <w:trHeight w:val="142"/>
        </w:trPr>
        <w:tc>
          <w:tcPr>
            <w:tcW w:w="5020" w:type="dxa"/>
            <w:vAlign w:val="bottom"/>
            <w:tcBorders>
              <w:top w:val="single" w:sz="8" w:color="CCEEFF"/>
            </w:tcBorders>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REVENUES:</w:t>
            </w:r>
          </w:p>
        </w:tc>
        <w:tc>
          <w:tcPr>
            <w:tcW w:w="5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r>
      <w:tr>
        <w:trPr>
          <w:trHeight w:val="148"/>
        </w:trPr>
        <w:tc>
          <w:tcPr>
            <w:tcW w:w="40" w:type="dxa"/>
            <w:vAlign w:val="bottom"/>
          </w:tcPr>
          <w:p>
            <w:pPr>
              <w:spacing w:after="0"/>
              <w:rPr>
                <w:sz w:val="12"/>
                <w:szCs w:val="12"/>
                <w:color w:val="auto"/>
              </w:rPr>
            </w:pPr>
          </w:p>
        </w:tc>
        <w:tc>
          <w:tcPr>
            <w:tcW w:w="49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Rooms</w:t>
            </w: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101,593</w:t>
            </w:r>
          </w:p>
        </w:tc>
        <w:tc>
          <w:tcPr>
            <w:tcW w:w="980" w:type="dxa"/>
            <w:vAlign w:val="bottom"/>
            <w:gridSpan w:val="3"/>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34.0 %</w:t>
            </w:r>
          </w:p>
        </w:tc>
        <w:tc>
          <w:tcPr>
            <w:tcW w:w="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28,228</w:t>
            </w:r>
          </w:p>
        </w:tc>
        <w:tc>
          <w:tcPr>
            <w:tcW w:w="180" w:type="dxa"/>
            <w:vAlign w:val="bottom"/>
          </w:tcPr>
          <w:p>
            <w:pPr>
              <w:spacing w:after="0"/>
              <w:rPr>
                <w:sz w:val="12"/>
                <w:szCs w:val="12"/>
                <w:color w:val="auto"/>
              </w:rPr>
            </w:pPr>
          </w:p>
        </w:tc>
        <w:tc>
          <w:tcPr>
            <w:tcW w:w="80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33.5 %</w:t>
            </w:r>
          </w:p>
        </w:tc>
      </w:tr>
      <w:tr>
        <w:trPr>
          <w:trHeight w:val="148"/>
        </w:trPr>
        <w:tc>
          <w:tcPr>
            <w:tcW w:w="40" w:type="dxa"/>
            <w:vAlign w:val="bottom"/>
            <w:shd w:val="clear" w:color="auto" w:fill="CCEEFF"/>
          </w:tcPr>
          <w:p>
            <w:pPr>
              <w:spacing w:after="0"/>
              <w:rPr>
                <w:sz w:val="12"/>
                <w:szCs w:val="12"/>
                <w:color w:val="auto"/>
              </w:rPr>
            </w:pPr>
          </w:p>
        </w:tc>
        <w:tc>
          <w:tcPr>
            <w:tcW w:w="498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Food and beverage</w:t>
            </w: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112,116</w:t>
            </w:r>
          </w:p>
        </w:tc>
        <w:tc>
          <w:tcPr>
            <w:tcW w:w="980" w:type="dxa"/>
            <w:vAlign w:val="bottom"/>
            <w:gridSpan w:val="3"/>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37.5 %</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18,175</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21.6 %</w:t>
            </w:r>
          </w:p>
        </w:tc>
      </w:tr>
      <w:tr>
        <w:trPr>
          <w:trHeight w:val="149"/>
        </w:trPr>
        <w:tc>
          <w:tcPr>
            <w:tcW w:w="40" w:type="dxa"/>
            <w:vAlign w:val="bottom"/>
          </w:tcPr>
          <w:p>
            <w:pPr>
              <w:spacing w:after="0"/>
              <w:rPr>
                <w:sz w:val="12"/>
                <w:szCs w:val="12"/>
                <w:color w:val="auto"/>
              </w:rPr>
            </w:pPr>
          </w:p>
        </w:tc>
        <w:tc>
          <w:tcPr>
            <w:tcW w:w="49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hotel revenue</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47,402</w:t>
            </w:r>
          </w:p>
        </w:tc>
        <w:tc>
          <w:tcPr>
            <w:tcW w:w="980" w:type="dxa"/>
            <w:vAlign w:val="bottom"/>
            <w:gridSpan w:val="3"/>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15.8 %</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23,399</w:t>
            </w:r>
          </w:p>
        </w:tc>
        <w:tc>
          <w:tcPr>
            <w:tcW w:w="180" w:type="dxa"/>
            <w:vAlign w:val="bottom"/>
          </w:tcPr>
          <w:p>
            <w:pPr>
              <w:spacing w:after="0"/>
              <w:rPr>
                <w:sz w:val="12"/>
                <w:szCs w:val="12"/>
                <w:color w:val="auto"/>
              </w:rPr>
            </w:pPr>
          </w:p>
        </w:tc>
        <w:tc>
          <w:tcPr>
            <w:tcW w:w="80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27.8 %</w:t>
            </w:r>
          </w:p>
        </w:tc>
      </w:tr>
      <w:tr>
        <w:trPr>
          <w:trHeight w:val="148"/>
        </w:trPr>
        <w:tc>
          <w:tcPr>
            <w:tcW w:w="40" w:type="dxa"/>
            <w:vAlign w:val="bottom"/>
            <w:shd w:val="clear" w:color="auto" w:fill="CCEEFF"/>
          </w:tcPr>
          <w:p>
            <w:pPr>
              <w:spacing w:after="0"/>
              <w:rPr>
                <w:sz w:val="12"/>
                <w:szCs w:val="12"/>
                <w:color w:val="auto"/>
              </w:rPr>
            </w:pPr>
          </w:p>
        </w:tc>
        <w:tc>
          <w:tcPr>
            <w:tcW w:w="498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Entertainment</w:t>
            </w: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38,024</w:t>
            </w:r>
          </w:p>
        </w:tc>
        <w:tc>
          <w:tcPr>
            <w:tcW w:w="980" w:type="dxa"/>
            <w:vAlign w:val="bottom"/>
            <w:gridSpan w:val="3"/>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12.7 %</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14,373</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17.1 %</w:t>
            </w:r>
          </w:p>
        </w:tc>
      </w:tr>
      <w:tr>
        <w:trPr>
          <w:trHeight w:val="142"/>
        </w:trPr>
        <w:tc>
          <w:tcPr>
            <w:tcW w:w="40" w:type="dxa"/>
            <w:vAlign w:val="bottom"/>
            <w:tcBorders>
              <w:bottom w:val="single" w:sz="8" w:color="CCEEFF"/>
            </w:tcBorders>
          </w:tcPr>
          <w:p>
            <w:pPr>
              <w:spacing w:after="0"/>
              <w:rPr>
                <w:sz w:val="12"/>
                <w:szCs w:val="12"/>
                <w:color w:val="auto"/>
              </w:rPr>
            </w:pPr>
          </w:p>
        </w:tc>
        <w:tc>
          <w:tcPr>
            <w:tcW w:w="4980" w:type="dxa"/>
            <w:vAlign w:val="bottom"/>
            <w:tcBorders>
              <w:bottom w:val="single" w:sz="8" w:color="CCEEFF"/>
            </w:tcBorders>
            <w:gridSpan w:val="2"/>
          </w:tcPr>
          <w:p>
            <w:pPr>
              <w:ind w:left="180"/>
              <w:spacing w:after="0" w:line="142" w:lineRule="exact"/>
              <w:rPr>
                <w:sz w:val="20"/>
                <w:szCs w:val="20"/>
                <w:color w:val="auto"/>
              </w:rPr>
            </w:pPr>
            <w:r>
              <w:rPr>
                <w:rFonts w:ascii="Times New Roman" w:cs="Times New Roman" w:eastAsia="Times New Roman" w:hAnsi="Times New Roman"/>
                <w:sz w:val="14"/>
                <w:szCs w:val="14"/>
                <w:color w:val="auto"/>
              </w:rPr>
              <w:t>Total revenues</w:t>
            </w:r>
          </w:p>
        </w:tc>
        <w:tc>
          <w:tcPr>
            <w:tcW w:w="5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299,135</w:t>
            </w:r>
          </w:p>
        </w:tc>
        <w:tc>
          <w:tcPr>
            <w:tcW w:w="18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380" w:type="dxa"/>
            <w:vAlign w:val="bottom"/>
            <w:tcBorders>
              <w:bottom w:val="single" w:sz="8" w:color="CCEEFF"/>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84,175</w:t>
            </w:r>
          </w:p>
        </w:tc>
        <w:tc>
          <w:tcPr>
            <w:tcW w:w="18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320" w:type="dxa"/>
            <w:vAlign w:val="bottom"/>
            <w:tcBorders>
              <w:bottom w:val="single" w:sz="8" w:color="CCEEFF"/>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w w:val="85"/>
              </w:rPr>
              <w:t>%</w:t>
            </w:r>
          </w:p>
        </w:tc>
      </w:tr>
      <w:tr>
        <w:trPr>
          <w:trHeight w:val="142"/>
        </w:trPr>
        <w:tc>
          <w:tcPr>
            <w:tcW w:w="5020" w:type="dxa"/>
            <w:vAlign w:val="bottom"/>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OPERATING EXPENSES:</w:t>
            </w: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r>
      <w:tr>
        <w:trPr>
          <w:trHeight w:val="149"/>
        </w:trPr>
        <w:tc>
          <w:tcPr>
            <w:tcW w:w="40" w:type="dxa"/>
            <w:vAlign w:val="bottom"/>
          </w:tcPr>
          <w:p>
            <w:pPr>
              <w:spacing w:after="0"/>
              <w:rPr>
                <w:sz w:val="12"/>
                <w:szCs w:val="12"/>
                <w:color w:val="auto"/>
              </w:rPr>
            </w:pPr>
          </w:p>
        </w:tc>
        <w:tc>
          <w:tcPr>
            <w:tcW w:w="49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Rooms</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30,136</w:t>
            </w:r>
          </w:p>
        </w:tc>
        <w:tc>
          <w:tcPr>
            <w:tcW w:w="980" w:type="dxa"/>
            <w:vAlign w:val="bottom"/>
            <w:gridSpan w:val="3"/>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10.1 %</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9,477</w:t>
            </w:r>
          </w:p>
        </w:tc>
        <w:tc>
          <w:tcPr>
            <w:tcW w:w="180" w:type="dxa"/>
            <w:vAlign w:val="bottom"/>
          </w:tcPr>
          <w:p>
            <w:pPr>
              <w:spacing w:after="0"/>
              <w:rPr>
                <w:sz w:val="12"/>
                <w:szCs w:val="12"/>
                <w:color w:val="auto"/>
              </w:rPr>
            </w:pPr>
          </w:p>
        </w:tc>
        <w:tc>
          <w:tcPr>
            <w:tcW w:w="80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11.3 %</w:t>
            </w:r>
          </w:p>
        </w:tc>
      </w:tr>
      <w:tr>
        <w:trPr>
          <w:trHeight w:val="148"/>
        </w:trPr>
        <w:tc>
          <w:tcPr>
            <w:tcW w:w="40" w:type="dxa"/>
            <w:vAlign w:val="bottom"/>
            <w:shd w:val="clear" w:color="auto" w:fill="CCEEFF"/>
          </w:tcPr>
          <w:p>
            <w:pPr>
              <w:spacing w:after="0"/>
              <w:rPr>
                <w:sz w:val="12"/>
                <w:szCs w:val="12"/>
                <w:color w:val="auto"/>
              </w:rPr>
            </w:pPr>
          </w:p>
        </w:tc>
        <w:tc>
          <w:tcPr>
            <w:tcW w:w="498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Food and beverage</w:t>
            </w: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71,329</w:t>
            </w:r>
          </w:p>
        </w:tc>
        <w:tc>
          <w:tcPr>
            <w:tcW w:w="980" w:type="dxa"/>
            <w:vAlign w:val="bottom"/>
            <w:gridSpan w:val="3"/>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23.8 %</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19,329</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23.0 %</w:t>
            </w:r>
          </w:p>
        </w:tc>
      </w:tr>
      <w:tr>
        <w:trPr>
          <w:trHeight w:val="148"/>
        </w:trPr>
        <w:tc>
          <w:tcPr>
            <w:tcW w:w="40" w:type="dxa"/>
            <w:vAlign w:val="bottom"/>
          </w:tcPr>
          <w:p>
            <w:pPr>
              <w:spacing w:after="0"/>
              <w:rPr>
                <w:sz w:val="12"/>
                <w:szCs w:val="12"/>
                <w:color w:val="auto"/>
              </w:rPr>
            </w:pPr>
          </w:p>
        </w:tc>
        <w:tc>
          <w:tcPr>
            <w:tcW w:w="49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hotel expenses</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86,643</w:t>
            </w:r>
          </w:p>
        </w:tc>
        <w:tc>
          <w:tcPr>
            <w:tcW w:w="980" w:type="dxa"/>
            <w:vAlign w:val="bottom"/>
            <w:gridSpan w:val="3"/>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29.0 %</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54,557</w:t>
            </w:r>
          </w:p>
        </w:tc>
        <w:tc>
          <w:tcPr>
            <w:tcW w:w="180" w:type="dxa"/>
            <w:vAlign w:val="bottom"/>
          </w:tcPr>
          <w:p>
            <w:pPr>
              <w:spacing w:after="0"/>
              <w:rPr>
                <w:sz w:val="12"/>
                <w:szCs w:val="12"/>
                <w:color w:val="auto"/>
              </w:rPr>
            </w:pPr>
          </w:p>
        </w:tc>
        <w:tc>
          <w:tcPr>
            <w:tcW w:w="80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64.8 %</w:t>
            </w:r>
          </w:p>
        </w:tc>
      </w:tr>
      <w:tr>
        <w:trPr>
          <w:trHeight w:val="148"/>
        </w:trPr>
        <w:tc>
          <w:tcPr>
            <w:tcW w:w="40" w:type="dxa"/>
            <w:vAlign w:val="bottom"/>
            <w:shd w:val="clear" w:color="auto" w:fill="CCEEFF"/>
          </w:tcPr>
          <w:p>
            <w:pPr>
              <w:spacing w:after="0"/>
              <w:rPr>
                <w:sz w:val="12"/>
                <w:szCs w:val="12"/>
                <w:color w:val="auto"/>
              </w:rPr>
            </w:pPr>
          </w:p>
        </w:tc>
        <w:tc>
          <w:tcPr>
            <w:tcW w:w="498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Hotel management fees, net</w:t>
            </w: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5,064</w:t>
            </w:r>
          </w:p>
        </w:tc>
        <w:tc>
          <w:tcPr>
            <w:tcW w:w="980" w:type="dxa"/>
            <w:vAlign w:val="bottom"/>
            <w:gridSpan w:val="3"/>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1.7 %</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753</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0.9 %</w:t>
            </w:r>
          </w:p>
        </w:tc>
      </w:tr>
      <w:tr>
        <w:trPr>
          <w:trHeight w:val="148"/>
        </w:trPr>
        <w:tc>
          <w:tcPr>
            <w:tcW w:w="40" w:type="dxa"/>
            <w:vAlign w:val="bottom"/>
          </w:tcPr>
          <w:p>
            <w:pPr>
              <w:spacing w:after="0"/>
              <w:rPr>
                <w:sz w:val="12"/>
                <w:szCs w:val="12"/>
                <w:color w:val="auto"/>
              </w:rPr>
            </w:pPr>
          </w:p>
        </w:tc>
        <w:tc>
          <w:tcPr>
            <w:tcW w:w="49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Entertainment</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31,731</w:t>
            </w:r>
          </w:p>
        </w:tc>
        <w:tc>
          <w:tcPr>
            <w:tcW w:w="980" w:type="dxa"/>
            <w:vAlign w:val="bottom"/>
            <w:gridSpan w:val="3"/>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10.6 %</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18,691</w:t>
            </w:r>
          </w:p>
        </w:tc>
        <w:tc>
          <w:tcPr>
            <w:tcW w:w="180" w:type="dxa"/>
            <w:vAlign w:val="bottom"/>
          </w:tcPr>
          <w:p>
            <w:pPr>
              <w:spacing w:after="0"/>
              <w:rPr>
                <w:sz w:val="12"/>
                <w:szCs w:val="12"/>
                <w:color w:val="auto"/>
              </w:rPr>
            </w:pPr>
          </w:p>
        </w:tc>
        <w:tc>
          <w:tcPr>
            <w:tcW w:w="80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22.2 %</w:t>
            </w:r>
          </w:p>
        </w:tc>
      </w:tr>
      <w:tr>
        <w:trPr>
          <w:trHeight w:val="149"/>
        </w:trPr>
        <w:tc>
          <w:tcPr>
            <w:tcW w:w="40" w:type="dxa"/>
            <w:vAlign w:val="bottom"/>
            <w:shd w:val="clear" w:color="auto" w:fill="CCEEFF"/>
          </w:tcPr>
          <w:p>
            <w:pPr>
              <w:spacing w:after="0"/>
              <w:rPr>
                <w:sz w:val="12"/>
                <w:szCs w:val="12"/>
                <w:color w:val="auto"/>
              </w:rPr>
            </w:pPr>
          </w:p>
        </w:tc>
        <w:tc>
          <w:tcPr>
            <w:tcW w:w="498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Corporate</w:t>
            </w: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9,557</w:t>
            </w:r>
          </w:p>
        </w:tc>
        <w:tc>
          <w:tcPr>
            <w:tcW w:w="980" w:type="dxa"/>
            <w:vAlign w:val="bottom"/>
            <w:gridSpan w:val="3"/>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3.2 %</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7,528</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8.9 %</w:t>
            </w:r>
          </w:p>
        </w:tc>
      </w:tr>
      <w:tr>
        <w:trPr>
          <w:trHeight w:val="148"/>
        </w:trPr>
        <w:tc>
          <w:tcPr>
            <w:tcW w:w="40" w:type="dxa"/>
            <w:vAlign w:val="bottom"/>
          </w:tcPr>
          <w:p>
            <w:pPr>
              <w:spacing w:after="0"/>
              <w:rPr>
                <w:sz w:val="12"/>
                <w:szCs w:val="12"/>
                <w:color w:val="auto"/>
              </w:rPr>
            </w:pPr>
          </w:p>
        </w:tc>
        <w:tc>
          <w:tcPr>
            <w:tcW w:w="49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Preopening costs</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304</w:t>
            </w:r>
          </w:p>
        </w:tc>
        <w:tc>
          <w:tcPr>
            <w:tcW w:w="980" w:type="dxa"/>
            <w:vAlign w:val="bottom"/>
            <w:gridSpan w:val="3"/>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0.1 %</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399</w:t>
            </w:r>
          </w:p>
        </w:tc>
        <w:tc>
          <w:tcPr>
            <w:tcW w:w="180" w:type="dxa"/>
            <w:vAlign w:val="bottom"/>
          </w:tcPr>
          <w:p>
            <w:pPr>
              <w:spacing w:after="0"/>
              <w:rPr>
                <w:sz w:val="12"/>
                <w:szCs w:val="12"/>
                <w:color w:val="auto"/>
              </w:rPr>
            </w:pPr>
          </w:p>
        </w:tc>
        <w:tc>
          <w:tcPr>
            <w:tcW w:w="80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0.5 %</w:t>
            </w:r>
          </w:p>
        </w:tc>
      </w:tr>
      <w:tr>
        <w:trPr>
          <w:trHeight w:val="148"/>
        </w:trPr>
        <w:tc>
          <w:tcPr>
            <w:tcW w:w="40" w:type="dxa"/>
            <w:vAlign w:val="bottom"/>
            <w:shd w:val="clear" w:color="auto" w:fill="CCEEFF"/>
          </w:tcPr>
          <w:p>
            <w:pPr>
              <w:spacing w:after="0"/>
              <w:rPr>
                <w:sz w:val="12"/>
                <w:szCs w:val="12"/>
                <w:color w:val="auto"/>
              </w:rPr>
            </w:pPr>
          </w:p>
        </w:tc>
        <w:tc>
          <w:tcPr>
            <w:tcW w:w="498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Gain (loss) on sale of assets</w:t>
            </w: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469</w:t>
            </w:r>
          </w:p>
        </w:tc>
        <w:tc>
          <w:tcPr>
            <w:tcW w:w="980" w:type="dxa"/>
            <w:vAlign w:val="bottom"/>
            <w:gridSpan w:val="3"/>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0.2 %</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(317)</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(0.4)%</w:t>
            </w:r>
          </w:p>
        </w:tc>
      </w:tr>
      <w:tr>
        <w:trPr>
          <w:trHeight w:val="148"/>
        </w:trPr>
        <w:tc>
          <w:tcPr>
            <w:tcW w:w="40" w:type="dxa"/>
            <w:vAlign w:val="bottom"/>
          </w:tcPr>
          <w:p>
            <w:pPr>
              <w:spacing w:after="0"/>
              <w:rPr>
                <w:sz w:val="12"/>
                <w:szCs w:val="12"/>
                <w:color w:val="auto"/>
              </w:rPr>
            </w:pPr>
          </w:p>
        </w:tc>
        <w:tc>
          <w:tcPr>
            <w:tcW w:w="49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48"/>
        </w:trPr>
        <w:tc>
          <w:tcPr>
            <w:tcW w:w="40" w:type="dxa"/>
            <w:vAlign w:val="bottom"/>
            <w:shd w:val="clear" w:color="auto" w:fill="CCEEFF"/>
          </w:tcPr>
          <w:p>
            <w:pPr>
              <w:spacing w:after="0"/>
              <w:rPr>
                <w:sz w:val="12"/>
                <w:szCs w:val="12"/>
                <w:color w:val="auto"/>
              </w:rPr>
            </w:pPr>
          </w:p>
        </w:tc>
        <w:tc>
          <w:tcPr>
            <w:tcW w:w="498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Hospitality</w:t>
            </w: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52,271</w:t>
            </w:r>
          </w:p>
        </w:tc>
        <w:tc>
          <w:tcPr>
            <w:tcW w:w="980" w:type="dxa"/>
            <w:vAlign w:val="bottom"/>
            <w:gridSpan w:val="3"/>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17.5 %</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49,148</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58.4 %</w:t>
            </w:r>
          </w:p>
        </w:tc>
      </w:tr>
      <w:tr>
        <w:trPr>
          <w:trHeight w:val="149"/>
        </w:trPr>
        <w:tc>
          <w:tcPr>
            <w:tcW w:w="40" w:type="dxa"/>
            <w:vAlign w:val="bottom"/>
          </w:tcPr>
          <w:p>
            <w:pPr>
              <w:spacing w:after="0"/>
              <w:rPr>
                <w:sz w:val="12"/>
                <w:szCs w:val="12"/>
                <w:color w:val="auto"/>
              </w:rPr>
            </w:pPr>
          </w:p>
        </w:tc>
        <w:tc>
          <w:tcPr>
            <w:tcW w:w="49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Entertainment</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3,552</w:t>
            </w:r>
          </w:p>
        </w:tc>
        <w:tc>
          <w:tcPr>
            <w:tcW w:w="980" w:type="dxa"/>
            <w:vAlign w:val="bottom"/>
            <w:gridSpan w:val="3"/>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1.2 %</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3,601</w:t>
            </w:r>
          </w:p>
        </w:tc>
        <w:tc>
          <w:tcPr>
            <w:tcW w:w="180" w:type="dxa"/>
            <w:vAlign w:val="bottom"/>
          </w:tcPr>
          <w:p>
            <w:pPr>
              <w:spacing w:after="0"/>
              <w:rPr>
                <w:sz w:val="12"/>
                <w:szCs w:val="12"/>
                <w:color w:val="auto"/>
              </w:rPr>
            </w:pPr>
          </w:p>
        </w:tc>
        <w:tc>
          <w:tcPr>
            <w:tcW w:w="80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4.3 %</w:t>
            </w:r>
          </w:p>
        </w:tc>
      </w:tr>
      <w:tr>
        <w:trPr>
          <w:trHeight w:val="148"/>
        </w:trPr>
        <w:tc>
          <w:tcPr>
            <w:tcW w:w="40" w:type="dxa"/>
            <w:vAlign w:val="bottom"/>
            <w:shd w:val="clear" w:color="auto" w:fill="CCEEFF"/>
          </w:tcPr>
          <w:p>
            <w:pPr>
              <w:spacing w:after="0"/>
              <w:rPr>
                <w:sz w:val="12"/>
                <w:szCs w:val="12"/>
                <w:color w:val="auto"/>
              </w:rPr>
            </w:pPr>
          </w:p>
        </w:tc>
        <w:tc>
          <w:tcPr>
            <w:tcW w:w="498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Corporate and Other</w:t>
            </w:r>
          </w:p>
        </w:tc>
        <w:tc>
          <w:tcPr>
            <w:tcW w:w="5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205</w:t>
            </w:r>
          </w:p>
        </w:tc>
        <w:tc>
          <w:tcPr>
            <w:tcW w:w="980" w:type="dxa"/>
            <w:vAlign w:val="bottom"/>
            <w:gridSpan w:val="3"/>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0.1 %</w:t>
            </w: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566</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0.7 %</w:t>
            </w:r>
          </w:p>
        </w:tc>
      </w:tr>
      <w:tr>
        <w:trPr>
          <w:trHeight w:val="142"/>
        </w:trPr>
        <w:tc>
          <w:tcPr>
            <w:tcW w:w="40" w:type="dxa"/>
            <w:vAlign w:val="bottom"/>
            <w:tcBorders>
              <w:bottom w:val="single" w:sz="8" w:color="CCEEFF"/>
            </w:tcBorders>
          </w:tcPr>
          <w:p>
            <w:pPr>
              <w:spacing w:after="0"/>
              <w:rPr>
                <w:sz w:val="12"/>
                <w:szCs w:val="12"/>
                <w:color w:val="auto"/>
              </w:rPr>
            </w:pPr>
          </w:p>
        </w:tc>
        <w:tc>
          <w:tcPr>
            <w:tcW w:w="4980" w:type="dxa"/>
            <w:vAlign w:val="bottom"/>
            <w:tcBorders>
              <w:bottom w:val="single" w:sz="8" w:color="CCEEFF"/>
            </w:tcBorders>
            <w:gridSpan w:val="2"/>
          </w:tcPr>
          <w:p>
            <w:pPr>
              <w:ind w:left="300"/>
              <w:spacing w:after="0" w:line="142" w:lineRule="exact"/>
              <w:rPr>
                <w:sz w:val="20"/>
                <w:szCs w:val="20"/>
                <w:color w:val="auto"/>
              </w:rPr>
            </w:pPr>
            <w:r>
              <w:rPr>
                <w:rFonts w:ascii="Times New Roman" w:cs="Times New Roman" w:eastAsia="Times New Roman" w:hAnsi="Times New Roman"/>
                <w:sz w:val="14"/>
                <w:szCs w:val="14"/>
                <w:color w:val="auto"/>
              </w:rPr>
              <w:t>Total depreciation and amortization</w:t>
            </w:r>
          </w:p>
        </w:tc>
        <w:tc>
          <w:tcPr>
            <w:tcW w:w="5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56,028</w:t>
            </w:r>
          </w:p>
        </w:tc>
        <w:tc>
          <w:tcPr>
            <w:tcW w:w="980" w:type="dxa"/>
            <w:vAlign w:val="bottom"/>
            <w:tcBorders>
              <w:bottom w:val="single" w:sz="8" w:color="CCEEFF"/>
            </w:tcBorders>
            <w:gridSpan w:val="3"/>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rPr>
              <w:t>18.7 %</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53,315</w:t>
            </w:r>
          </w:p>
        </w:tc>
        <w:tc>
          <w:tcPr>
            <w:tcW w:w="18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gridSpan w:val="2"/>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63.3 %</w:t>
            </w:r>
          </w:p>
        </w:tc>
      </w:tr>
      <w:tr>
        <w:trPr>
          <w:trHeight w:val="142"/>
        </w:trPr>
        <w:tc>
          <w:tcPr>
            <w:tcW w:w="40" w:type="dxa"/>
            <w:vAlign w:val="bottom"/>
            <w:shd w:val="clear" w:color="auto" w:fill="CCEEFF"/>
          </w:tcPr>
          <w:p>
            <w:pPr>
              <w:spacing w:after="0"/>
              <w:rPr>
                <w:sz w:val="12"/>
                <w:szCs w:val="12"/>
                <w:color w:val="auto"/>
              </w:rPr>
            </w:pPr>
          </w:p>
        </w:tc>
        <w:tc>
          <w:tcPr>
            <w:tcW w:w="4980" w:type="dxa"/>
            <w:vAlign w:val="bottom"/>
            <w:gridSpan w:val="2"/>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Total operating expenses</w:t>
            </w:r>
          </w:p>
        </w:tc>
        <w:tc>
          <w:tcPr>
            <w:tcW w:w="5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291,261</w:t>
            </w:r>
          </w:p>
        </w:tc>
        <w:tc>
          <w:tcPr>
            <w:tcW w:w="980" w:type="dxa"/>
            <w:vAlign w:val="bottom"/>
            <w:gridSpan w:val="3"/>
            <w:shd w:val="clear" w:color="auto" w:fill="CCEEFF"/>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rPr>
              <w:t>97.4 %</w:t>
            </w: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163,732</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194.5 %</w:t>
            </w:r>
          </w:p>
        </w:tc>
      </w:tr>
      <w:tr>
        <w:trPr>
          <w:trHeight w:val="142"/>
        </w:trPr>
        <w:tc>
          <w:tcPr>
            <w:tcW w:w="502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color w:val="auto"/>
              </w:rPr>
              <w:t>OPERATING INCOME (LOSS):</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48"/>
        </w:trPr>
        <w:tc>
          <w:tcPr>
            <w:tcW w:w="40" w:type="dxa"/>
            <w:vAlign w:val="bottom"/>
            <w:shd w:val="clear" w:color="auto" w:fill="CCEEFF"/>
          </w:tcPr>
          <w:p>
            <w:pPr>
              <w:spacing w:after="0"/>
              <w:rPr>
                <w:sz w:val="12"/>
                <w:szCs w:val="12"/>
                <w:color w:val="auto"/>
              </w:rPr>
            </w:pPr>
          </w:p>
        </w:tc>
        <w:tc>
          <w:tcPr>
            <w:tcW w:w="498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Hospitality</w:t>
            </w: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15,668</w:t>
            </w:r>
          </w:p>
        </w:tc>
        <w:tc>
          <w:tcPr>
            <w:tcW w:w="980" w:type="dxa"/>
            <w:vAlign w:val="bottom"/>
            <w:gridSpan w:val="3"/>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6.0 %</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(63,462)</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(90.9)%</w:t>
            </w:r>
          </w:p>
        </w:tc>
      </w:tr>
      <w:tr>
        <w:trPr>
          <w:trHeight w:val="148"/>
        </w:trPr>
        <w:tc>
          <w:tcPr>
            <w:tcW w:w="40" w:type="dxa"/>
            <w:vAlign w:val="bottom"/>
          </w:tcPr>
          <w:p>
            <w:pPr>
              <w:spacing w:after="0"/>
              <w:rPr>
                <w:sz w:val="12"/>
                <w:szCs w:val="12"/>
                <w:color w:val="auto"/>
              </w:rPr>
            </w:pPr>
          </w:p>
        </w:tc>
        <w:tc>
          <w:tcPr>
            <w:tcW w:w="49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Entertainment</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2,741</w:t>
            </w:r>
          </w:p>
        </w:tc>
        <w:tc>
          <w:tcPr>
            <w:tcW w:w="980" w:type="dxa"/>
            <w:vAlign w:val="bottom"/>
            <w:gridSpan w:val="3"/>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7.2 %</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(7,919)</w:t>
            </w:r>
          </w:p>
        </w:tc>
        <w:tc>
          <w:tcPr>
            <w:tcW w:w="180" w:type="dxa"/>
            <w:vAlign w:val="bottom"/>
          </w:tcPr>
          <w:p>
            <w:pPr>
              <w:spacing w:after="0"/>
              <w:rPr>
                <w:sz w:val="12"/>
                <w:szCs w:val="12"/>
                <w:color w:val="auto"/>
              </w:rPr>
            </w:pPr>
          </w:p>
        </w:tc>
        <w:tc>
          <w:tcPr>
            <w:tcW w:w="80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(55.1)%</w:t>
            </w:r>
          </w:p>
        </w:tc>
      </w:tr>
      <w:tr>
        <w:trPr>
          <w:trHeight w:val="149"/>
        </w:trPr>
        <w:tc>
          <w:tcPr>
            <w:tcW w:w="40" w:type="dxa"/>
            <w:vAlign w:val="bottom"/>
            <w:shd w:val="clear" w:color="auto" w:fill="CCEEFF"/>
          </w:tcPr>
          <w:p>
            <w:pPr>
              <w:spacing w:after="0"/>
              <w:rPr>
                <w:sz w:val="12"/>
                <w:szCs w:val="12"/>
                <w:color w:val="auto"/>
              </w:rPr>
            </w:pPr>
          </w:p>
        </w:tc>
        <w:tc>
          <w:tcPr>
            <w:tcW w:w="498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Corporate and Other</w:t>
            </w: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(9,762)</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center"/>
              <w:ind w:right="288"/>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(8,094)</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(A)</w:t>
            </w:r>
          </w:p>
        </w:tc>
      </w:tr>
      <w:tr>
        <w:trPr>
          <w:trHeight w:val="148"/>
        </w:trPr>
        <w:tc>
          <w:tcPr>
            <w:tcW w:w="40" w:type="dxa"/>
            <w:vAlign w:val="bottom"/>
          </w:tcPr>
          <w:p>
            <w:pPr>
              <w:spacing w:after="0"/>
              <w:rPr>
                <w:sz w:val="12"/>
                <w:szCs w:val="12"/>
                <w:color w:val="auto"/>
              </w:rPr>
            </w:pPr>
          </w:p>
        </w:tc>
        <w:tc>
          <w:tcPr>
            <w:tcW w:w="49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Preopening costs</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(304)</w:t>
            </w:r>
          </w:p>
        </w:tc>
        <w:tc>
          <w:tcPr>
            <w:tcW w:w="980" w:type="dxa"/>
            <w:vAlign w:val="bottom"/>
            <w:gridSpan w:val="3"/>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(399)</w:t>
            </w:r>
          </w:p>
        </w:tc>
        <w:tc>
          <w:tcPr>
            <w:tcW w:w="180" w:type="dxa"/>
            <w:vAlign w:val="bottom"/>
          </w:tcPr>
          <w:p>
            <w:pPr>
              <w:spacing w:after="0"/>
              <w:rPr>
                <w:sz w:val="12"/>
                <w:szCs w:val="12"/>
                <w:color w:val="auto"/>
              </w:rPr>
            </w:pPr>
          </w:p>
        </w:tc>
        <w:tc>
          <w:tcPr>
            <w:tcW w:w="80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(0.5)%</w:t>
            </w:r>
          </w:p>
        </w:tc>
      </w:tr>
      <w:tr>
        <w:trPr>
          <w:trHeight w:val="149"/>
        </w:trPr>
        <w:tc>
          <w:tcPr>
            <w:tcW w:w="40" w:type="dxa"/>
            <w:vAlign w:val="bottom"/>
            <w:shd w:val="clear" w:color="auto" w:fill="CCEEFF"/>
          </w:tcPr>
          <w:p>
            <w:pPr>
              <w:spacing w:after="0"/>
              <w:rPr>
                <w:sz w:val="12"/>
                <w:szCs w:val="12"/>
                <w:color w:val="auto"/>
              </w:rPr>
            </w:pPr>
          </w:p>
        </w:tc>
        <w:tc>
          <w:tcPr>
            <w:tcW w:w="498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Gain (loss) on sale of assets</w:t>
            </w:r>
          </w:p>
        </w:tc>
        <w:tc>
          <w:tcPr>
            <w:tcW w:w="5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(469)</w:t>
            </w:r>
          </w:p>
        </w:tc>
        <w:tc>
          <w:tcPr>
            <w:tcW w:w="980" w:type="dxa"/>
            <w:vAlign w:val="bottom"/>
            <w:gridSpan w:val="3"/>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317</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0.4 %</w:t>
            </w:r>
          </w:p>
        </w:tc>
      </w:tr>
      <w:tr>
        <w:trPr>
          <w:trHeight w:val="142"/>
        </w:trPr>
        <w:tc>
          <w:tcPr>
            <w:tcW w:w="40" w:type="dxa"/>
            <w:vAlign w:val="bottom"/>
          </w:tcPr>
          <w:p>
            <w:pPr>
              <w:spacing w:after="0"/>
              <w:rPr>
                <w:sz w:val="12"/>
                <w:szCs w:val="12"/>
                <w:color w:val="auto"/>
              </w:rPr>
            </w:pPr>
          </w:p>
        </w:tc>
        <w:tc>
          <w:tcPr>
            <w:tcW w:w="4980" w:type="dxa"/>
            <w:vAlign w:val="bottom"/>
            <w:gridSpan w:val="2"/>
          </w:tcPr>
          <w:p>
            <w:pPr>
              <w:ind w:left="180"/>
              <w:spacing w:after="0" w:line="142" w:lineRule="exact"/>
              <w:rPr>
                <w:sz w:val="20"/>
                <w:szCs w:val="20"/>
                <w:color w:val="auto"/>
              </w:rPr>
            </w:pPr>
            <w:r>
              <w:rPr>
                <w:rFonts w:ascii="Times New Roman" w:cs="Times New Roman" w:eastAsia="Times New Roman" w:hAnsi="Times New Roman"/>
                <w:sz w:val="14"/>
                <w:szCs w:val="14"/>
                <w:color w:val="auto"/>
              </w:rPr>
              <w:t>Total operating income (loss)</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7,874</w:t>
            </w:r>
          </w:p>
        </w:tc>
        <w:tc>
          <w:tcPr>
            <w:tcW w:w="980" w:type="dxa"/>
            <w:vAlign w:val="bottom"/>
            <w:gridSpan w:val="3"/>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rPr>
              <w:t>2.6 %</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(79,557)</w:t>
            </w:r>
          </w:p>
        </w:tc>
        <w:tc>
          <w:tcPr>
            <w:tcW w:w="180" w:type="dxa"/>
            <w:vAlign w:val="bottom"/>
          </w:tcPr>
          <w:p>
            <w:pPr>
              <w:spacing w:after="0"/>
              <w:rPr>
                <w:sz w:val="12"/>
                <w:szCs w:val="12"/>
                <w:color w:val="auto"/>
              </w:rPr>
            </w:pPr>
          </w:p>
        </w:tc>
        <w:tc>
          <w:tcPr>
            <w:tcW w:w="800" w:type="dxa"/>
            <w:vAlign w:val="bottom"/>
            <w:gridSpan w:val="2"/>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(94.5)%</w:t>
            </w:r>
          </w:p>
        </w:tc>
      </w:tr>
      <w:tr>
        <w:trPr>
          <w:trHeight w:val="149"/>
        </w:trPr>
        <w:tc>
          <w:tcPr>
            <w:tcW w:w="502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(31,937)</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center"/>
              <w:ind w:right="288"/>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(30,796)</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(A)</w:t>
            </w:r>
          </w:p>
        </w:tc>
      </w:tr>
      <w:tr>
        <w:trPr>
          <w:trHeight w:val="148"/>
        </w:trPr>
        <w:tc>
          <w:tcPr>
            <w:tcW w:w="50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1,381</w:t>
            </w:r>
          </w:p>
        </w:tc>
        <w:tc>
          <w:tcPr>
            <w:tcW w:w="180" w:type="dxa"/>
            <w:vAlign w:val="bottom"/>
          </w:tcPr>
          <w:p>
            <w:pPr>
              <w:spacing w:after="0"/>
              <w:rPr>
                <w:sz w:val="12"/>
                <w:szCs w:val="12"/>
                <w:color w:val="auto"/>
              </w:rPr>
            </w:pPr>
          </w:p>
        </w:tc>
        <w:tc>
          <w:tcPr>
            <w:tcW w:w="800" w:type="dxa"/>
            <w:vAlign w:val="bottom"/>
            <w:gridSpan w:val="2"/>
          </w:tcPr>
          <w:p>
            <w:pPr>
              <w:jc w:val="center"/>
              <w:ind w:right="288"/>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1,370</w:t>
            </w:r>
          </w:p>
        </w:tc>
        <w:tc>
          <w:tcPr>
            <w:tcW w:w="180" w:type="dxa"/>
            <w:vAlign w:val="bottom"/>
          </w:tcPr>
          <w:p>
            <w:pPr>
              <w:spacing w:after="0"/>
              <w:rPr>
                <w:sz w:val="12"/>
                <w:szCs w:val="12"/>
                <w:color w:val="auto"/>
              </w:rPr>
            </w:pPr>
          </w:p>
        </w:tc>
        <w:tc>
          <w:tcPr>
            <w:tcW w:w="80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(A)</w:t>
            </w:r>
          </w:p>
        </w:tc>
      </w:tr>
      <w:tr>
        <w:trPr>
          <w:trHeight w:val="148"/>
        </w:trPr>
        <w:tc>
          <w:tcPr>
            <w:tcW w:w="502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Loss on extinguishment of debt</w:t>
            </w: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center"/>
              <w:ind w:right="288"/>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(2,949)</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(A)</w:t>
            </w:r>
          </w:p>
        </w:tc>
      </w:tr>
      <w:tr>
        <w:trPr>
          <w:trHeight w:val="149"/>
        </w:trPr>
        <w:tc>
          <w:tcPr>
            <w:tcW w:w="50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Loss from unconsolidated joint ventures</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(2,627)</w:t>
            </w:r>
          </w:p>
        </w:tc>
        <w:tc>
          <w:tcPr>
            <w:tcW w:w="180" w:type="dxa"/>
            <w:vAlign w:val="bottom"/>
          </w:tcPr>
          <w:p>
            <w:pPr>
              <w:spacing w:after="0"/>
              <w:rPr>
                <w:sz w:val="12"/>
                <w:szCs w:val="12"/>
                <w:color w:val="auto"/>
              </w:rPr>
            </w:pPr>
          </w:p>
        </w:tc>
        <w:tc>
          <w:tcPr>
            <w:tcW w:w="800" w:type="dxa"/>
            <w:vAlign w:val="bottom"/>
            <w:gridSpan w:val="2"/>
          </w:tcPr>
          <w:p>
            <w:pPr>
              <w:jc w:val="center"/>
              <w:ind w:right="288"/>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(1,609)</w:t>
            </w:r>
          </w:p>
        </w:tc>
        <w:tc>
          <w:tcPr>
            <w:tcW w:w="180" w:type="dxa"/>
            <w:vAlign w:val="bottom"/>
          </w:tcPr>
          <w:p>
            <w:pPr>
              <w:spacing w:after="0"/>
              <w:rPr>
                <w:sz w:val="12"/>
                <w:szCs w:val="12"/>
                <w:color w:val="auto"/>
              </w:rPr>
            </w:pPr>
          </w:p>
        </w:tc>
        <w:tc>
          <w:tcPr>
            <w:tcW w:w="80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(A)</w:t>
            </w:r>
          </w:p>
        </w:tc>
      </w:tr>
      <w:tr>
        <w:trPr>
          <w:trHeight w:val="148"/>
        </w:trPr>
        <w:tc>
          <w:tcPr>
            <w:tcW w:w="502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gains and (losses), net</w:t>
            </w: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447</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center"/>
              <w:ind w:right="288"/>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374</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(A)</w:t>
            </w:r>
          </w:p>
        </w:tc>
      </w:tr>
      <w:tr>
        <w:trPr>
          <w:trHeight w:val="149"/>
        </w:trPr>
        <w:tc>
          <w:tcPr>
            <w:tcW w:w="5020" w:type="dxa"/>
            <w:vAlign w:val="bottom"/>
            <w:tcBorders>
              <w:bottom w:val="single" w:sz="8" w:color="CCEEFF"/>
            </w:tcBorders>
            <w:gridSpan w:val="3"/>
          </w:tcPr>
          <w:p>
            <w:pPr>
              <w:spacing w:after="0" w:line="149" w:lineRule="exact"/>
              <w:rPr>
                <w:sz w:val="20"/>
                <w:szCs w:val="20"/>
                <w:color w:val="auto"/>
              </w:rPr>
            </w:pPr>
            <w:r>
              <w:rPr>
                <w:rFonts w:ascii="Times New Roman" w:cs="Times New Roman" w:eastAsia="Times New Roman" w:hAnsi="Times New Roman"/>
                <w:sz w:val="14"/>
                <w:szCs w:val="14"/>
                <w:color w:val="auto"/>
              </w:rPr>
              <w:t>Benefit (provision) for income taxes</w:t>
            </w:r>
          </w:p>
        </w:tc>
        <w:tc>
          <w:tcPr>
            <w:tcW w:w="5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18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gridSpan w:val="2"/>
          </w:tcPr>
          <w:p>
            <w:pPr>
              <w:jc w:val="center"/>
              <w:ind w:right="288"/>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(3,954)</w:t>
            </w:r>
          </w:p>
        </w:tc>
        <w:tc>
          <w:tcPr>
            <w:tcW w:w="18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(A)</w:t>
            </w:r>
          </w:p>
        </w:tc>
      </w:tr>
      <w:tr>
        <w:trPr>
          <w:trHeight w:val="142"/>
        </w:trPr>
        <w:tc>
          <w:tcPr>
            <w:tcW w:w="5020" w:type="dxa"/>
            <w:vAlign w:val="bottom"/>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loss</w:t>
            </w: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(24,797)</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center"/>
              <w:ind w:right="288"/>
              <w:spacing w:after="0" w:line="142"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(117,121)</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160"/>
              <w:spacing w:after="0" w:line="142" w:lineRule="exact"/>
              <w:rPr>
                <w:sz w:val="20"/>
                <w:szCs w:val="20"/>
                <w:color w:val="auto"/>
              </w:rPr>
            </w:pPr>
            <w:r>
              <w:rPr>
                <w:rFonts w:ascii="Times New Roman" w:cs="Times New Roman" w:eastAsia="Times New Roman" w:hAnsi="Times New Roman"/>
                <w:sz w:val="14"/>
                <w:szCs w:val="14"/>
                <w:color w:val="auto"/>
              </w:rPr>
              <w:t>(A)</w:t>
            </w:r>
          </w:p>
        </w:tc>
      </w:tr>
      <w:tr>
        <w:trPr>
          <w:trHeight w:val="149"/>
        </w:trPr>
        <w:tc>
          <w:tcPr>
            <w:tcW w:w="40" w:type="dxa"/>
            <w:vAlign w:val="bottom"/>
          </w:tcPr>
          <w:p>
            <w:pPr>
              <w:spacing w:after="0"/>
              <w:rPr>
                <w:sz w:val="12"/>
                <w:szCs w:val="12"/>
                <w:color w:val="auto"/>
              </w:rPr>
            </w:pPr>
          </w:p>
        </w:tc>
        <w:tc>
          <w:tcPr>
            <w:tcW w:w="49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Net loss attributable to noncontrolling interest in consolidated joint venture</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0" w:type="dxa"/>
            <w:vAlign w:val="bottom"/>
            <w:gridSpan w:val="2"/>
          </w:tcPr>
          <w:p>
            <w:pPr>
              <w:jc w:val="center"/>
              <w:ind w:right="288"/>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11,793</w:t>
            </w:r>
          </w:p>
        </w:tc>
        <w:tc>
          <w:tcPr>
            <w:tcW w:w="180" w:type="dxa"/>
            <w:vAlign w:val="bottom"/>
          </w:tcPr>
          <w:p>
            <w:pPr>
              <w:spacing w:after="0"/>
              <w:rPr>
                <w:sz w:val="12"/>
                <w:szCs w:val="12"/>
                <w:color w:val="auto"/>
              </w:rPr>
            </w:pPr>
          </w:p>
        </w:tc>
        <w:tc>
          <w:tcPr>
            <w:tcW w:w="80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(A)</w:t>
            </w:r>
          </w:p>
        </w:tc>
      </w:tr>
      <w:tr>
        <w:trPr>
          <w:trHeight w:val="148"/>
        </w:trPr>
        <w:tc>
          <w:tcPr>
            <w:tcW w:w="40" w:type="dxa"/>
            <w:vAlign w:val="bottom"/>
            <w:shd w:val="clear" w:color="auto" w:fill="CCEEFF"/>
          </w:tcPr>
          <w:p>
            <w:pPr>
              <w:spacing w:after="0"/>
              <w:rPr>
                <w:sz w:val="12"/>
                <w:szCs w:val="12"/>
                <w:color w:val="auto"/>
              </w:rPr>
            </w:pPr>
          </w:p>
        </w:tc>
        <w:tc>
          <w:tcPr>
            <w:tcW w:w="498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Net loss attributable to noncontrolling interest in the Operating Partnership</w:t>
            </w:r>
          </w:p>
        </w:tc>
        <w:tc>
          <w:tcPr>
            <w:tcW w:w="5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176</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center"/>
              <w:ind w:right="288"/>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807</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(A)</w:t>
            </w:r>
          </w:p>
        </w:tc>
      </w:tr>
      <w:tr>
        <w:trPr>
          <w:trHeight w:val="142"/>
        </w:trPr>
        <w:tc>
          <w:tcPr>
            <w:tcW w:w="40" w:type="dxa"/>
            <w:vAlign w:val="bottom"/>
          </w:tcPr>
          <w:p>
            <w:pPr>
              <w:spacing w:after="0"/>
              <w:rPr>
                <w:sz w:val="12"/>
                <w:szCs w:val="12"/>
                <w:color w:val="auto"/>
              </w:rPr>
            </w:pPr>
          </w:p>
        </w:tc>
        <w:tc>
          <w:tcPr>
            <w:tcW w:w="4980" w:type="dxa"/>
            <w:vAlign w:val="bottom"/>
            <w:gridSpan w:val="2"/>
          </w:tcPr>
          <w:p>
            <w:pPr>
              <w:ind w:left="180"/>
              <w:spacing w:after="0" w:line="142" w:lineRule="exact"/>
              <w:rPr>
                <w:sz w:val="20"/>
                <w:szCs w:val="20"/>
                <w:color w:val="auto"/>
              </w:rPr>
            </w:pPr>
            <w:r>
              <w:rPr>
                <w:rFonts w:ascii="Times New Roman" w:cs="Times New Roman" w:eastAsia="Times New Roman" w:hAnsi="Times New Roman"/>
                <w:sz w:val="14"/>
                <w:szCs w:val="14"/>
                <w:color w:val="auto"/>
              </w:rPr>
              <w:t>Net loss available to common stockholders</w:t>
            </w:r>
          </w:p>
        </w:tc>
        <w:tc>
          <w:tcPr>
            <w:tcW w:w="56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(24,621)</w:t>
            </w:r>
          </w:p>
        </w:tc>
        <w:tc>
          <w:tcPr>
            <w:tcW w:w="180" w:type="dxa"/>
            <w:vAlign w:val="bottom"/>
          </w:tcPr>
          <w:p>
            <w:pPr>
              <w:spacing w:after="0"/>
              <w:rPr>
                <w:sz w:val="12"/>
                <w:szCs w:val="12"/>
                <w:color w:val="auto"/>
              </w:rPr>
            </w:pPr>
          </w:p>
        </w:tc>
        <w:tc>
          <w:tcPr>
            <w:tcW w:w="800" w:type="dxa"/>
            <w:vAlign w:val="bottom"/>
            <w:gridSpan w:val="2"/>
          </w:tcPr>
          <w:p>
            <w:pPr>
              <w:jc w:val="center"/>
              <w:ind w:right="288"/>
              <w:spacing w:after="0" w:line="142"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(104,521)</w:t>
            </w:r>
          </w:p>
        </w:tc>
        <w:tc>
          <w:tcPr>
            <w:tcW w:w="180" w:type="dxa"/>
            <w:vAlign w:val="bottom"/>
          </w:tcPr>
          <w:p>
            <w:pPr>
              <w:spacing w:after="0"/>
              <w:rPr>
                <w:sz w:val="12"/>
                <w:szCs w:val="12"/>
                <w:color w:val="auto"/>
              </w:rPr>
            </w:pPr>
          </w:p>
        </w:tc>
        <w:tc>
          <w:tcPr>
            <w:tcW w:w="800" w:type="dxa"/>
            <w:vAlign w:val="bottom"/>
            <w:gridSpan w:val="2"/>
          </w:tcPr>
          <w:p>
            <w:pPr>
              <w:ind w:left="160"/>
              <w:spacing w:after="0" w:line="142" w:lineRule="exact"/>
              <w:rPr>
                <w:sz w:val="20"/>
                <w:szCs w:val="20"/>
                <w:color w:val="auto"/>
              </w:rPr>
            </w:pPr>
            <w:r>
              <w:rPr>
                <w:rFonts w:ascii="Times New Roman" w:cs="Times New Roman" w:eastAsia="Times New Roman" w:hAnsi="Times New Roman"/>
                <w:sz w:val="14"/>
                <w:szCs w:val="14"/>
                <w:color w:val="auto"/>
              </w:rPr>
              <w:t>(A)</w:t>
            </w:r>
          </w:p>
        </w:tc>
      </w:tr>
      <w:tr>
        <w:trPr>
          <w:trHeight w:val="20"/>
        </w:trPr>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88"/>
        </w:trPr>
        <w:tc>
          <w:tcPr>
            <w:tcW w:w="40" w:type="dxa"/>
            <w:vAlign w:val="bottom"/>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2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r>
    </w:tbl>
    <w:p>
      <w:pPr>
        <w:spacing w:after="0" w:line="76" w:lineRule="exact"/>
        <w:rPr>
          <w:sz w:val="20"/>
          <w:szCs w:val="20"/>
          <w:color w:val="auto"/>
        </w:rPr>
      </w:pPr>
    </w:p>
    <w:p>
      <w:pPr>
        <w:jc w:val="center"/>
        <w:ind w:left="4420" w:right="739" w:hanging="4370"/>
        <w:spacing w:after="0" w:line="783" w:lineRule="auto"/>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have not been shown as a percentage of revenue because they have no relationship to revenue.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45720</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Summary Financial Results</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Results of Operations</w:t>
      </w:r>
    </w:p>
    <w:p>
      <w:pPr>
        <w:spacing w:after="0" w:line="187"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financial results for the three months ended March 31, 2022 and 2021 (in thousands, except percentages and per share data):</w:t>
      </w:r>
    </w:p>
    <w:p>
      <w:pPr>
        <w:spacing w:after="0" w:line="11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940" w:type="dxa"/>
            <w:vAlign w:val="bottom"/>
            <w:gridSpan w:val="4"/>
          </w:tcPr>
          <w:p>
            <w:pPr>
              <w:jc w:val="center"/>
              <w:ind w:left="45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260" w:type="dxa"/>
            <w:vAlign w:val="bottom"/>
          </w:tcPr>
          <w:p>
            <w:pPr>
              <w:spacing w:after="0"/>
              <w:rPr>
                <w:sz w:val="10"/>
                <w:szCs w:val="10"/>
                <w:color w:val="auto"/>
              </w:rPr>
            </w:pPr>
          </w:p>
        </w:tc>
        <w:tc>
          <w:tcPr>
            <w:tcW w:w="1620" w:type="dxa"/>
            <w:vAlign w:val="bottom"/>
            <w:gridSpan w:val="2"/>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0" w:type="dxa"/>
            <w:vAlign w:val="bottom"/>
            <w:gridSpan w:val="2"/>
            <w:vMerge w:val="restart"/>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0"/>
                <w:szCs w:val="10"/>
                <w:color w:val="auto"/>
              </w:rPr>
            </w:pPr>
          </w:p>
        </w:tc>
        <w:tc>
          <w:tcPr>
            <w:tcW w:w="520" w:type="dxa"/>
            <w:vAlign w:val="bottom"/>
          </w:tcPr>
          <w:p>
            <w:pPr>
              <w:jc w:val="right"/>
              <w:ind w:right="95"/>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26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8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$ 299,135</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84,175</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291,261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163,732</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7,874</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(79,557)</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3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(24,797)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(117,121)</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available to common stockholders</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(24,621)</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(104,521)</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3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Net loss available to common stockholders per share - diluted</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Total Revenues</w:t>
      </w:r>
    </w:p>
    <w:p>
      <w:pPr>
        <w:spacing w:after="0" w:line="200"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The increase in our total revenues for the three months ended March 31, 2022, as compared to the same period in 2021, is attributable to increases in our Hospitality segment and Entertainment segment of $191.3 million and $23.7 million, respectively.</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Total Operating Expenses</w:t>
      </w:r>
    </w:p>
    <w:p>
      <w:pPr>
        <w:spacing w:after="0" w:line="187"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The increase in our total operating expenses for the three months ended March 31, 2022, as compared to the same period in 2021, is primarily the result of increases in our Hospitality segment and Entertainment segment of $109.1 million and $13.0 million, respectively.</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187"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Our net loss of $24.8 million for the three months ended March 31, 2022, as compared to a net loss of $117.1 million for the same period in 2021, was primarily due to the changes in our revenues and operating expenses reflected above, and the following factors, each as described more fully below:</w:t>
      </w:r>
    </w:p>
    <w:p>
      <w:pPr>
        <w:spacing w:after="0" w:line="135" w:lineRule="exact"/>
        <w:rPr>
          <w:sz w:val="20"/>
          <w:szCs w:val="20"/>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$4.0 million decrease in provision for income taxes in the 2022 period.</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$2.9 million loss on extinguishment of debt in the 2021 period that did not occur in the 2022 period.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Results – Detailed Segment Financial Information</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Hospitality Segment</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Total Segment Results. </w:t>
      </w:r>
      <w:r>
        <w:rPr>
          <w:rFonts w:ascii="Times New Roman" w:cs="Times New Roman" w:eastAsia="Times New Roman" w:hAnsi="Times New Roman"/>
          <w:sz w:val="18"/>
          <w:szCs w:val="18"/>
          <w:color w:val="auto"/>
        </w:rPr>
        <w:t>The following presents the financial results of our Hospitality segment for the three months ended</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31, 2022 and 2021 (in thousands, except percentages and performance metrics):</w:t>
      </w:r>
    </w:p>
    <w:p>
      <w:pPr>
        <w:spacing w:after="0" w:line="16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6"/>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50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0"/>
                <w:szCs w:val="10"/>
                <w:color w:val="auto"/>
              </w:rPr>
            </w:pPr>
          </w:p>
        </w:tc>
        <w:tc>
          <w:tcPr>
            <w:tcW w:w="500" w:type="dxa"/>
            <w:vAlign w:val="bottom"/>
          </w:tcPr>
          <w:p>
            <w:pPr>
              <w:jc w:val="right"/>
              <w:ind w:right="108"/>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6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Revenues:</w:t>
            </w:r>
          </w:p>
        </w:tc>
        <w:tc>
          <w:tcPr>
            <w:tcW w:w="17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Rooms</w:t>
            </w:r>
          </w:p>
        </w:tc>
        <w:tc>
          <w:tcPr>
            <w:tcW w:w="188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101,593</w:t>
            </w:r>
          </w:p>
        </w:tc>
        <w:tc>
          <w:tcPr>
            <w:tcW w:w="120" w:type="dxa"/>
            <w:vAlign w:val="bottom"/>
          </w:tcPr>
          <w:p>
            <w:pPr>
              <w:spacing w:after="0"/>
              <w:rPr>
                <w:sz w:val="12"/>
                <w:szCs w:val="12"/>
                <w:color w:val="auto"/>
              </w:rPr>
            </w:pPr>
          </w:p>
        </w:tc>
        <w:tc>
          <w:tcPr>
            <w:tcW w:w="22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28,228</w:t>
            </w:r>
          </w:p>
        </w:tc>
        <w:tc>
          <w:tcPr>
            <w:tcW w:w="2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259.9 %</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Food and beverage</w:t>
            </w:r>
          </w:p>
        </w:tc>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112,116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18,175</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516.9 %</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60" w:type="dxa"/>
            <w:vAlign w:val="bottom"/>
            <w:tcBorders>
              <w:bottom w:val="single" w:sz="8" w:color="CCEEFF"/>
            </w:tcBorders>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hotel revenue</w:t>
            </w:r>
          </w:p>
        </w:tc>
        <w:tc>
          <w:tcPr>
            <w:tcW w:w="17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47,402</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23,399</w:t>
            </w:r>
          </w:p>
        </w:tc>
        <w:tc>
          <w:tcPr>
            <w:tcW w:w="20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102.6 %</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60" w:type="dxa"/>
            <w:vAlign w:val="bottom"/>
            <w:gridSpan w:val="2"/>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hospitality revenue</w:t>
            </w:r>
          </w:p>
        </w:tc>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261,111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69,802</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2" w:lineRule="exact"/>
              <w:rPr>
                <w:sz w:val="20"/>
                <w:szCs w:val="20"/>
                <w:color w:val="auto"/>
              </w:rPr>
            </w:pPr>
            <w:r>
              <w:rPr>
                <w:rFonts w:ascii="Times New Roman" w:cs="Times New Roman" w:eastAsia="Times New Roman" w:hAnsi="Times New Roman"/>
                <w:sz w:val="14"/>
                <w:szCs w:val="14"/>
                <w:color w:val="auto"/>
              </w:rPr>
              <w:t>274.1 %</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Hospitality operating expenses:</w:t>
            </w: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Rooms</w:t>
            </w:r>
          </w:p>
        </w:tc>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30,136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9,477</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218.0 %</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Food and beverage</w:t>
            </w: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71,329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19,329</w:t>
            </w:r>
          </w:p>
        </w:tc>
        <w:tc>
          <w:tcPr>
            <w:tcW w:w="2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269.0 %</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hotel expenses</w:t>
            </w:r>
          </w:p>
        </w:tc>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86,643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54,557</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58.8 %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Management fees, net</w:t>
            </w: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5,064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753</w:t>
            </w:r>
          </w:p>
        </w:tc>
        <w:tc>
          <w:tcPr>
            <w:tcW w:w="2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572.5 %</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7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52,271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49,148</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6.4 %</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60" w:type="dxa"/>
            <w:vAlign w:val="bottom"/>
            <w:tcBorders>
              <w:bottom w:val="single" w:sz="8" w:color="CCEEFF"/>
            </w:tcBorders>
            <w:gridSpan w:val="2"/>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Hospitality operating expenses</w:t>
            </w:r>
          </w:p>
        </w:tc>
        <w:tc>
          <w:tcPr>
            <w:tcW w:w="17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245,443</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133,264</w:t>
            </w:r>
          </w:p>
        </w:tc>
        <w:tc>
          <w:tcPr>
            <w:tcW w:w="20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color w:val="auto"/>
              </w:rPr>
              <w:t>84.2 %</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60" w:type="dxa"/>
            <w:vAlign w:val="bottom"/>
            <w:tcBorders>
              <w:bottom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Hospitality operating income (loss) (1)</w:t>
            </w:r>
          </w:p>
        </w:tc>
        <w:tc>
          <w:tcPr>
            <w:tcW w:w="17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15,668</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(63,462)</w:t>
            </w:r>
          </w:p>
        </w:tc>
        <w:tc>
          <w:tcPr>
            <w:tcW w:w="2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260"/>
              <w:spacing w:after="0" w:line="142" w:lineRule="exact"/>
              <w:rPr>
                <w:sz w:val="20"/>
                <w:szCs w:val="20"/>
                <w:color w:val="auto"/>
              </w:rPr>
            </w:pPr>
            <w:r>
              <w:rPr>
                <w:rFonts w:ascii="Times New Roman" w:cs="Times New Roman" w:eastAsia="Times New Roman" w:hAnsi="Times New Roman"/>
                <w:sz w:val="14"/>
                <w:szCs w:val="14"/>
                <w:color w:val="auto"/>
              </w:rPr>
              <w:t>124.7 %</w:t>
            </w:r>
          </w:p>
        </w:tc>
        <w:tc>
          <w:tcPr>
            <w:tcW w:w="0" w:type="dxa"/>
            <w:vAlign w:val="bottom"/>
          </w:tcPr>
          <w:p>
            <w:pPr>
              <w:spacing w:after="0"/>
              <w:rPr>
                <w:sz w:val="1"/>
                <w:szCs w:val="1"/>
                <w:color w:val="auto"/>
              </w:rPr>
            </w:pPr>
          </w:p>
        </w:tc>
      </w:tr>
      <w:tr>
        <w:trPr>
          <w:trHeight w:val="20"/>
        </w:trPr>
        <w:tc>
          <w:tcPr>
            <w:tcW w:w="44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Hospitality performance metrics (2):</w:t>
            </w:r>
          </w:p>
        </w:tc>
        <w:tc>
          <w:tcPr>
            <w:tcW w:w="1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80" w:type="dxa"/>
            <w:vAlign w:val="bottom"/>
            <w:gridSpan w:val="3"/>
            <w:vMerge w:val="continue"/>
          </w:tcPr>
          <w:p>
            <w:pPr>
              <w:spacing w:after="0"/>
              <w:rPr>
                <w:sz w:val="11"/>
                <w:szCs w:val="11"/>
                <w:color w:val="auto"/>
              </w:rPr>
            </w:pPr>
          </w:p>
        </w:tc>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Occupancy</w:t>
            </w:r>
          </w:p>
        </w:tc>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47.3 %</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16.4 %</w:t>
            </w: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30.9 pts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ADR</w:t>
            </w:r>
          </w:p>
        </w:tc>
        <w:tc>
          <w:tcPr>
            <w:tcW w:w="188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229.17</w:t>
            </w:r>
          </w:p>
        </w:tc>
        <w:tc>
          <w:tcPr>
            <w:tcW w:w="120" w:type="dxa"/>
            <w:vAlign w:val="bottom"/>
          </w:tcPr>
          <w:p>
            <w:pPr>
              <w:spacing w:after="0"/>
              <w:rPr>
                <w:sz w:val="12"/>
                <w:szCs w:val="12"/>
                <w:color w:val="auto"/>
              </w:rPr>
            </w:pPr>
          </w:p>
        </w:tc>
        <w:tc>
          <w:tcPr>
            <w:tcW w:w="22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189.42</w:t>
            </w:r>
          </w:p>
        </w:tc>
        <w:tc>
          <w:tcPr>
            <w:tcW w:w="2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21.0 %</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RevPAR (3)</w:t>
            </w:r>
          </w:p>
        </w:tc>
        <w:tc>
          <w:tcPr>
            <w:tcW w:w="1880" w:type="dxa"/>
            <w:vAlign w:val="bottom"/>
            <w:gridSpan w:val="2"/>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108.41</w:t>
            </w:r>
          </w:p>
        </w:tc>
        <w:tc>
          <w:tcPr>
            <w:tcW w:w="1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31.02</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249.5 %</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Total RevPAR (4)</w:t>
            </w:r>
          </w:p>
        </w:tc>
        <w:tc>
          <w:tcPr>
            <w:tcW w:w="188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278.64</w:t>
            </w:r>
          </w:p>
        </w:tc>
        <w:tc>
          <w:tcPr>
            <w:tcW w:w="120" w:type="dxa"/>
            <w:vAlign w:val="bottom"/>
          </w:tcPr>
          <w:p>
            <w:pPr>
              <w:spacing w:after="0"/>
              <w:rPr>
                <w:sz w:val="12"/>
                <w:szCs w:val="12"/>
                <w:color w:val="auto"/>
              </w:rPr>
            </w:pPr>
          </w:p>
        </w:tc>
        <w:tc>
          <w:tcPr>
            <w:tcW w:w="22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76.71</w:t>
            </w:r>
          </w:p>
        </w:tc>
        <w:tc>
          <w:tcPr>
            <w:tcW w:w="2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263.2 %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Definite Group Room Nights Booked (5)</w:t>
            </w:r>
          </w:p>
        </w:tc>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165,668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(33,709)</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591.5 %</w:t>
            </w: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22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80" w:right="139" w:hanging="330"/>
        <w:spacing w:after="0" w:line="266"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Hospitality segment operating loss does not include preopening costs of $0.4 million in the three months ended March 31, 2021. Hospitality segment operating loss also does not include gain on sale of assets of $0.3 million in the three months ended March 31, 2021. See discussion of these items below.</w:t>
      </w:r>
    </w:p>
    <w:p>
      <w:pPr>
        <w:spacing w:after="0" w:line="148" w:lineRule="exact"/>
        <w:rPr>
          <w:rFonts w:ascii="Times New Roman" w:cs="Times New Roman" w:eastAsia="Times New Roman" w:hAnsi="Times New Roman"/>
          <w:sz w:val="18"/>
          <w:szCs w:val="18"/>
          <w:color w:val="auto"/>
        </w:rPr>
      </w:pPr>
    </w:p>
    <w:p>
      <w:pPr>
        <w:ind w:left="380" w:right="239" w:hanging="330"/>
        <w:spacing w:after="0" w:line="282"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Hospitality segment metrics for 2022 include the addition of 302 additional guest rooms at Gaylord Palms beginning in June 2021.</w:t>
      </w:r>
    </w:p>
    <w:p>
      <w:pPr>
        <w:spacing w:after="0" w:line="121" w:lineRule="exact"/>
        <w:rPr>
          <w:rFonts w:ascii="Times New Roman" w:cs="Times New Roman" w:eastAsia="Times New Roman" w:hAnsi="Times New Roman"/>
          <w:sz w:val="18"/>
          <w:szCs w:val="18"/>
          <w:color w:val="auto"/>
        </w:rPr>
      </w:pPr>
    </w:p>
    <w:p>
      <w:pPr>
        <w:ind w:left="380" w:right="99" w:hanging="330"/>
        <w:spacing w:after="0" w:line="266"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calculate Hospitality RevPAR by dividing room revenue by room nights available to guests for the period. Room nights available to guests include nights the hotels are closed. Hospitality RevPAR is not comparable to similarly titled measures such as revenues.</w:t>
      </w:r>
    </w:p>
    <w:p>
      <w:pPr>
        <w:spacing w:after="0" w:line="135" w:lineRule="exact"/>
        <w:rPr>
          <w:rFonts w:ascii="Times New Roman" w:cs="Times New Roman" w:eastAsia="Times New Roman" w:hAnsi="Times New Roman"/>
          <w:sz w:val="18"/>
          <w:szCs w:val="18"/>
          <w:color w:val="auto"/>
        </w:rPr>
      </w:pPr>
    </w:p>
    <w:p>
      <w:pPr>
        <w:ind w:left="380" w:right="159" w:hanging="330"/>
        <w:spacing w:after="0" w:line="261"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calculate Hospitality Total RevPAR by dividing the sum of room, food and beverage, and other ancillary services revenue (which equals Hospitality segment revenue) by room nights available to guests for the period. Room nights available to guests include nights the hotels are closed. Hospitality Total RevPAR is not comparable to similarly titled measures such as revenues.</w:t>
      </w:r>
    </w:p>
    <w:p>
      <w:pPr>
        <w:spacing w:after="0" w:line="152" w:lineRule="exact"/>
        <w:rPr>
          <w:rFonts w:ascii="Times New Roman" w:cs="Times New Roman" w:eastAsia="Times New Roman" w:hAnsi="Times New Roman"/>
          <w:sz w:val="18"/>
          <w:szCs w:val="18"/>
          <w:color w:val="auto"/>
        </w:rPr>
      </w:pPr>
    </w:p>
    <w:p>
      <w:pPr>
        <w:ind w:left="380" w:right="219" w:hanging="330"/>
        <w:spacing w:after="0" w:line="282"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definite group room nights booked includes approximately 178,000 and 321,000 group room cancellations in the three months ended March 31, 2022 and 2021, respectively.</w:t>
      </w:r>
    </w:p>
    <w:p>
      <w:pPr>
        <w:spacing w:after="0" w:line="121"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Total Hospitality segment revenues in the three months ended March 31, 2022 include $19.6 million in attrition and cancellation fee revenue, an increase of $9.4 million from the 2021 period. Since the beginning of 2020, we have recorded $100.9 million in attrition and cancellation fee revenue.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39"/>
        <w:spacing w:after="0" w:line="282" w:lineRule="auto"/>
        <w:rPr>
          <w:sz w:val="20"/>
          <w:szCs w:val="20"/>
          <w:color w:val="auto"/>
        </w:rPr>
      </w:pPr>
      <w:r>
        <w:rPr>
          <w:rFonts w:ascii="Times New Roman" w:cs="Times New Roman" w:eastAsia="Times New Roman" w:hAnsi="Times New Roman"/>
          <w:sz w:val="18"/>
          <w:szCs w:val="18"/>
          <w:color w:val="auto"/>
        </w:rPr>
        <w:t>The percentage of group versus transient business based on rooms sold for our Hospitality segment for the periods presented was approximately as follows:</w:t>
      </w:r>
    </w:p>
    <w:p>
      <w:pPr>
        <w:spacing w:after="0" w:line="142"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672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9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40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bottom w:val="single" w:sz="8" w:color="CCEEFF"/>
            </w:tcBorders>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Group</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r>
      <w:tr>
        <w:trPr>
          <w:trHeight w:val="234"/>
        </w:trPr>
        <w:tc>
          <w:tcPr>
            <w:tcW w:w="2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Transient</w:t>
            </w:r>
          </w:p>
        </w:tc>
        <w:tc>
          <w:tcPr>
            <w:tcW w:w="8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34 %</w:t>
            </w:r>
          </w:p>
        </w:tc>
        <w:tc>
          <w:tcPr>
            <w:tcW w:w="8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82 %</w:t>
            </w:r>
          </w:p>
        </w:tc>
      </w:tr>
    </w:tbl>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hotel expenses for the three months ended March 31, 2022 and 2021 consist of the following (in thousands):</w:t>
      </w:r>
    </w:p>
    <w:p>
      <w:pPr>
        <w:spacing w:after="0" w:line="17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8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8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4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0"/>
                <w:szCs w:val="10"/>
                <w:color w:val="auto"/>
              </w:rPr>
            </w:pPr>
          </w:p>
        </w:tc>
        <w:tc>
          <w:tcPr>
            <w:tcW w:w="540" w:type="dxa"/>
            <w:vAlign w:val="bottom"/>
          </w:tcPr>
          <w:p>
            <w:pPr>
              <w:jc w:val="right"/>
              <w:ind w:right="116"/>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5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employment costs</w:t>
            </w: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33,212</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17,622</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400" w:type="dxa"/>
            <w:vAlign w:val="bottom"/>
            <w:tcBorders>
              <w:top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Utilities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5,609</w:t>
            </w:r>
          </w:p>
        </w:tc>
        <w:tc>
          <w:tcPr>
            <w:tcW w:w="220" w:type="dxa"/>
            <w:vAlign w:val="bottom"/>
          </w:tcPr>
          <w:p>
            <w:pPr>
              <w:spacing w:after="0"/>
              <w:rPr>
                <w:sz w:val="18"/>
                <w:szCs w:val="18"/>
                <w:color w:val="auto"/>
              </w:rPr>
            </w:pPr>
          </w:p>
        </w:tc>
        <w:tc>
          <w:tcPr>
            <w:tcW w:w="9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34.6 %</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taxes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9,399</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0.8 %</w:t>
            </w:r>
          </w:p>
        </w:tc>
        <w:tc>
          <w:tcPr>
            <w:tcW w:w="0" w:type="dxa"/>
            <w:vAlign w:val="bottom"/>
          </w:tcPr>
          <w:p>
            <w:pPr>
              <w:spacing w:after="0"/>
              <w:rPr>
                <w:sz w:val="1"/>
                <w:szCs w:val="1"/>
                <w:color w:val="auto"/>
              </w:rPr>
            </w:pPr>
          </w:p>
        </w:tc>
      </w:tr>
      <w:tr>
        <w:trPr>
          <w:trHeight w:val="216"/>
        </w:trPr>
        <w:tc>
          <w:tcPr>
            <w:tcW w:w="5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36,413</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21,927</w:t>
            </w:r>
          </w:p>
        </w:tc>
        <w:tc>
          <w:tcPr>
            <w:tcW w:w="22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66.1 %</w:t>
            </w:r>
          </w:p>
        </w:tc>
        <w:tc>
          <w:tcPr>
            <w:tcW w:w="0" w:type="dxa"/>
            <w:vAlign w:val="bottom"/>
          </w:tcPr>
          <w:p>
            <w:pPr>
              <w:spacing w:after="0"/>
              <w:rPr>
                <w:sz w:val="1"/>
                <w:szCs w:val="1"/>
                <w:color w:val="auto"/>
              </w:rPr>
            </w:pPr>
          </w:p>
        </w:tc>
      </w:tr>
      <w:tr>
        <w:trPr>
          <w:trHeight w:val="210"/>
        </w:trPr>
        <w:tc>
          <w:tcPr>
            <w:tcW w:w="5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hotel expenses</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86,643</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54,557</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58.8 %</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Administrative employment costs include salaries and benefits for hotel administrative functions, including, among others, senior management, accounting, human resources, sales, conference services, engineering and security. Administrative employment costs increased during the three months ended March 31, 2022, as compared to the same period in 2021, primarily due to an increase at Gaylord National, which reopened on July 1, 2021, as well as increases at each of our other Gaylord Hotels properties associated with increased business levels. Utility costs increased during the three months ended March 31, 2022, as compared to the same period in 2021, primarily due to an increase at Gaylord National, which reopened on July 1, 2021, as well as slight increases at our other Gaylord Hotels properties associated with increased usage. Property taxes increased slightly during the three months ended March 31, 2022, as compared to the 2021 period. Other expenses, which include supplies, advertising, maintenance costs and consulting costs, increased during the three months ended March 31, 2022, as compared to the same period in 2021, primarily as a result of various increases at each of our Gaylord Hotels properties.</w:t>
      </w:r>
    </w:p>
    <w:p>
      <w:pPr>
        <w:spacing w:after="0" w:line="151"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Each of our management agreements with Marriott for our Gaylord Hotels properties, excluding Gaylord Rockies, requires us to pay Marriott a base management fee of approximately 2% of gross revenues from the applicable property for each fiscal year or portion thereof. Additionally, an incentive management fee is based on the profitability of our Gaylord Hotels properties, excluding Gaylord Rockies, calculated on a pooled basis. The Gaylord Rockies’s management agreement with Marriott requires Gaylord Rockies to pay a base management fee of 3% of gross revenues for each fiscal year or portion thereof, as well as an incentive management fee based on the profitability of the hotel. In the three months ended March 31, 2022 and 2021, we incurred $5.6 million and $1.5 million, respectively, related to base management fees for our Hospitality segment and $0.2 million and $0 related to incentive management fees for our Hospitality segment. Management fees are presented throughout this Quarterly Report on Form 10-Q net of the amortization of the deferred management rights proceeds discussed in Note 8, “Deferred Management Rights Proceeds,” to the accompanying condensed consolidated financial statements included herein.</w:t>
      </w:r>
    </w:p>
    <w:p>
      <w:pPr>
        <w:spacing w:after="0" w:line="165" w:lineRule="exact"/>
        <w:rPr>
          <w:sz w:val="20"/>
          <w:szCs w:val="20"/>
          <w:color w:val="auto"/>
        </w:rPr>
      </w:pPr>
    </w:p>
    <w:p>
      <w:pPr>
        <w:jc w:val="both"/>
        <w:ind w:left="60" w:right="179"/>
        <w:spacing w:after="0" w:line="266" w:lineRule="auto"/>
        <w:rPr>
          <w:sz w:val="20"/>
          <w:szCs w:val="20"/>
          <w:color w:val="auto"/>
        </w:rPr>
      </w:pPr>
      <w:r>
        <w:rPr>
          <w:rFonts w:ascii="Times New Roman" w:cs="Times New Roman" w:eastAsia="Times New Roman" w:hAnsi="Times New Roman"/>
          <w:sz w:val="18"/>
          <w:szCs w:val="18"/>
          <w:color w:val="auto"/>
        </w:rPr>
        <w:t>Total Hospitality segment depreciation and amortization expense increased in the three months ended March 31, 2022, as compared to the same period in 2021, primarily as a result of the expansion of Gaylord Palms and the rooms renovation at Gaylord National and the associated increase in depreciable asset levels.</w:t>
      </w:r>
    </w:p>
    <w:p>
      <w:pPr>
        <w:spacing w:after="0" w:line="133"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Property-Level Results. </w:t>
      </w:r>
      <w:r>
        <w:rPr>
          <w:rFonts w:ascii="Times New Roman" w:cs="Times New Roman" w:eastAsia="Times New Roman" w:hAnsi="Times New Roman"/>
          <w:sz w:val="18"/>
          <w:szCs w:val="18"/>
          <w:color w:val="auto"/>
        </w:rPr>
        <w:t>The following presents the property-level financial results of our Hospitality segment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March 31, 2022 and 2021. The Gaylord Hotels properties experienced higher levels of attrition and cancellations and lower occupancy levels, which are directly related to the COVID-19 pandemic, in the three months ended March 31, 2022 and 2021. Therefore, the property-level financial results for the three months ended March 31, 2022 and 2021 are not comparable to historical periods. Total revenue at each of our Gaylord Hotels properties was lower than that of historical periods for the three months ended March 31, 2022 and 2021 due to the COVID-19 pandemic. Operating costs at each of our Gaylord Hotels properties were lower for the three months ended March 31,</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99"/>
        <w:spacing w:after="0" w:line="282" w:lineRule="auto"/>
        <w:rPr>
          <w:sz w:val="20"/>
          <w:szCs w:val="20"/>
          <w:color w:val="auto"/>
        </w:rPr>
      </w:pPr>
      <w:r>
        <w:rPr>
          <w:rFonts w:ascii="Times New Roman" w:cs="Times New Roman" w:eastAsia="Times New Roman" w:hAnsi="Times New Roman"/>
          <w:sz w:val="18"/>
          <w:szCs w:val="18"/>
          <w:color w:val="auto"/>
        </w:rPr>
        <w:t>2022 and 2021 as a result of cost containment initiatives and lower variable costs due to lower occupancies due to the COVID-19 pandemic.</w:t>
      </w:r>
    </w:p>
    <w:p>
      <w:pPr>
        <w:spacing w:after="0" w:line="160" w:lineRule="exact"/>
        <w:rPr>
          <w:sz w:val="20"/>
          <w:szCs w:val="20"/>
          <w:color w:val="auto"/>
        </w:rPr>
      </w:pPr>
    </w:p>
    <w:p>
      <w:pPr>
        <w:ind w:left="60" w:right="29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Gaylord Opryland Results. </w:t>
      </w:r>
      <w:r>
        <w:rPr>
          <w:rFonts w:ascii="Times New Roman" w:cs="Times New Roman" w:eastAsia="Times New Roman" w:hAnsi="Times New Roman"/>
          <w:sz w:val="18"/>
          <w:szCs w:val="18"/>
          <w:color w:val="auto"/>
        </w:rPr>
        <w:t>The results of Gaylord Opryland for the three months ended March 31, 2022 and 2021 are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follows (in thousands, except percentages and performance metrics):</w:t>
      </w:r>
    </w:p>
    <w:p>
      <w:pPr>
        <w:spacing w:after="0" w:line="12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20" w:type="dxa"/>
            <w:vAlign w:val="bottom"/>
            <w:gridSpan w:val="6"/>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24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6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24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0"/>
                <w:szCs w:val="10"/>
                <w:color w:val="auto"/>
              </w:rPr>
            </w:pPr>
          </w:p>
        </w:tc>
        <w:tc>
          <w:tcPr>
            <w:tcW w:w="560" w:type="dxa"/>
            <w:vAlign w:val="bottom"/>
          </w:tcPr>
          <w:p>
            <w:pPr>
              <w:ind w:left="22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24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58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Rooms</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30,406</w:t>
            </w:r>
          </w:p>
        </w:tc>
        <w:tc>
          <w:tcPr>
            <w:tcW w:w="140" w:type="dxa"/>
            <w:vAlign w:val="bottom"/>
          </w:tcPr>
          <w:p>
            <w:pPr>
              <w:spacing w:after="0"/>
              <w:rPr>
                <w:sz w:val="17"/>
                <w:szCs w:val="17"/>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9,974</w:t>
            </w:r>
          </w:p>
        </w:tc>
        <w:tc>
          <w:tcPr>
            <w:tcW w:w="22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204.9 %</w:t>
            </w:r>
          </w:p>
        </w:tc>
        <w:tc>
          <w:tcPr>
            <w:tcW w:w="0" w:type="dxa"/>
            <w:vAlign w:val="bottom"/>
          </w:tcPr>
          <w:p>
            <w:pPr>
              <w:spacing w:after="0"/>
              <w:rPr>
                <w:sz w:val="1"/>
                <w:szCs w:val="1"/>
                <w:color w:val="auto"/>
              </w:rPr>
            </w:pPr>
          </w:p>
        </w:tc>
      </w:tr>
      <w:tr>
        <w:trPr>
          <w:trHeight w:val="203"/>
        </w:trPr>
        <w:tc>
          <w:tcPr>
            <w:tcW w:w="5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Food and beverage</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27,039</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5,387</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401.9 %</w:t>
            </w:r>
          </w:p>
        </w:tc>
        <w:tc>
          <w:tcPr>
            <w:tcW w:w="0" w:type="dxa"/>
            <w:vAlign w:val="bottom"/>
          </w:tcPr>
          <w:p>
            <w:pPr>
              <w:spacing w:after="0"/>
              <w:rPr>
                <w:sz w:val="1"/>
                <w:szCs w:val="1"/>
                <w:color w:val="auto"/>
              </w:rPr>
            </w:pPr>
          </w:p>
        </w:tc>
      </w:tr>
      <w:tr>
        <w:trPr>
          <w:trHeight w:val="203"/>
        </w:trPr>
        <w:tc>
          <w:tcPr>
            <w:tcW w:w="58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Other hotel revenue</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16,074</w:t>
            </w:r>
          </w:p>
        </w:tc>
        <w:tc>
          <w:tcPr>
            <w:tcW w:w="1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6,398</w:t>
            </w:r>
          </w:p>
        </w:tc>
        <w:tc>
          <w:tcPr>
            <w:tcW w:w="22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151.2 %</w:t>
            </w:r>
          </w:p>
        </w:tc>
        <w:tc>
          <w:tcPr>
            <w:tcW w:w="0" w:type="dxa"/>
            <w:vAlign w:val="bottom"/>
          </w:tcPr>
          <w:p>
            <w:pPr>
              <w:spacing w:after="0"/>
              <w:rPr>
                <w:sz w:val="1"/>
                <w:szCs w:val="1"/>
                <w:color w:val="auto"/>
              </w:rPr>
            </w:pPr>
          </w:p>
        </w:tc>
      </w:tr>
      <w:tr>
        <w:trPr>
          <w:trHeight w:val="196"/>
        </w:trPr>
        <w:tc>
          <w:tcPr>
            <w:tcW w:w="5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73,519</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21,759</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237.9 %</w:t>
            </w:r>
          </w:p>
        </w:tc>
        <w:tc>
          <w:tcPr>
            <w:tcW w:w="0" w:type="dxa"/>
            <w:vAlign w:val="bottom"/>
          </w:tcPr>
          <w:p>
            <w:pPr>
              <w:spacing w:after="0"/>
              <w:rPr>
                <w:sz w:val="1"/>
                <w:szCs w:val="1"/>
                <w:color w:val="auto"/>
              </w:rPr>
            </w:pPr>
          </w:p>
        </w:tc>
      </w:tr>
      <w:tr>
        <w:trPr>
          <w:trHeight w:val="203"/>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Rooms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8,242</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3,206</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157.1 %</w:t>
            </w:r>
          </w:p>
        </w:tc>
        <w:tc>
          <w:tcPr>
            <w:tcW w:w="0" w:type="dxa"/>
            <w:vAlign w:val="bottom"/>
          </w:tcPr>
          <w:p>
            <w:pPr>
              <w:spacing w:after="0"/>
              <w:rPr>
                <w:sz w:val="1"/>
                <w:szCs w:val="1"/>
                <w:color w:val="auto"/>
              </w:rPr>
            </w:pPr>
          </w:p>
        </w:tc>
      </w:tr>
      <w:tr>
        <w:trPr>
          <w:trHeight w:val="203"/>
        </w:trPr>
        <w:tc>
          <w:tcPr>
            <w:tcW w:w="58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Food and beverage</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16,913</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5,819</w:t>
            </w:r>
          </w:p>
        </w:tc>
        <w:tc>
          <w:tcPr>
            <w:tcW w:w="22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190.7 %</w:t>
            </w:r>
          </w:p>
        </w:tc>
        <w:tc>
          <w:tcPr>
            <w:tcW w:w="0" w:type="dxa"/>
            <w:vAlign w:val="bottom"/>
          </w:tcPr>
          <w:p>
            <w:pPr>
              <w:spacing w:after="0"/>
              <w:rPr>
                <w:sz w:val="1"/>
                <w:szCs w:val="1"/>
                <w:color w:val="auto"/>
              </w:rPr>
            </w:pPr>
          </w:p>
        </w:tc>
      </w:tr>
      <w:tr>
        <w:trPr>
          <w:trHeight w:val="203"/>
        </w:trPr>
        <w:tc>
          <w:tcPr>
            <w:tcW w:w="5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hotel expenses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22,850</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16,026</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42.6 %</w:t>
            </w:r>
          </w:p>
        </w:tc>
        <w:tc>
          <w:tcPr>
            <w:tcW w:w="0" w:type="dxa"/>
            <w:vAlign w:val="bottom"/>
          </w:tcPr>
          <w:p>
            <w:pPr>
              <w:spacing w:after="0"/>
              <w:rPr>
                <w:sz w:val="1"/>
                <w:szCs w:val="1"/>
                <w:color w:val="auto"/>
              </w:rPr>
            </w:pPr>
          </w:p>
        </w:tc>
      </w:tr>
      <w:tr>
        <w:trPr>
          <w:trHeight w:val="203"/>
        </w:trPr>
        <w:tc>
          <w:tcPr>
            <w:tcW w:w="58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Management fees, net</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1,370</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22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613.5 %</w:t>
            </w:r>
          </w:p>
        </w:tc>
        <w:tc>
          <w:tcPr>
            <w:tcW w:w="0" w:type="dxa"/>
            <w:vAlign w:val="bottom"/>
          </w:tcPr>
          <w:p>
            <w:pPr>
              <w:spacing w:after="0"/>
              <w:rPr>
                <w:sz w:val="1"/>
                <w:szCs w:val="1"/>
                <w:color w:val="auto"/>
              </w:rPr>
            </w:pPr>
          </w:p>
        </w:tc>
      </w:tr>
      <w:tr>
        <w:trPr>
          <w:trHeight w:val="203"/>
        </w:trPr>
        <w:tc>
          <w:tcPr>
            <w:tcW w:w="5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8,589</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8,583</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0.1 %</w:t>
            </w:r>
          </w:p>
        </w:tc>
        <w:tc>
          <w:tcPr>
            <w:tcW w:w="0" w:type="dxa"/>
            <w:vAlign w:val="bottom"/>
          </w:tcPr>
          <w:p>
            <w:pPr>
              <w:spacing w:after="0"/>
              <w:rPr>
                <w:sz w:val="1"/>
                <w:szCs w:val="1"/>
                <w:color w:val="auto"/>
              </w:rPr>
            </w:pPr>
          </w:p>
        </w:tc>
      </w:tr>
      <w:tr>
        <w:trPr>
          <w:trHeight w:val="196"/>
        </w:trPr>
        <w:tc>
          <w:tcPr>
            <w:tcW w:w="58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operating expenses (1)</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57,964</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33,826</w:t>
            </w:r>
          </w:p>
        </w:tc>
        <w:tc>
          <w:tcPr>
            <w:tcW w:w="22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71.4 %</w:t>
            </w:r>
          </w:p>
        </w:tc>
        <w:tc>
          <w:tcPr>
            <w:tcW w:w="0" w:type="dxa"/>
            <w:vAlign w:val="bottom"/>
          </w:tcPr>
          <w:p>
            <w:pPr>
              <w:spacing w:after="0"/>
              <w:rPr>
                <w:sz w:val="1"/>
                <w:szCs w:val="1"/>
                <w:color w:val="auto"/>
              </w:rPr>
            </w:pPr>
          </w:p>
        </w:tc>
      </w:tr>
      <w:tr>
        <w:trPr>
          <w:trHeight w:val="203"/>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Performance metrics: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Occupancy</w:t>
            </w:r>
          </w:p>
        </w:tc>
        <w:tc>
          <w:tcPr>
            <w:tcW w:w="18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48.8 %</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18.3 %</w:t>
            </w: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30.5 pts</w:t>
            </w:r>
          </w:p>
        </w:tc>
        <w:tc>
          <w:tcPr>
            <w:tcW w:w="0" w:type="dxa"/>
            <w:vAlign w:val="bottom"/>
          </w:tcPr>
          <w:p>
            <w:pPr>
              <w:spacing w:after="0"/>
              <w:rPr>
                <w:sz w:val="1"/>
                <w:szCs w:val="1"/>
                <w:color w:val="auto"/>
              </w:rPr>
            </w:pPr>
          </w:p>
        </w:tc>
      </w:tr>
      <w:tr>
        <w:trPr>
          <w:trHeight w:val="203"/>
        </w:trPr>
        <w:tc>
          <w:tcPr>
            <w:tcW w:w="5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ADR</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239.77</w:t>
            </w:r>
          </w:p>
        </w:tc>
        <w:tc>
          <w:tcPr>
            <w:tcW w:w="1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210.04</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14.2 %</w:t>
            </w:r>
          </w:p>
        </w:tc>
        <w:tc>
          <w:tcPr>
            <w:tcW w:w="0" w:type="dxa"/>
            <w:vAlign w:val="bottom"/>
          </w:tcPr>
          <w:p>
            <w:pPr>
              <w:spacing w:after="0"/>
              <w:rPr>
                <w:sz w:val="1"/>
                <w:szCs w:val="1"/>
                <w:color w:val="auto"/>
              </w:rPr>
            </w:pPr>
          </w:p>
        </w:tc>
      </w:tr>
      <w:tr>
        <w:trPr>
          <w:trHeight w:val="203"/>
        </w:trPr>
        <w:tc>
          <w:tcPr>
            <w:tcW w:w="58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RevPAR</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116.98</w:t>
            </w:r>
          </w:p>
        </w:tc>
        <w:tc>
          <w:tcPr>
            <w:tcW w:w="140" w:type="dxa"/>
            <w:vAlign w:val="bottom"/>
          </w:tcPr>
          <w:p>
            <w:pPr>
              <w:spacing w:after="0"/>
              <w:rPr>
                <w:sz w:val="17"/>
                <w:szCs w:val="17"/>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38.37</w:t>
            </w:r>
          </w:p>
        </w:tc>
        <w:tc>
          <w:tcPr>
            <w:tcW w:w="22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204.9 %</w:t>
            </w:r>
          </w:p>
        </w:tc>
        <w:tc>
          <w:tcPr>
            <w:tcW w:w="0" w:type="dxa"/>
            <w:vAlign w:val="bottom"/>
          </w:tcPr>
          <w:p>
            <w:pPr>
              <w:spacing w:after="0"/>
              <w:rPr>
                <w:sz w:val="1"/>
                <w:szCs w:val="1"/>
                <w:color w:val="auto"/>
              </w:rPr>
            </w:pPr>
          </w:p>
        </w:tc>
      </w:tr>
      <w:tr>
        <w:trPr>
          <w:trHeight w:val="203"/>
        </w:trPr>
        <w:tc>
          <w:tcPr>
            <w:tcW w:w="5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RevPAR</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282.85</w:t>
            </w:r>
          </w:p>
        </w:tc>
        <w:tc>
          <w:tcPr>
            <w:tcW w:w="1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83.71</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237.9 %</w:t>
            </w: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3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119" w:hanging="330"/>
        <w:spacing w:after="0" w:line="282"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Gaylord Opryland operating expenses do not include a gain on sale of assets of $0.3 million in the three months ended March 31, 2021.</w:t>
      </w:r>
    </w:p>
    <w:p>
      <w:pPr>
        <w:spacing w:after="0" w:line="160" w:lineRule="exact"/>
        <w:rPr>
          <w:sz w:val="20"/>
          <w:szCs w:val="20"/>
          <w:color w:val="auto"/>
        </w:rPr>
      </w:pPr>
    </w:p>
    <w:p>
      <w:pPr>
        <w:ind w:left="60" w:right="21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Gaylord Palms Results. </w:t>
      </w:r>
      <w:r>
        <w:rPr>
          <w:rFonts w:ascii="Times New Roman" w:cs="Times New Roman" w:eastAsia="Times New Roman" w:hAnsi="Times New Roman"/>
          <w:sz w:val="18"/>
          <w:szCs w:val="18"/>
          <w:color w:val="auto"/>
        </w:rPr>
        <w:t>Gaylord Palms results include 302 expansion rooms beginning in June 2021. The results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Gaylord Palms for the three months ended March 31, 2022 and 2021 are as follows (in thousands, except percentages and performance metrics):</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40" w:type="dxa"/>
            <w:vAlign w:val="bottom"/>
            <w:gridSpan w:val="6"/>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4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0"/>
                <w:szCs w:val="10"/>
                <w:color w:val="auto"/>
              </w:rPr>
            </w:pPr>
          </w:p>
        </w:tc>
        <w:tc>
          <w:tcPr>
            <w:tcW w:w="540" w:type="dxa"/>
            <w:vAlign w:val="bottom"/>
          </w:tcPr>
          <w:p>
            <w:pPr>
              <w:ind w:left="20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36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3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22,012</w:t>
            </w:r>
          </w:p>
        </w:tc>
        <w:tc>
          <w:tcPr>
            <w:tcW w:w="120" w:type="dxa"/>
            <w:vAlign w:val="bottom"/>
          </w:tcPr>
          <w:p>
            <w:pPr>
              <w:spacing w:after="0"/>
              <w:rPr>
                <w:sz w:val="17"/>
                <w:szCs w:val="17"/>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5,946</w:t>
            </w:r>
          </w:p>
        </w:tc>
        <w:tc>
          <w:tcPr>
            <w:tcW w:w="220" w:type="dxa"/>
            <w:vAlign w:val="bottom"/>
          </w:tcPr>
          <w:p>
            <w:pPr>
              <w:spacing w:after="0"/>
              <w:rPr>
                <w:sz w:val="17"/>
                <w:szCs w:val="17"/>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270.2 %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3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27,396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3,718</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636.8 %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Other hotel revenue</w:t>
            </w:r>
          </w:p>
        </w:tc>
        <w:tc>
          <w:tcPr>
            <w:tcW w:w="36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10,440</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5,453</w:t>
            </w:r>
          </w:p>
        </w:tc>
        <w:tc>
          <w:tcPr>
            <w:tcW w:w="22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91.5 %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3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59,848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15,117</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295.9 %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3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3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1,653</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171.7 %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3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14,039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3,574</w:t>
            </w:r>
          </w:p>
        </w:tc>
        <w:tc>
          <w:tcPr>
            <w:tcW w:w="220" w:type="dxa"/>
            <w:vAlign w:val="bottom"/>
          </w:tcPr>
          <w:p>
            <w:pPr>
              <w:spacing w:after="0"/>
              <w:rPr>
                <w:sz w:val="17"/>
                <w:szCs w:val="17"/>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292.8 %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hotel expenses</w:t>
            </w:r>
          </w:p>
        </w:tc>
        <w:tc>
          <w:tcPr>
            <w:tcW w:w="3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18,818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11,216</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67.8 %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Management fees, net</w:t>
            </w:r>
          </w:p>
        </w:tc>
        <w:tc>
          <w:tcPr>
            <w:tcW w:w="3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220" w:type="dxa"/>
            <w:vAlign w:val="bottom"/>
          </w:tcPr>
          <w:p>
            <w:pPr>
              <w:spacing w:after="0"/>
              <w:rPr>
                <w:sz w:val="17"/>
                <w:szCs w:val="17"/>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545.0 %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6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4,124</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34.6 %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operating expenses (1)</w:t>
            </w:r>
          </w:p>
        </w:tc>
        <w:tc>
          <w:tcPr>
            <w:tcW w:w="3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43,990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20,736</w:t>
            </w:r>
          </w:p>
        </w:tc>
        <w:tc>
          <w:tcPr>
            <w:tcW w:w="220" w:type="dxa"/>
            <w:vAlign w:val="bottom"/>
          </w:tcPr>
          <w:p>
            <w:pPr>
              <w:spacing w:after="0"/>
              <w:rPr>
                <w:sz w:val="17"/>
                <w:szCs w:val="17"/>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112.1 %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Performance metrics:</w:t>
            </w:r>
          </w:p>
        </w:tc>
        <w:tc>
          <w:tcPr>
            <w:tcW w:w="3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Occupancy</w:t>
            </w:r>
          </w:p>
        </w:tc>
        <w:tc>
          <w:tcPr>
            <w:tcW w:w="3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55.6 %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24.3 %</w:t>
            </w:r>
          </w:p>
        </w:tc>
        <w:tc>
          <w:tcPr>
            <w:tcW w:w="9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31.3 pts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ADR</w:t>
            </w:r>
          </w:p>
        </w:tc>
        <w:tc>
          <w:tcPr>
            <w:tcW w:w="3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256.19</w:t>
            </w:r>
          </w:p>
        </w:tc>
        <w:tc>
          <w:tcPr>
            <w:tcW w:w="1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191.71</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33.6 %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RevPAR</w:t>
            </w:r>
          </w:p>
        </w:tc>
        <w:tc>
          <w:tcPr>
            <w:tcW w:w="3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142.36</w:t>
            </w:r>
          </w:p>
        </w:tc>
        <w:tc>
          <w:tcPr>
            <w:tcW w:w="120" w:type="dxa"/>
            <w:vAlign w:val="bottom"/>
          </w:tcPr>
          <w:p>
            <w:pPr>
              <w:spacing w:after="0"/>
              <w:rPr>
                <w:sz w:val="17"/>
                <w:szCs w:val="17"/>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46.66</w:t>
            </w:r>
          </w:p>
        </w:tc>
        <w:tc>
          <w:tcPr>
            <w:tcW w:w="220" w:type="dxa"/>
            <w:vAlign w:val="bottom"/>
          </w:tcPr>
          <w:p>
            <w:pPr>
              <w:spacing w:after="0"/>
              <w:rPr>
                <w:sz w:val="17"/>
                <w:szCs w:val="17"/>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205.1 %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RevPAR</w:t>
            </w:r>
          </w:p>
        </w:tc>
        <w:tc>
          <w:tcPr>
            <w:tcW w:w="3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387.07</w:t>
            </w:r>
          </w:p>
        </w:tc>
        <w:tc>
          <w:tcPr>
            <w:tcW w:w="1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118.62</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226.3 %</w:t>
            </w: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3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279" w:hanging="330"/>
        <w:spacing w:after="0" w:line="282"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Gaylord Palms operating expenses do not include preopening costs of $0.4 million in the three months ended March 31, 2021. See discussion of this item below.</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23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Gaylord Texan Results. </w:t>
      </w:r>
      <w:r>
        <w:rPr>
          <w:rFonts w:ascii="Times New Roman" w:cs="Times New Roman" w:eastAsia="Times New Roman" w:hAnsi="Times New Roman"/>
          <w:sz w:val="18"/>
          <w:szCs w:val="18"/>
          <w:color w:val="auto"/>
        </w:rPr>
        <w:t>The results of Gaylord Texan for the three months ended March 31, 2022 and 2021 are as follows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thousands, except percentages and performance metrics):</w:t>
      </w:r>
    </w:p>
    <w:p>
      <w:pPr>
        <w:spacing w:after="0" w:line="12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9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80" w:type="dxa"/>
            <w:vAlign w:val="bottom"/>
            <w:gridSpan w:val="6"/>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9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4"/>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6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9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0"/>
                <w:szCs w:val="10"/>
                <w:color w:val="auto"/>
              </w:rPr>
            </w:pPr>
          </w:p>
        </w:tc>
        <w:tc>
          <w:tcPr>
            <w:tcW w:w="560" w:type="dxa"/>
            <w:vAlign w:val="bottom"/>
          </w:tcPr>
          <w:p>
            <w:pPr>
              <w:ind w:left="20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9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3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19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2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20,908</w:t>
            </w:r>
          </w:p>
        </w:tc>
        <w:tc>
          <w:tcPr>
            <w:tcW w:w="140" w:type="dxa"/>
            <w:vAlign w:val="bottom"/>
          </w:tcPr>
          <w:p>
            <w:pPr>
              <w:spacing w:after="0"/>
              <w:rPr>
                <w:sz w:val="17"/>
                <w:szCs w:val="17"/>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7,018</w:t>
            </w:r>
          </w:p>
        </w:tc>
        <w:tc>
          <w:tcPr>
            <w:tcW w:w="20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197.9 %</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1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26,150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5,109</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411.8 %</w:t>
            </w:r>
          </w:p>
        </w:tc>
        <w:tc>
          <w:tcPr>
            <w:tcW w:w="0" w:type="dxa"/>
            <w:vAlign w:val="bottom"/>
          </w:tcPr>
          <w:p>
            <w:pPr>
              <w:spacing w:after="0"/>
              <w:rPr>
                <w:sz w:val="1"/>
                <w:szCs w:val="1"/>
                <w:color w:val="auto"/>
              </w:rPr>
            </w:pPr>
          </w:p>
        </w:tc>
      </w:tr>
      <w:tr>
        <w:trPr>
          <w:trHeight w:val="203"/>
        </w:trPr>
        <w:tc>
          <w:tcPr>
            <w:tcW w:w="39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Other hotel revenue</w:t>
            </w:r>
          </w:p>
        </w:tc>
        <w:tc>
          <w:tcPr>
            <w:tcW w:w="19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9,578</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6,231</w:t>
            </w:r>
          </w:p>
        </w:tc>
        <w:tc>
          <w:tcPr>
            <w:tcW w:w="20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53.7 %</w:t>
            </w:r>
          </w:p>
        </w:tc>
        <w:tc>
          <w:tcPr>
            <w:tcW w:w="0" w:type="dxa"/>
            <w:vAlign w:val="bottom"/>
          </w:tcPr>
          <w:p>
            <w:pPr>
              <w:spacing w:after="0"/>
              <w:rPr>
                <w:sz w:val="1"/>
                <w:szCs w:val="1"/>
                <w:color w:val="auto"/>
              </w:rPr>
            </w:pPr>
          </w:p>
        </w:tc>
      </w:tr>
      <w:tr>
        <w:trPr>
          <w:trHeight w:val="196"/>
        </w:trPr>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1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56,636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18,358</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208.5 %</w:t>
            </w:r>
          </w:p>
        </w:tc>
        <w:tc>
          <w:tcPr>
            <w:tcW w:w="0" w:type="dxa"/>
            <w:vAlign w:val="bottom"/>
          </w:tcPr>
          <w:p>
            <w:pPr>
              <w:spacing w:after="0"/>
              <w:rPr>
                <w:sz w:val="1"/>
                <w:szCs w:val="1"/>
                <w:color w:val="auto"/>
              </w:rPr>
            </w:pPr>
          </w:p>
        </w:tc>
      </w:tr>
      <w:tr>
        <w:trPr>
          <w:trHeight w:val="203"/>
        </w:trPr>
        <w:tc>
          <w:tcPr>
            <w:tcW w:w="398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1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1,981</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150.4 %</w:t>
            </w:r>
          </w:p>
        </w:tc>
        <w:tc>
          <w:tcPr>
            <w:tcW w:w="0" w:type="dxa"/>
            <w:vAlign w:val="bottom"/>
          </w:tcPr>
          <w:p>
            <w:pPr>
              <w:spacing w:after="0"/>
              <w:rPr>
                <w:sz w:val="1"/>
                <w:szCs w:val="1"/>
                <w:color w:val="auto"/>
              </w:rPr>
            </w:pPr>
          </w:p>
        </w:tc>
      </w:tr>
      <w:tr>
        <w:trPr>
          <w:trHeight w:val="203"/>
        </w:trPr>
        <w:tc>
          <w:tcPr>
            <w:tcW w:w="3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1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15,431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4,560</w:t>
            </w:r>
          </w:p>
        </w:tc>
        <w:tc>
          <w:tcPr>
            <w:tcW w:w="20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238.4 %</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hotel expenses</w:t>
            </w:r>
          </w:p>
        </w:tc>
        <w:tc>
          <w:tcPr>
            <w:tcW w:w="1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15,627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10,177</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53.6 %</w:t>
            </w:r>
          </w:p>
        </w:tc>
        <w:tc>
          <w:tcPr>
            <w:tcW w:w="0" w:type="dxa"/>
            <w:vAlign w:val="bottom"/>
          </w:tcPr>
          <w:p>
            <w:pPr>
              <w:spacing w:after="0"/>
              <w:rPr>
                <w:sz w:val="1"/>
                <w:szCs w:val="1"/>
                <w:color w:val="auto"/>
              </w:rPr>
            </w:pPr>
          </w:p>
        </w:tc>
      </w:tr>
      <w:tr>
        <w:trPr>
          <w:trHeight w:val="203"/>
        </w:trPr>
        <w:tc>
          <w:tcPr>
            <w:tcW w:w="3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Management fees, net</w:t>
            </w:r>
          </w:p>
        </w:tc>
        <w:tc>
          <w:tcPr>
            <w:tcW w:w="1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20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422.9 %</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9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6,229</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7.5 %</w:t>
            </w:r>
          </w:p>
        </w:tc>
        <w:tc>
          <w:tcPr>
            <w:tcW w:w="0" w:type="dxa"/>
            <w:vAlign w:val="bottom"/>
          </w:tcPr>
          <w:p>
            <w:pPr>
              <w:spacing w:after="0"/>
              <w:rPr>
                <w:sz w:val="1"/>
                <w:szCs w:val="1"/>
                <w:color w:val="auto"/>
              </w:rPr>
            </w:pPr>
          </w:p>
        </w:tc>
      </w:tr>
      <w:tr>
        <w:trPr>
          <w:trHeight w:val="196"/>
        </w:trPr>
        <w:tc>
          <w:tcPr>
            <w:tcW w:w="3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43,720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23,139</w:t>
            </w:r>
          </w:p>
        </w:tc>
        <w:tc>
          <w:tcPr>
            <w:tcW w:w="20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88.9 %</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Performance metrics:</w:t>
            </w:r>
          </w:p>
        </w:tc>
        <w:tc>
          <w:tcPr>
            <w:tcW w:w="1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Occupancy</w:t>
            </w:r>
          </w:p>
        </w:tc>
        <w:tc>
          <w:tcPr>
            <w:tcW w:w="1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57.8 %</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22.6 %</w:t>
            </w: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35.2 pts</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ADR</w:t>
            </w:r>
          </w:p>
        </w:tc>
        <w:tc>
          <w:tcPr>
            <w:tcW w:w="2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221.38</w:t>
            </w:r>
          </w:p>
        </w:tc>
        <w:tc>
          <w:tcPr>
            <w:tcW w:w="1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189.83</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16.6 %</w:t>
            </w:r>
          </w:p>
        </w:tc>
        <w:tc>
          <w:tcPr>
            <w:tcW w:w="0" w:type="dxa"/>
            <w:vAlign w:val="bottom"/>
          </w:tcPr>
          <w:p>
            <w:pPr>
              <w:spacing w:after="0"/>
              <w:rPr>
                <w:sz w:val="1"/>
                <w:szCs w:val="1"/>
                <w:color w:val="auto"/>
              </w:rPr>
            </w:pPr>
          </w:p>
        </w:tc>
      </w:tr>
      <w:tr>
        <w:trPr>
          <w:trHeight w:val="203"/>
        </w:trPr>
        <w:tc>
          <w:tcPr>
            <w:tcW w:w="3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RevPAR</w:t>
            </w:r>
          </w:p>
        </w:tc>
        <w:tc>
          <w:tcPr>
            <w:tcW w:w="2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128.06</w:t>
            </w:r>
          </w:p>
        </w:tc>
        <w:tc>
          <w:tcPr>
            <w:tcW w:w="140" w:type="dxa"/>
            <w:vAlign w:val="bottom"/>
          </w:tcPr>
          <w:p>
            <w:pPr>
              <w:spacing w:after="0"/>
              <w:rPr>
                <w:sz w:val="17"/>
                <w:szCs w:val="17"/>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42.99</w:t>
            </w:r>
          </w:p>
        </w:tc>
        <w:tc>
          <w:tcPr>
            <w:tcW w:w="20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197.9 %</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RevPAR</w:t>
            </w:r>
          </w:p>
        </w:tc>
        <w:tc>
          <w:tcPr>
            <w:tcW w:w="2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346.91</w:t>
            </w:r>
          </w:p>
        </w:tc>
        <w:tc>
          <w:tcPr>
            <w:tcW w:w="1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112.45</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208.5 %</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left="60" w:right="31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Gaylord National Results. </w:t>
      </w:r>
      <w:r>
        <w:rPr>
          <w:rFonts w:ascii="Times New Roman" w:cs="Times New Roman" w:eastAsia="Times New Roman" w:hAnsi="Times New Roman"/>
          <w:sz w:val="18"/>
          <w:szCs w:val="18"/>
          <w:color w:val="auto"/>
        </w:rPr>
        <w:t>Gaylord National was closed from late March 2020 and reopened July 1, 2021. The results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Gaylord National for the three months ended March 31, 2022 and 2021 are as follows (in thousands, except percentages and performance metrics):</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60" w:type="dxa"/>
            <w:vAlign w:val="bottom"/>
            <w:gridSpan w:val="6"/>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8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0"/>
                <w:szCs w:val="10"/>
                <w:color w:val="auto"/>
              </w:rPr>
            </w:pPr>
          </w:p>
        </w:tc>
        <w:tc>
          <w:tcPr>
            <w:tcW w:w="680" w:type="dxa"/>
            <w:vAlign w:val="bottom"/>
          </w:tcPr>
          <w:p>
            <w:pPr>
              <w:jc w:val="right"/>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35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3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13,964</w:t>
            </w:r>
          </w:p>
        </w:tc>
        <w:tc>
          <w:tcPr>
            <w:tcW w:w="160" w:type="dxa"/>
            <w:vAlign w:val="bottom"/>
          </w:tcPr>
          <w:p>
            <w:pPr>
              <w:spacing w:after="0"/>
              <w:rPr>
                <w:sz w:val="17"/>
                <w:szCs w:val="17"/>
                <w:color w:val="auto"/>
              </w:rPr>
            </w:pP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3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14,553</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63,173.9 %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Other hotel revenue</w:t>
            </w:r>
          </w:p>
        </w:tc>
        <w:tc>
          <w:tcPr>
            <w:tcW w:w="35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4,070</w:t>
            </w:r>
          </w:p>
        </w:tc>
        <w:tc>
          <w:tcPr>
            <w:tcW w:w="1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1,234</w:t>
            </w:r>
          </w:p>
        </w:tc>
        <w:tc>
          <w:tcPr>
            <w:tcW w:w="22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229.8 %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 (1)</w:t>
            </w:r>
          </w:p>
        </w:tc>
        <w:tc>
          <w:tcPr>
            <w:tcW w:w="3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32,587</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1,257</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2,492.4 %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3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3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7,350</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3,575.0 %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3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12,460</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220" w:type="dxa"/>
            <w:vAlign w:val="bottom"/>
          </w:tcPr>
          <w:p>
            <w:pPr>
              <w:spacing w:after="0"/>
              <w:rPr>
                <w:sz w:val="17"/>
                <w:szCs w:val="17"/>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2,738.3 %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hotel expenses</w:t>
            </w:r>
          </w:p>
        </w:tc>
        <w:tc>
          <w:tcPr>
            <w:tcW w:w="3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15,463</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8,452</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83.0 %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Management fees, net</w:t>
            </w:r>
          </w:p>
        </w:tc>
        <w:tc>
          <w:tcPr>
            <w:tcW w:w="3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220" w:type="dxa"/>
            <w:vAlign w:val="bottom"/>
          </w:tcPr>
          <w:p>
            <w:pPr>
              <w:spacing w:after="0"/>
              <w:rPr>
                <w:sz w:val="17"/>
                <w:szCs w:val="17"/>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354.2 %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5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8,139</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6,866</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18.5 %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43,862</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15,780</w:t>
            </w:r>
          </w:p>
        </w:tc>
        <w:tc>
          <w:tcPr>
            <w:tcW w:w="220" w:type="dxa"/>
            <w:vAlign w:val="bottom"/>
          </w:tcPr>
          <w:p>
            <w:pPr>
              <w:spacing w:after="0"/>
              <w:rPr>
                <w:sz w:val="17"/>
                <w:szCs w:val="17"/>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178.0 %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Performance metrics:</w:t>
            </w:r>
          </w:p>
        </w:tc>
        <w:tc>
          <w:tcPr>
            <w:tcW w:w="3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Occupancy</w:t>
            </w:r>
          </w:p>
        </w:tc>
        <w:tc>
          <w:tcPr>
            <w:tcW w:w="3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35.4 %</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 %</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35.4 pts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ADR</w:t>
            </w:r>
          </w:p>
        </w:tc>
        <w:tc>
          <w:tcPr>
            <w:tcW w:w="3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219.63</w:t>
            </w:r>
          </w:p>
        </w:tc>
        <w:tc>
          <w:tcPr>
            <w:tcW w:w="1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RevPAR</w:t>
            </w:r>
          </w:p>
        </w:tc>
        <w:tc>
          <w:tcPr>
            <w:tcW w:w="3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77.73</w:t>
            </w:r>
          </w:p>
        </w:tc>
        <w:tc>
          <w:tcPr>
            <w:tcW w:w="160" w:type="dxa"/>
            <w:vAlign w:val="bottom"/>
          </w:tcPr>
          <w:p>
            <w:pPr>
              <w:spacing w:after="0"/>
              <w:rPr>
                <w:sz w:val="17"/>
                <w:szCs w:val="17"/>
                <w:color w:val="auto"/>
              </w:rPr>
            </w:pP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RevPAR</w:t>
            </w:r>
          </w:p>
        </w:tc>
        <w:tc>
          <w:tcPr>
            <w:tcW w:w="3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181.40</w:t>
            </w:r>
          </w:p>
        </w:tc>
        <w:tc>
          <w:tcPr>
            <w:tcW w:w="1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2,491.4 %</w:t>
            </w: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3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259" w:hanging="330"/>
        <w:spacing w:after="0" w:line="282"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Gaylord National revenue for the three months ended March 31, 2021 consists primarily of attrition and cancellation fee revenue.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539"/>
        <w:spacing w:after="0" w:line="284" w:lineRule="auto"/>
        <w:rPr>
          <w:sz w:val="20"/>
          <w:szCs w:val="20"/>
          <w:color w:val="auto"/>
        </w:rPr>
      </w:pPr>
      <w:r>
        <w:rPr>
          <w:rFonts w:ascii="Times New Roman" w:cs="Times New Roman" w:eastAsia="Times New Roman" w:hAnsi="Times New Roman"/>
          <w:sz w:val="18"/>
          <w:szCs w:val="18"/>
          <w:i w:val="1"/>
          <w:iCs w:val="1"/>
          <w:color w:val="auto"/>
        </w:rPr>
        <w:t>Gaylord Rockies Results</w:t>
      </w:r>
      <w:r>
        <w:rPr>
          <w:rFonts w:ascii="Times New Roman" w:cs="Times New Roman" w:eastAsia="Times New Roman" w:hAnsi="Times New Roman"/>
          <w:sz w:val="18"/>
          <w:szCs w:val="18"/>
          <w:color w:val="auto"/>
        </w:rPr>
        <w:t>. The results of Gaylord Rockies for the three months ended March 31, 2022 and 2021 are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follows (in thousands, except percentages and performance metrics):</w:t>
      </w:r>
    </w:p>
    <w:p>
      <w:pPr>
        <w:spacing w:after="0" w:line="12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00" w:type="dxa"/>
            <w:vAlign w:val="bottom"/>
            <w:gridSpan w:val="6"/>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r>
      <w:tr>
        <w:trPr>
          <w:trHeight w:val="173"/>
        </w:trPr>
        <w:tc>
          <w:tcPr>
            <w:tcW w:w="59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4"/>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4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r>
      <w:tr>
        <w:trPr>
          <w:trHeight w:val="184"/>
        </w:trPr>
        <w:tc>
          <w:tcPr>
            <w:tcW w:w="5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15"/>
                <w:szCs w:val="15"/>
                <w:color w:val="auto"/>
              </w:rPr>
            </w:pPr>
          </w:p>
        </w:tc>
      </w:tr>
      <w:tr>
        <w:trPr>
          <w:trHeight w:val="174"/>
        </w:trPr>
        <w:tc>
          <w:tcPr>
            <w:tcW w:w="5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5"/>
                <w:szCs w:val="15"/>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6"/>
        </w:trPr>
        <w:tc>
          <w:tcPr>
            <w:tcW w:w="5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r>
      <w:tr>
        <w:trPr>
          <w:trHeight w:val="203"/>
        </w:trPr>
        <w:tc>
          <w:tcPr>
            <w:tcW w:w="5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Rooms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11,294</w:t>
            </w:r>
          </w:p>
        </w:tc>
        <w:tc>
          <w:tcPr>
            <w:tcW w:w="160" w:type="dxa"/>
            <w:vAlign w:val="bottom"/>
          </w:tcPr>
          <w:p>
            <w:pPr>
              <w:spacing w:after="0"/>
              <w:rPr>
                <w:sz w:val="17"/>
                <w:szCs w:val="17"/>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4,115</w:t>
            </w:r>
          </w:p>
        </w:tc>
        <w:tc>
          <w:tcPr>
            <w:tcW w:w="22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174.5 %</w:t>
            </w:r>
          </w:p>
        </w:tc>
      </w:tr>
      <w:tr>
        <w:trPr>
          <w:trHeight w:val="203"/>
        </w:trPr>
        <w:tc>
          <w:tcPr>
            <w:tcW w:w="5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Food and beverage</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16,321</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3,809</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328.5 %</w:t>
            </w:r>
          </w:p>
        </w:tc>
      </w:tr>
      <w:tr>
        <w:trPr>
          <w:trHeight w:val="203"/>
        </w:trPr>
        <w:tc>
          <w:tcPr>
            <w:tcW w:w="5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hotel revenue</w:t>
            </w: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7,172</w:t>
            </w:r>
          </w:p>
        </w:tc>
        <w:tc>
          <w:tcPr>
            <w:tcW w:w="1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4,046</w:t>
            </w:r>
          </w:p>
        </w:tc>
        <w:tc>
          <w:tcPr>
            <w:tcW w:w="22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77.3 %</w:t>
            </w:r>
          </w:p>
        </w:tc>
      </w:tr>
      <w:tr>
        <w:trPr>
          <w:trHeight w:val="196"/>
        </w:trPr>
        <w:tc>
          <w:tcPr>
            <w:tcW w:w="5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34,787</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11,970</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190.6 %</w:t>
            </w:r>
          </w:p>
        </w:tc>
      </w:tr>
      <w:tr>
        <w:trPr>
          <w:trHeight w:val="203"/>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5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Rooms</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3,951</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1,875</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110.7 %</w:t>
            </w:r>
          </w:p>
        </w:tc>
      </w:tr>
      <w:tr>
        <w:trPr>
          <w:trHeight w:val="203"/>
        </w:trPr>
        <w:tc>
          <w:tcPr>
            <w:tcW w:w="5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Food and beverage</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11,895</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4,739</w:t>
            </w:r>
          </w:p>
        </w:tc>
        <w:tc>
          <w:tcPr>
            <w:tcW w:w="22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151.0 %</w:t>
            </w:r>
          </w:p>
        </w:tc>
      </w:tr>
      <w:tr>
        <w:trPr>
          <w:trHeight w:val="203"/>
        </w:trPr>
        <w:tc>
          <w:tcPr>
            <w:tcW w:w="5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hotel expenses</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12,055</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7,026</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71.6 %</w:t>
            </w:r>
          </w:p>
        </w:tc>
      </w:tr>
      <w:tr>
        <w:trPr>
          <w:trHeight w:val="203"/>
        </w:trPr>
        <w:tc>
          <w:tcPr>
            <w:tcW w:w="5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Management fees, net</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22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124.6 %</w:t>
            </w:r>
          </w:p>
        </w:tc>
      </w:tr>
      <w:tr>
        <w:trPr>
          <w:trHeight w:val="203"/>
        </w:trPr>
        <w:tc>
          <w:tcPr>
            <w:tcW w:w="5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22,648</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22,691</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(0.2)%</w:t>
            </w:r>
          </w:p>
        </w:tc>
      </w:tr>
      <w:tr>
        <w:trPr>
          <w:trHeight w:val="196"/>
        </w:trPr>
        <w:tc>
          <w:tcPr>
            <w:tcW w:w="5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51,571</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36,786</w:t>
            </w:r>
          </w:p>
        </w:tc>
        <w:tc>
          <w:tcPr>
            <w:tcW w:w="22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40.2 %</w:t>
            </w:r>
          </w:p>
        </w:tc>
      </w:tr>
      <w:tr>
        <w:trPr>
          <w:trHeight w:val="203"/>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Performance metrics:</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r>
      <w:tr>
        <w:trPr>
          <w:trHeight w:val="203"/>
        </w:trPr>
        <w:tc>
          <w:tcPr>
            <w:tcW w:w="5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Occupancy</w:t>
            </w:r>
          </w:p>
        </w:tc>
        <w:tc>
          <w:tcPr>
            <w:tcW w:w="18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39.2 %</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17.4 %</w:t>
            </w:r>
          </w:p>
        </w:tc>
        <w:tc>
          <w:tcPr>
            <w:tcW w:w="9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21.8 pts</w:t>
            </w:r>
          </w:p>
        </w:tc>
      </w:tr>
      <w:tr>
        <w:trPr>
          <w:trHeight w:val="203"/>
        </w:trPr>
        <w:tc>
          <w:tcPr>
            <w:tcW w:w="5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ADR</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213.46</w:t>
            </w:r>
          </w:p>
        </w:tc>
        <w:tc>
          <w:tcPr>
            <w:tcW w:w="1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175.28</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21.8 %</w:t>
            </w:r>
          </w:p>
        </w:tc>
      </w:tr>
      <w:tr>
        <w:trPr>
          <w:trHeight w:val="203"/>
        </w:trPr>
        <w:tc>
          <w:tcPr>
            <w:tcW w:w="5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RevPAR</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83.61</w:t>
            </w:r>
          </w:p>
        </w:tc>
        <w:tc>
          <w:tcPr>
            <w:tcW w:w="160" w:type="dxa"/>
            <w:vAlign w:val="bottom"/>
          </w:tcPr>
          <w:p>
            <w:pPr>
              <w:spacing w:after="0"/>
              <w:rPr>
                <w:sz w:val="17"/>
                <w:szCs w:val="17"/>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30.46</w:t>
            </w:r>
          </w:p>
        </w:tc>
        <w:tc>
          <w:tcPr>
            <w:tcW w:w="22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174.5 %</w:t>
            </w:r>
          </w:p>
        </w:tc>
      </w:tr>
      <w:tr>
        <w:trPr>
          <w:trHeight w:val="203"/>
        </w:trPr>
        <w:tc>
          <w:tcPr>
            <w:tcW w:w="5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RevPAR</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257.51</w:t>
            </w:r>
          </w:p>
        </w:tc>
        <w:tc>
          <w:tcPr>
            <w:tcW w:w="1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88.61</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190.6 %</w:t>
            </w: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Entertainment Segment</w:t>
      </w:r>
    </w:p>
    <w:p>
      <w:pPr>
        <w:spacing w:after="0" w:line="187"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Total Segment Results. </w:t>
      </w:r>
      <w:r>
        <w:rPr>
          <w:rFonts w:ascii="Times New Roman" w:cs="Times New Roman" w:eastAsia="Times New Roman" w:hAnsi="Times New Roman"/>
          <w:sz w:val="18"/>
          <w:szCs w:val="18"/>
          <w:color w:val="auto"/>
        </w:rPr>
        <w:t>Due to the COVID-19 pandemic, we temporarily closed our Entertainment segment assets in mid-March 2020 and they did not return to full capacity until May 2021. In addition, subsequent to the December 2020 downtown Nashville bombing, the Wildhorse Saloon reopened in April 2021. Therefore, Entertainment segment financial results for the three months ended March 31, 2022 are not comparable to the corresponding 2021 period and the results for 2022 and 2021 are not comparable to historical periods because of the ongoing COVID-19 pandemic. The following presents the financial results of our Entertainment segment for the three months ended March 31, 2022 and 2021 (in thousands, except percentages):</w:t>
      </w:r>
    </w:p>
    <w:p>
      <w:pPr>
        <w:spacing w:after="0" w:line="13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20" w:type="dxa"/>
            <w:vAlign w:val="bottom"/>
            <w:gridSpan w:val="6"/>
          </w:tcPr>
          <w:p>
            <w:pPr>
              <w:jc w:val="center"/>
              <w:ind w:left="2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4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0"/>
                <w:szCs w:val="10"/>
                <w:color w:val="auto"/>
              </w:rPr>
            </w:pPr>
          </w:p>
        </w:tc>
        <w:tc>
          <w:tcPr>
            <w:tcW w:w="540" w:type="dxa"/>
            <w:vAlign w:val="bottom"/>
          </w:tcPr>
          <w:p>
            <w:pPr>
              <w:jc w:val="right"/>
              <w:ind w:right="137"/>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8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38,024</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14,373</w:t>
            </w: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360" w:type="dxa"/>
            <w:vAlign w:val="bottom"/>
            <w:tcBorders>
              <w:top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18,691</w:t>
            </w:r>
          </w:p>
        </w:tc>
        <w:tc>
          <w:tcPr>
            <w:tcW w:w="200" w:type="dxa"/>
            <w:vAlign w:val="bottom"/>
          </w:tcPr>
          <w:p>
            <w:pPr>
              <w:spacing w:after="0"/>
              <w:rPr>
                <w:sz w:val="18"/>
                <w:szCs w:val="18"/>
                <w:color w:val="auto"/>
              </w:rPr>
            </w:pPr>
          </w:p>
        </w:tc>
        <w:tc>
          <w:tcPr>
            <w:tcW w:w="9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69.8 %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 (loss) (1)</w:t>
            </w:r>
          </w:p>
        </w:tc>
        <w:tc>
          <w:tcPr>
            <w:tcW w:w="38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200" w:type="dxa"/>
            <w:vAlign w:val="bottom"/>
            <w:gridSpan w:val="2"/>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(7,919)</w:t>
            </w:r>
          </w:p>
        </w:tc>
        <w:tc>
          <w:tcPr>
            <w:tcW w:w="200" w:type="dxa"/>
            <w:vAlign w:val="bottom"/>
          </w:tcPr>
          <w:p>
            <w:pPr>
              <w:spacing w:after="0"/>
              <w:rPr>
                <w:sz w:val="18"/>
                <w:szCs w:val="18"/>
                <w:color w:val="auto"/>
              </w:rPr>
            </w:pPr>
          </w:p>
        </w:tc>
        <w:tc>
          <w:tcPr>
            <w:tcW w:w="9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134.6 %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3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80" w:right="179" w:hanging="330"/>
        <w:spacing w:after="0" w:line="282"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Entertainment segment operating income does not include preopening costs of $0.3 million in the three months ended March 31, 2022. See discussion of this item below.</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 Segment</w:t>
      </w:r>
    </w:p>
    <w:p>
      <w:pPr>
        <w:spacing w:after="0" w:line="200" w:lineRule="exact"/>
        <w:rPr>
          <w:sz w:val="20"/>
          <w:szCs w:val="20"/>
          <w:color w:val="auto"/>
        </w:rPr>
      </w:pPr>
    </w:p>
    <w:p>
      <w:pPr>
        <w:ind w:left="60" w:right="101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Total Segment Results. </w:t>
      </w:r>
      <w:r>
        <w:rPr>
          <w:rFonts w:ascii="Times New Roman" w:cs="Times New Roman" w:eastAsia="Times New Roman" w:hAnsi="Times New Roman"/>
          <w:sz w:val="18"/>
          <w:szCs w:val="18"/>
          <w:color w:val="auto"/>
        </w:rPr>
        <w:t>The following presents the financial results of our Corporate and Other segment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March 31, 2022 and 2021 (in thousands, except percentages):</w:t>
      </w:r>
    </w:p>
    <w:p>
      <w:pPr>
        <w:spacing w:after="0" w:line="11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20" w:type="dxa"/>
            <w:vAlign w:val="bottom"/>
            <w:gridSpan w:val="5"/>
          </w:tcPr>
          <w:p>
            <w:pPr>
              <w:jc w:val="center"/>
              <w:ind w:left="27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6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restart"/>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0"/>
                <w:szCs w:val="10"/>
                <w:color w:val="auto"/>
              </w:rPr>
            </w:pPr>
          </w:p>
        </w:tc>
        <w:tc>
          <w:tcPr>
            <w:tcW w:w="560" w:type="dxa"/>
            <w:vAlign w:val="bottom"/>
          </w:tcPr>
          <w:p>
            <w:pPr>
              <w:jc w:val="right"/>
              <w:ind w:right="138"/>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 (1)</w:t>
            </w:r>
          </w:p>
        </w:tc>
        <w:tc>
          <w:tcPr>
            <w:tcW w:w="37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9,557</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7,528</w:t>
            </w:r>
          </w:p>
        </w:tc>
        <w:tc>
          <w:tcPr>
            <w:tcW w:w="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400" w:type="dxa"/>
            <w:vAlign w:val="bottom"/>
            <w:tcBorders>
              <w:top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7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8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(63.8)%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37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(9,762)</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(8,094)</w:t>
            </w: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3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99" w:hanging="330"/>
        <w:spacing w:after="0" w:line="282"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segment operating expenses do not include a loss on sale of assets of $0.5 million in the three months ended March 31, 2022.</w:t>
      </w:r>
    </w:p>
    <w:p>
      <w:pPr>
        <w:spacing w:after="0" w:line="121"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Corporate and Other operating expenses consist primarily of costs associated with senior management salaries and benefits, legal, human resources, accounting, pension, information technology, consulting and other administrative costs. Corporate and Other segment operating expenses increased in the three months ended March 31, 2022, as compared to the prior year period, primarily as a result of increased consulting and employment expenses.</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Results – Preopening Costs</w:t>
      </w:r>
    </w:p>
    <w:p>
      <w:pPr>
        <w:spacing w:after="0" w:line="189" w:lineRule="exact"/>
        <w:rPr>
          <w:sz w:val="20"/>
          <w:szCs w:val="20"/>
          <w:color w:val="auto"/>
        </w:rPr>
      </w:pPr>
    </w:p>
    <w:p>
      <w:pPr>
        <w:ind w:left="60" w:right="99"/>
        <w:spacing w:after="0" w:line="289" w:lineRule="auto"/>
        <w:rPr>
          <w:sz w:val="20"/>
          <w:szCs w:val="20"/>
          <w:color w:val="auto"/>
        </w:rPr>
      </w:pPr>
      <w:r>
        <w:rPr>
          <w:rFonts w:ascii="Times New Roman" w:cs="Times New Roman" w:eastAsia="Times New Roman" w:hAnsi="Times New Roman"/>
          <w:sz w:val="17"/>
          <w:szCs w:val="17"/>
          <w:color w:val="auto"/>
        </w:rPr>
        <w:t>Preopening costs during the three months ended March 31, 2022 primarily include costs associated with Ole Red Nashville International Airport, which is anticipated to be completed in May 2022. Preopening costs during the three months ended March 31, 2021 primarily include costs associated with the Gaylord Palms expansion, which was completed in April 2021.</w:t>
      </w:r>
    </w:p>
    <w:p>
      <w:pPr>
        <w:spacing w:after="0" w:line="1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Results – Gain (Loss) on Sale of Assets</w:t>
      </w:r>
    </w:p>
    <w:p>
      <w:pPr>
        <w:spacing w:after="0" w:line="202" w:lineRule="exact"/>
        <w:rPr>
          <w:sz w:val="20"/>
          <w:szCs w:val="20"/>
          <w:color w:val="auto"/>
        </w:rPr>
      </w:pPr>
    </w:p>
    <w:p>
      <w:pPr>
        <w:jc w:val="both"/>
        <w:ind w:left="60" w:right="359"/>
        <w:spacing w:after="0" w:line="266" w:lineRule="auto"/>
        <w:rPr>
          <w:sz w:val="20"/>
          <w:szCs w:val="20"/>
          <w:color w:val="auto"/>
        </w:rPr>
      </w:pPr>
      <w:r>
        <w:rPr>
          <w:rFonts w:ascii="Times New Roman" w:cs="Times New Roman" w:eastAsia="Times New Roman" w:hAnsi="Times New Roman"/>
          <w:sz w:val="18"/>
          <w:szCs w:val="18"/>
          <w:color w:val="auto"/>
        </w:rPr>
        <w:t>Loss on sale of assets during the three months ended March 31, 2022 includes the sale of a parcel of land in Nashville, Tennessee. Gain on sale of assets of during the three months ended March 31, 2021 includes the sale of certain assets at Gaylord Opryland.</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Non-Operating Results Affecting Net Loss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00"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other factors which affected our net loss for the three months ended March 31, 2022 and 2021 (in thousands, except percentages):</w:t>
      </w:r>
    </w:p>
    <w:p>
      <w:pPr>
        <w:spacing w:after="0" w:line="11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2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100" w:type="dxa"/>
            <w:vAlign w:val="bottom"/>
            <w:gridSpan w:val="4"/>
          </w:tcPr>
          <w:p>
            <w:pPr>
              <w:jc w:val="center"/>
              <w:ind w:left="6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8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2200" w:type="dxa"/>
            <w:vAlign w:val="bottom"/>
            <w:gridSpan w:val="2"/>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60" w:type="dxa"/>
            <w:vAlign w:val="bottom"/>
            <w:gridSpan w:val="2"/>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0"/>
                <w:szCs w:val="10"/>
                <w:color w:val="auto"/>
              </w:rPr>
            </w:pPr>
          </w:p>
        </w:tc>
        <w:tc>
          <w:tcPr>
            <w:tcW w:w="780" w:type="dxa"/>
            <w:vAlign w:val="bottom"/>
          </w:tcPr>
          <w:p>
            <w:pPr>
              <w:jc w:val="right"/>
              <w:ind w:right="235"/>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260" w:type="dxa"/>
            <w:vAlign w:val="bottom"/>
          </w:tcPr>
          <w:p>
            <w:pPr>
              <w:spacing w:after="0"/>
              <w:rPr>
                <w:sz w:val="15"/>
                <w:szCs w:val="15"/>
                <w:color w:val="auto"/>
              </w:rPr>
            </w:pPr>
          </w:p>
        </w:tc>
        <w:tc>
          <w:tcPr>
            <w:tcW w:w="220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4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3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31,937</w:t>
            </w: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30,796</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400" w:type="dxa"/>
            <w:vAlign w:val="bottom"/>
            <w:tcBorders>
              <w:top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200" w:type="dxa"/>
            <w:vAlign w:val="bottom"/>
          </w:tcPr>
          <w:p>
            <w:pPr>
              <w:spacing w:after="0"/>
              <w:rPr>
                <w:sz w:val="18"/>
                <w:szCs w:val="18"/>
                <w:color w:val="auto"/>
              </w:rPr>
            </w:pPr>
          </w:p>
        </w:tc>
        <w:tc>
          <w:tcPr>
            <w:tcW w:w="11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0.8 %</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Loss from unconsolidated joint ventures</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(2,627)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200" w:type="dxa"/>
            <w:vAlign w:val="bottom"/>
          </w:tcPr>
          <w:p>
            <w:pPr>
              <w:spacing w:after="0"/>
              <w:rPr>
                <w:sz w:val="18"/>
                <w:szCs w:val="18"/>
                <w:color w:val="auto"/>
              </w:rPr>
            </w:pPr>
          </w:p>
        </w:tc>
        <w:tc>
          <w:tcPr>
            <w:tcW w:w="11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(63.3)%</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gains and (losses), net</w:t>
            </w:r>
          </w:p>
        </w:tc>
        <w:tc>
          <w:tcPr>
            <w:tcW w:w="2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19.5 %</w:t>
            </w:r>
          </w:p>
        </w:tc>
        <w:tc>
          <w:tcPr>
            <w:tcW w:w="0" w:type="dxa"/>
            <w:vAlign w:val="bottom"/>
          </w:tcPr>
          <w:p>
            <w:pPr>
              <w:spacing w:after="0"/>
              <w:rPr>
                <w:sz w:val="1"/>
                <w:szCs w:val="1"/>
                <w:color w:val="auto"/>
              </w:rPr>
            </w:pPr>
          </w:p>
        </w:tc>
      </w:t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(3,954)</w:t>
            </w:r>
          </w:p>
        </w:tc>
        <w:tc>
          <w:tcPr>
            <w:tcW w:w="200" w:type="dxa"/>
            <w:vAlign w:val="bottom"/>
          </w:tcPr>
          <w:p>
            <w:pPr>
              <w:spacing w:after="0"/>
              <w:rPr>
                <w:sz w:val="20"/>
                <w:szCs w:val="20"/>
                <w:color w:val="auto"/>
              </w:rPr>
            </w:pPr>
          </w:p>
        </w:tc>
        <w:tc>
          <w:tcPr>
            <w:tcW w:w="11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101.6 %</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87"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Interest expense increased $1.1 million during the three months ended March 31, 2022, as compared to the same period in 2021, due primarily to the prior year including $1.4 million in capitalized interest that did not recur in 2022.</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Cash interest expense decreased $0.3 million to $29.8 million in the three months ended March 31, 2022, as compared to the same period in 2021. Non-cash interest expense, which includes amortization and write-off of deferred financing costs and is offset by capitalized interest, increased $1.4 million to $2.2 million in the three months ended March 31, 2022, as compared to the same period in 2021.</w:t>
      </w:r>
    </w:p>
    <w:p>
      <w:pPr>
        <w:spacing w:after="0" w:line="153"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Our weighted average interest rate on our borrowings, excluding capitalized interest, but including the impact of interest rate swaps, was 4.3% and 4.4% for the three months ended March 31, 2022 and 2021, respectively.</w:t>
      </w:r>
    </w:p>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87"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Interest income for the three months ended March 31, 2022 and 2021 primarily includes amounts earned on the bonds that were received in connection with the development of Gaylord National, which we hold as notes receivable. See Note 6, “Notes Receivable,” to the accompanying condensed consolidated financial statements included herein for additional discussion of interest income on these bonds.</w:t>
      </w:r>
    </w:p>
    <w:p>
      <w:pPr>
        <w:spacing w:after="0" w:line="1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Loss on Extinguishment of Debt</w:t>
      </w:r>
    </w:p>
    <w:p>
      <w:pPr>
        <w:spacing w:after="0" w:line="187" w:lineRule="exact"/>
        <w:rPr>
          <w:sz w:val="20"/>
          <w:szCs w:val="20"/>
          <w:color w:val="auto"/>
        </w:rPr>
      </w:pPr>
    </w:p>
    <w:p>
      <w:pPr>
        <w:jc w:val="both"/>
        <w:ind w:left="60" w:right="199"/>
        <w:spacing w:after="0" w:line="258" w:lineRule="auto"/>
        <w:rPr>
          <w:sz w:val="20"/>
          <w:szCs w:val="20"/>
          <w:color w:val="auto"/>
        </w:rPr>
      </w:pPr>
      <w:r>
        <w:rPr>
          <w:rFonts w:ascii="Times New Roman" w:cs="Times New Roman" w:eastAsia="Times New Roman" w:hAnsi="Times New Roman"/>
          <w:sz w:val="18"/>
          <w:szCs w:val="18"/>
          <w:color w:val="auto"/>
        </w:rPr>
        <w:t>In February 2021, we commenced a cash tender offer for any and all outstanding $400 million 5% senior notes due 2023 (“$400 Million 5% Senior Notes”) at a redemption price of $1,005.00 per $1,000 principal amount. Pursuant to the tender offer, $161.9 million aggregate principal amount of these notes were validly tendered. As a result of our purchase of these tendered notes, and the subsequent redemption of all untendered $400 Million 5% Senior Notes, we recognized a loss on extinguishment of debt of $2.9 million in the three months ended March 31, 2021.</w:t>
      </w:r>
    </w:p>
    <w:p>
      <w:pPr>
        <w:spacing w:after="0" w:line="1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Loss from Unconsolidated Joint Ventures</w:t>
      </w:r>
    </w:p>
    <w:p>
      <w:pPr>
        <w:spacing w:after="0" w:line="200"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The loss from unconsolidated joint ventures for the three months ended March 31, 2022 and 2021 represents our equity method share of losses associated with Circle.</w:t>
      </w:r>
    </w:p>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Gains and (Losses), net</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gains and (losses), net for the three months ended March 31, 2022 and 2021 represents various miscellaneous items.</w:t>
      </w:r>
    </w:p>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(Provision) Benefit for Income Taxes</w:t>
      </w:r>
    </w:p>
    <w:p>
      <w:pPr>
        <w:spacing w:after="0" w:line="187" w:lineRule="exact"/>
        <w:rPr>
          <w:sz w:val="20"/>
          <w:szCs w:val="20"/>
          <w:color w:val="auto"/>
        </w:rPr>
      </w:pPr>
    </w:p>
    <w:p>
      <w:pPr>
        <w:ind w:left="60" w:right="379"/>
        <w:spacing w:after="0" w:line="266" w:lineRule="auto"/>
        <w:rPr>
          <w:sz w:val="20"/>
          <w:szCs w:val="20"/>
          <w:color w:val="auto"/>
        </w:rPr>
      </w:pPr>
      <w:r>
        <w:rPr>
          <w:rFonts w:ascii="Times New Roman" w:cs="Times New Roman" w:eastAsia="Times New Roman" w:hAnsi="Times New Roman"/>
          <w:sz w:val="18"/>
          <w:szCs w:val="18"/>
          <w:color w:val="auto"/>
        </w:rPr>
        <w:t>As a REIT, we generally are not subject to federal corporate income taxes on ordinary taxable income and capital gains income from real estate investments that we distribute to our stockholders. We are required to pay federal and state corporate income taxes on earnings of our TRSs.</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the three months ended March 31, 2022, we recorded an income tax benefit of $0.1 million related to our TRSs.</w:t>
      </w:r>
    </w:p>
    <w:p>
      <w:pPr>
        <w:spacing w:after="0" w:line="198"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2021, we recorded an income tax provision of $4.0 million, which includes the recording of a valuation allowance of $3.6 million related to our reassessment of the realizability of our deferred tax assets due to the impact of the COVID-19 pandemic.</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89"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We present the following non-GAAP financial measures, which we believe are useful to investors as key measures of our operating performance:</w:t>
      </w:r>
    </w:p>
    <w:p>
      <w:pPr>
        <w:spacing w:after="0" w:line="160" w:lineRule="exact"/>
        <w:rPr>
          <w:sz w:val="20"/>
          <w:szCs w:val="20"/>
          <w:color w:val="auto"/>
        </w:rPr>
      </w:pPr>
    </w:p>
    <w:p>
      <w:pPr>
        <w:ind w:left="60" w:right="159"/>
        <w:spacing w:after="0" w:line="284" w:lineRule="auto"/>
        <w:rPr>
          <w:sz w:val="20"/>
          <w:szCs w:val="20"/>
          <w:color w:val="auto"/>
        </w:rPr>
      </w:pPr>
      <w:r>
        <w:rPr>
          <w:rFonts w:ascii="Times New Roman" w:cs="Times New Roman" w:eastAsia="Times New Roman" w:hAnsi="Times New Roman"/>
          <w:sz w:val="18"/>
          <w:szCs w:val="18"/>
          <w:i w:val="1"/>
          <w:iCs w:val="1"/>
          <w:color w:val="auto"/>
        </w:rPr>
        <w:t>EBITDAre, Adjusted EBITDAre and Adjusted EBITDAre, Excluding Noncontrolling Interest in Consolidated Joint Venture Interest Definition</w:t>
      </w:r>
    </w:p>
    <w:p>
      <w:pPr>
        <w:spacing w:after="0" w:line="158" w:lineRule="exact"/>
        <w:rPr>
          <w:sz w:val="20"/>
          <w:szCs w:val="20"/>
          <w:color w:val="auto"/>
        </w:rPr>
      </w:pPr>
    </w:p>
    <w:p>
      <w:pPr>
        <w:ind w:left="60" w:right="99"/>
        <w:spacing w:after="0" w:line="267" w:lineRule="auto"/>
        <w:rPr>
          <w:sz w:val="20"/>
          <w:szCs w:val="20"/>
          <w:color w:val="auto"/>
        </w:rPr>
      </w:pPr>
      <w:r>
        <w:rPr>
          <w:rFonts w:ascii="Times New Roman" w:cs="Times New Roman" w:eastAsia="Times New Roman" w:hAnsi="Times New Roman"/>
          <w:sz w:val="18"/>
          <w:szCs w:val="18"/>
          <w:color w:val="auto"/>
        </w:rPr>
        <w:t>We calculate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which is defined by the National Association of Real Estate Investment Trusts (“NAREIT”) in its September 2017 white paper as net income (calculated in accordance with GAAP) plus interest expense, income tax expense, depreciation and amortization, gains or losses on the disposition of depreciated property (including gains or</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66" w:lineRule="auto"/>
        <w:rPr>
          <w:sz w:val="20"/>
          <w:szCs w:val="20"/>
          <w:color w:val="auto"/>
        </w:rPr>
      </w:pPr>
      <w:r>
        <w:rPr>
          <w:rFonts w:ascii="Times New Roman" w:cs="Times New Roman" w:eastAsia="Times New Roman" w:hAnsi="Times New Roman"/>
          <w:sz w:val="18"/>
          <w:szCs w:val="18"/>
          <w:color w:val="auto"/>
        </w:rPr>
        <w:t>losses on change in control), impairment write-downs of depreciated property and of investments in unconsolidated affiliates caused by a decrease in the value of depreciated property or the affiliate, and adjustments to reflect the entity’s share of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of unconsolidated affiliates.</w:t>
      </w:r>
    </w:p>
    <w:p>
      <w:pPr>
        <w:spacing w:after="0" w:line="174" w:lineRule="exact"/>
        <w:rPr>
          <w:sz w:val="20"/>
          <w:szCs w:val="20"/>
          <w:color w:val="auto"/>
        </w:rPr>
      </w:pPr>
    </w:p>
    <w:p>
      <w:pPr>
        <w:ind w:left="60" w:right="439"/>
        <w:spacing w:after="0" w:line="284" w:lineRule="auto"/>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is then calculated as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plus to the extent the following adjustments occurred during the periods presented:</w:t>
      </w:r>
    </w:p>
    <w:p>
      <w:pPr>
        <w:spacing w:after="0" w:line="160" w:lineRule="exact"/>
        <w:rPr>
          <w:sz w:val="20"/>
          <w:szCs w:val="20"/>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Preopening costs;</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lease expense;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Equity-based compensation expense;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that do not meet the NAREIT definition above;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losses on held-to-maturity securities;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transactions costs of acquisitions;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extinguishment of debt;</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settlement charges;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rata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from unconsolidated joint ventures;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adjustments we have identified herein.</w:t>
      </w:r>
    </w:p>
    <w:p>
      <w:pPr>
        <w:spacing w:after="0" w:line="205" w:lineRule="exact"/>
        <w:rPr>
          <w:sz w:val="20"/>
          <w:szCs w:val="20"/>
          <w:color w:val="auto"/>
        </w:rPr>
      </w:pPr>
    </w:p>
    <w:p>
      <w:pPr>
        <w:ind w:left="60" w:right="119"/>
        <w:spacing w:after="0" w:line="284" w:lineRule="auto"/>
        <w:rPr>
          <w:sz w:val="20"/>
          <w:szCs w:val="20"/>
          <w:color w:val="auto"/>
        </w:rPr>
      </w:pPr>
      <w:r>
        <w:rPr>
          <w:rFonts w:ascii="Times New Roman" w:cs="Times New Roman" w:eastAsia="Times New Roman" w:hAnsi="Times New Roman"/>
          <w:sz w:val="18"/>
          <w:szCs w:val="18"/>
          <w:color w:val="auto"/>
        </w:rPr>
        <w:t>We then exclude the pro rata share of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related to noncontrolling interests in consolidated joint ventures to calculate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Excluding Noncontrolling Interest in Consolidated Joint Venture.</w:t>
      </w:r>
    </w:p>
    <w:p>
      <w:pPr>
        <w:spacing w:after="0" w:line="158"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We use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and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Excluding Noncontrolling Interest in Consolidated Joint Venture to evaluate our operating performance. We believe that the presentation of these non-GAAP financial measures provides useful information to investors regarding our operating performance and debt leverage metrics, and that the presentation of these non-GAAP financial measures, when combined with the primary GAAP presentation of net income, is beneficial to an investor’s complete understanding of our operating performance. We make additional adjustments to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when evaluating our performance because we believe that presenting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and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Excluding Noncontrolling Interest in Consolidated Joint Venture provides useful information to investors regarding our operating performance and debt leverage metrics.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FFO, Adjusted FFO, and Adjusted FFO available to common shareholders and unit holders Definition</w:t>
      </w:r>
    </w:p>
    <w:p>
      <w:pPr>
        <w:spacing w:after="0" w:line="225" w:lineRule="exact"/>
        <w:rPr>
          <w:sz w:val="20"/>
          <w:szCs w:val="20"/>
          <w:color w:val="auto"/>
        </w:rPr>
      </w:pPr>
    </w:p>
    <w:p>
      <w:pPr>
        <w:ind w:left="60" w:right="79"/>
        <w:spacing w:after="0" w:line="257" w:lineRule="auto"/>
        <w:rPr>
          <w:sz w:val="20"/>
          <w:szCs w:val="20"/>
          <w:color w:val="auto"/>
        </w:rPr>
      </w:pPr>
      <w:r>
        <w:rPr>
          <w:rFonts w:ascii="Times New Roman" w:cs="Times New Roman" w:eastAsia="Times New Roman" w:hAnsi="Times New Roman"/>
          <w:sz w:val="18"/>
          <w:szCs w:val="18"/>
          <w:color w:val="auto"/>
        </w:rPr>
        <w:t>We calculate FFO</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which definition is clarified by NAREIT in its December 2018 white paper as net income (calculated in accordance with GAAP) excluding depreciation and amortization (excluding amortization of deferred financing costs and debt discounts), gains and losses from the sale of certain real estate assets, gains and losses from a change in control, impairment write-downs of certain real estate assets and investments in entities when the impairment is directly attributable to decreases in the value of depreciated real estate held by the entity, income (loss) from consolidated joint ventures attributable to noncontrolling interest, and pro rata adjustments for unconsolidated joint ventures.</w:t>
      </w:r>
    </w:p>
    <w:p>
      <w:pPr>
        <w:spacing w:after="0" w:line="184"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To calculate Adjusted FFO available to common shareholders and unit holders, we then exclude, to the extent the following adjustments occurred during the periods presented:</w:t>
      </w:r>
    </w:p>
    <w:p>
      <w:pPr>
        <w:spacing w:after="0" w:line="162" w:lineRule="exact"/>
        <w:rPr>
          <w:sz w:val="20"/>
          <w:szCs w:val="20"/>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Right-of-use asset amortization;</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that do not meet the NAREIT definition above;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Write-offs of deferred financing costs;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debt discounts or premiums and amortization of deferred financing costs;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extinguishment of debt;</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lease expense;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loss on held-to-maturity securities;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settlement charges;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pro rata adjustments from unconsolidated joint ventures;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losses on other assets;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costs on acquisitions;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income tax expense (benefit); and</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adjustments we have identified herein.</w:t>
      </w:r>
    </w:p>
    <w:p>
      <w:pPr>
        <w:spacing w:after="0" w:line="207" w:lineRule="exact"/>
        <w:rPr>
          <w:sz w:val="20"/>
          <w:szCs w:val="20"/>
          <w:color w:val="auto"/>
        </w:rPr>
      </w:pPr>
    </w:p>
    <w:p>
      <w:pPr>
        <w:ind w:left="60" w:right="419"/>
        <w:spacing w:after="0" w:line="312" w:lineRule="auto"/>
        <w:rPr>
          <w:sz w:val="20"/>
          <w:szCs w:val="20"/>
          <w:color w:val="auto"/>
        </w:rPr>
      </w:pPr>
      <w:r>
        <w:rPr>
          <w:rFonts w:ascii="Times New Roman" w:cs="Times New Roman" w:eastAsia="Times New Roman" w:hAnsi="Times New Roman"/>
          <w:sz w:val="17"/>
          <w:szCs w:val="17"/>
          <w:color w:val="auto"/>
        </w:rPr>
        <w:t>FFO available to common shareholders and unit holders and Adjusted FFO available to common shareholders and unit holders exclude the ownership portion of the Gaylord Rockies joint venture not controlled or owned by the Company.</w:t>
      </w:r>
    </w:p>
    <w:p>
      <w:pPr>
        <w:spacing w:after="0" w:line="140"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We believe that the presentation of FFO available to common shareholders and unit holders and Adjusted FFO available to common shareholders and unit holders provides useful information to investors regarding the performance of our ongoing operations because they are a measure of our operations without regard to specified non-cash items such as real estate depreciation and amortization, gain or loss on sale of assets and certain other items, which we believe are not indicative of the performance of our underlying hotel properties. We believe that these items are more representative of our asset base than our ongoing operations. We also use these non-GAAP financial measures as measures in determining our results after considering the impact of our capital structure.</w:t>
      </w:r>
    </w:p>
    <w:p>
      <w:pPr>
        <w:spacing w:after="0" w:line="187"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We caution investors that amounts presented in accordance with our definitions of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Excluding Noncontrolling Interest, FFO available to common shareholders and unit holders, and Adjusted FFO available to common shareholders and unit holders may not be comparable to similar measures disclosed by other companies, because not all companies calculate these non-GAAP measures in the same manner. These non-GAAP financial measures, and any related per share measures, should not be considered as alternative measures of our Net Income (Loss), operating performance, cash flow or liquidity. These non-GAAP financial measures may include funds that may not be available for our discretionary use due to functional requirements to conserve funds for capital expenditures and property acquisitions and other commitments and uncertainties. Although we believe that these non-GAAP financial measures can enhance an investor’s understanding of our results of operations, these non-GAAP financial measures, when viewed individually, are not necessarily better indicators of any trend as compared to GAAP measures such as Net Income (Loss), Operating Income (Loss), or cash flow from operations.</w:t>
      </w:r>
    </w:p>
    <w:p>
      <w:pPr>
        <w:spacing w:after="0" w:line="192" w:lineRule="exact"/>
        <w:rPr>
          <w:sz w:val="20"/>
          <w:szCs w:val="20"/>
          <w:color w:val="auto"/>
        </w:rPr>
      </w:pPr>
    </w:p>
    <w:p>
      <w:pPr>
        <w:ind w:left="60" w:right="259"/>
        <w:spacing w:after="0" w:line="284" w:lineRule="auto"/>
        <w:rPr>
          <w:sz w:val="20"/>
          <w:szCs w:val="20"/>
          <w:color w:val="auto"/>
        </w:rPr>
      </w:pPr>
      <w:r>
        <w:rPr>
          <w:rFonts w:ascii="Times New Roman" w:cs="Times New Roman" w:eastAsia="Times New Roman" w:hAnsi="Times New Roman"/>
          <w:sz w:val="18"/>
          <w:szCs w:val="18"/>
          <w:color w:val="auto"/>
        </w:rPr>
        <w:t>The following is a reconciliation of our consolidated GAAP net loss to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and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for the three months ended March 31, 2022 and 2021 (in thousands):</w:t>
      </w:r>
    </w:p>
    <w:p>
      <w:pPr>
        <w:spacing w:after="0" w:line="16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4248785</wp:posOffset>
            </wp:positionH>
            <wp:positionV relativeFrom="paragraph">
              <wp:posOffset>-3175</wp:posOffset>
            </wp:positionV>
            <wp:extent cx="13544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54455" cy="8890"/>
                    </a:xfrm>
                    <a:prstGeom prst="rect">
                      <a:avLst/>
                    </a:prstGeom>
                    <a:noFill/>
                  </pic:spPr>
                </pic:pic>
              </a:graphicData>
            </a:graphic>
          </wp:anchor>
        </w:drawing>
      </w:r>
    </w:p>
    <w:p>
      <w:pPr>
        <w:spacing w:after="0" w:line="1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6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r>
      <w:tr>
        <w:trPr>
          <w:trHeight w:val="19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(24,797)</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(117,121)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6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expense, net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30,556</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29,426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Provision (benefit) for income taxes</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(65)</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3,954</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6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56,028</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53,315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(Gain) loss on sale of assets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(317)</w:t>
            </w:r>
          </w:p>
        </w:tc>
        <w:tc>
          <w:tcPr>
            <w:tcW w:w="100" w:type="dxa"/>
            <w:vAlign w:val="bottom"/>
            <w:shd w:val="clear" w:color="auto" w:fill="CCEEFF"/>
          </w:tcPr>
          <w:p>
            <w:pPr>
              <w:spacing w:after="0"/>
              <w:rPr>
                <w:sz w:val="17"/>
                <w:szCs w:val="17"/>
                <w:color w:val="auto"/>
              </w:rPr>
            </w:pPr>
          </w:p>
        </w:tc>
      </w:tr>
      <w:tr>
        <w:trPr>
          <w:trHeight w:val="203"/>
        </w:trPr>
        <w:tc>
          <w:tcPr>
            <w:tcW w:w="6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Pro rata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xml:space="preserve"> from unconsolidated joint ventures</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2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r>
      <w:tr>
        <w:trPr>
          <w:trHeight w:val="19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EBITDA</w:t>
            </w:r>
            <w:r>
              <w:rPr>
                <w:rFonts w:ascii="Times New Roman" w:cs="Times New Roman" w:eastAsia="Times New Roman" w:hAnsi="Times New Roman"/>
                <w:sz w:val="17"/>
                <w:szCs w:val="17"/>
                <w:i w:val="1"/>
                <w:iCs w:val="1"/>
                <w:color w:val="auto"/>
              </w:rPr>
              <w:t>re</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62,213</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(30,728)</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6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Preopening costs</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Non-cash lease expense</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1,173</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1,088</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6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Equity-based compensation expense</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3,786</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income on Gaylord National bonds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1,340</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6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20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Transaction costs of acquisitions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r>
      <w:tr>
        <w:trPr>
          <w:trHeight w:val="196"/>
        </w:trPr>
        <w:tc>
          <w:tcPr>
            <w:tcW w:w="6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17"/>
                <w:szCs w:val="17"/>
                <w:i w:val="1"/>
                <w:iCs w:val="1"/>
                <w:color w:val="auto"/>
              </w:rPr>
              <w:t>re</w:t>
            </w: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68,994</w:t>
            </w: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(22,449)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xml:space="preserve"> of noncontrolling interest in consolidated joint venture</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744</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6"/>
        </w:trPr>
        <w:tc>
          <w:tcPr>
            <w:tcW w:w="6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excluding noncontrolling interest in consolidated joint venture</w:t>
            </w: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68,994</w:t>
            </w:r>
          </w:p>
        </w:tc>
        <w:tc>
          <w:tcPr>
            <w:tcW w:w="26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(21,705)</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6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is a reconciliation of our consolidated GAAP net loss to FFO and Adjusted FFO for the three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31, 2022 and 2021 (in thousands):</w:t>
      </w:r>
    </w:p>
    <w:p>
      <w:pPr>
        <w:spacing w:after="0" w:line="214"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4197350</wp:posOffset>
            </wp:positionH>
            <wp:positionV relativeFrom="paragraph">
              <wp:posOffset>-3175</wp:posOffset>
            </wp:positionV>
            <wp:extent cx="13373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1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5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CCEEFF"/>
            </w:tcBorders>
          </w:tcPr>
          <w:p>
            <w:pPr>
              <w:spacing w:after="0"/>
              <w:rPr>
                <w:sz w:val="15"/>
                <w:szCs w:val="15"/>
                <w:color w:val="auto"/>
              </w:rPr>
            </w:pPr>
          </w:p>
        </w:tc>
      </w:tr>
      <w:tr>
        <w:trPr>
          <w:trHeight w:val="21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(117,121)</w:t>
            </w:r>
          </w:p>
        </w:tc>
        <w:tc>
          <w:tcPr>
            <w:tcW w:w="220" w:type="dxa"/>
            <w:vAlign w:val="bottom"/>
            <w:shd w:val="clear" w:color="auto" w:fill="CCEEFF"/>
          </w:tcPr>
          <w:p>
            <w:pPr>
              <w:spacing w:after="0"/>
              <w:rPr>
                <w:sz w:val="18"/>
                <w:szCs w:val="18"/>
                <w:color w:val="auto"/>
              </w:rPr>
            </w:pPr>
          </w:p>
        </w:tc>
      </w:tr>
      <w:tr>
        <w:trPr>
          <w:trHeight w:val="216"/>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Noncontrolling interest in consolidated joint venture</w:t>
            </w:r>
          </w:p>
        </w:tc>
        <w:tc>
          <w:tcPr>
            <w:tcW w:w="2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11,793</w:t>
            </w:r>
          </w:p>
        </w:tc>
        <w:tc>
          <w:tcPr>
            <w:tcW w:w="220" w:type="dxa"/>
            <w:vAlign w:val="bottom"/>
          </w:tcPr>
          <w:p>
            <w:pPr>
              <w:spacing w:after="0"/>
              <w:rPr>
                <w:sz w:val="18"/>
                <w:szCs w:val="18"/>
                <w:color w:val="auto"/>
              </w:rPr>
            </w:pPr>
          </w:p>
        </w:tc>
      </w:tr>
      <w:tr>
        <w:trPr>
          <w:trHeight w:val="209"/>
        </w:trPr>
        <w:tc>
          <w:tcPr>
            <w:tcW w:w="6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available to common shareholders and unit holders</w:t>
            </w: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(24,797)</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(105,328)</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55,997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53,278</w:t>
            </w:r>
          </w:p>
        </w:tc>
        <w:tc>
          <w:tcPr>
            <w:tcW w:w="220" w:type="dxa"/>
            <w:vAlign w:val="bottom"/>
          </w:tcPr>
          <w:p>
            <w:pPr>
              <w:spacing w:after="0"/>
              <w:rPr>
                <w:sz w:val="18"/>
                <w:szCs w:val="18"/>
                <w:color w:val="auto"/>
              </w:rPr>
            </w:pPr>
          </w:p>
        </w:tc>
      </w:tr>
      <w:tr>
        <w:trPr>
          <w:trHeight w:val="216"/>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Adjustments for noncontrolling interest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(7,930)</w:t>
            </w:r>
          </w:p>
        </w:tc>
      </w:tr>
      <w:tr>
        <w:trPr>
          <w:trHeight w:val="216"/>
        </w:trPr>
        <w:tc>
          <w:tcPr>
            <w:tcW w:w="65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Pro rata adjustments from joint ventures</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Borders>
              <w:bottom w:val="single" w:sz="8" w:color="CCEEFF"/>
            </w:tcBorders>
          </w:tcPr>
          <w:p>
            <w:pPr>
              <w:spacing w:after="0"/>
              <w:rPr>
                <w:sz w:val="18"/>
                <w:szCs w:val="18"/>
                <w:color w:val="auto"/>
              </w:rPr>
            </w:pPr>
          </w:p>
        </w:tc>
      </w:tr>
      <w:tr>
        <w:trPr>
          <w:trHeight w:val="20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FFO available to common shareholders and unit holders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(59,965)</w:t>
            </w:r>
          </w:p>
        </w:tc>
        <w:tc>
          <w:tcPr>
            <w:tcW w:w="220" w:type="dxa"/>
            <w:vAlign w:val="bottom"/>
            <w:shd w:val="clear" w:color="auto" w:fill="CCEEFF"/>
          </w:tcPr>
          <w:p>
            <w:pPr>
              <w:spacing w:after="0"/>
              <w:rPr>
                <w:sz w:val="18"/>
                <w:szCs w:val="18"/>
                <w:color w:val="auto"/>
              </w:rPr>
            </w:pPr>
          </w:p>
        </w:tc>
      </w:tr>
      <w:tr>
        <w:trPr>
          <w:trHeight w:val="216"/>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Right-of-use asset amortization</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Pr>
          <w:p>
            <w:pPr>
              <w:spacing w:after="0"/>
              <w:rPr>
                <w:sz w:val="18"/>
                <w:szCs w:val="18"/>
                <w:color w:val="auto"/>
              </w:rPr>
            </w:pPr>
          </w:p>
        </w:tc>
      </w:tr>
      <w:tr>
        <w:trPr>
          <w:trHeight w:val="216"/>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Non-cash lease expense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220" w:type="dxa"/>
            <w:vAlign w:val="bottom"/>
            <w:shd w:val="clear" w:color="auto" w:fill="CCEEFF"/>
          </w:tcPr>
          <w:p>
            <w:pPr>
              <w:spacing w:after="0"/>
              <w:rPr>
                <w:sz w:val="18"/>
                <w:szCs w:val="18"/>
                <w:color w:val="auto"/>
              </w:rPr>
            </w:pPr>
          </w:p>
        </w:tc>
      </w:tr>
      <w:tr>
        <w:trPr>
          <w:trHeight w:val="216"/>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loss on other assets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(317)</w:t>
            </w:r>
          </w:p>
        </w:tc>
      </w:tr>
      <w:tr>
        <w:trPr>
          <w:trHeight w:val="216"/>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220" w:type="dxa"/>
            <w:vAlign w:val="bottom"/>
            <w:shd w:val="clear" w:color="auto" w:fill="CCEEFF"/>
          </w:tcPr>
          <w:p>
            <w:pPr>
              <w:spacing w:after="0"/>
              <w:rPr>
                <w:sz w:val="18"/>
                <w:szCs w:val="18"/>
                <w:color w:val="auto"/>
              </w:rPr>
            </w:pPr>
          </w:p>
        </w:tc>
      </w:tr>
      <w:tr>
        <w:trPr>
          <w:trHeight w:val="216"/>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debt premiums</w:t>
            </w:r>
          </w:p>
        </w:tc>
        <w:tc>
          <w:tcPr>
            <w:tcW w:w="2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(73)</w:t>
            </w: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220" w:type="dxa"/>
            <w:vAlign w:val="bottom"/>
            <w:shd w:val="clear" w:color="auto" w:fill="CCEEFF"/>
          </w:tcPr>
          <w:p>
            <w:pPr>
              <w:spacing w:after="0"/>
              <w:rPr>
                <w:sz w:val="18"/>
                <w:szCs w:val="18"/>
                <w:color w:val="auto"/>
              </w:rPr>
            </w:pPr>
          </w:p>
        </w:tc>
      </w:tr>
      <w:tr>
        <w:trPr>
          <w:trHeight w:val="216"/>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Adjustments for noncontrolling interest</w:t>
            </w:r>
          </w:p>
        </w:tc>
        <w:tc>
          <w:tcPr>
            <w:tcW w:w="2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(217)</w:t>
            </w:r>
          </w:p>
        </w:tc>
      </w:tr>
      <w:tr>
        <w:trPr>
          <w:trHeight w:val="216"/>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Transaction costs of acquisitions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tax expense (benefit)</w:t>
            </w:r>
          </w:p>
        </w:tc>
        <w:tc>
          <w:tcPr>
            <w:tcW w:w="2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(415)</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3,781</w:t>
            </w:r>
          </w:p>
        </w:tc>
        <w:tc>
          <w:tcPr>
            <w:tcW w:w="220" w:type="dxa"/>
            <w:vAlign w:val="bottom"/>
          </w:tcPr>
          <w:p>
            <w:pPr>
              <w:spacing w:after="0"/>
              <w:rPr>
                <w:sz w:val="18"/>
                <w:szCs w:val="18"/>
                <w:color w:val="auto"/>
              </w:rPr>
            </w:pPr>
          </w:p>
        </w:tc>
      </w:tr>
      <w:tr>
        <w:trPr>
          <w:trHeight w:val="209"/>
        </w:trPr>
        <w:tc>
          <w:tcPr>
            <w:tcW w:w="6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FFO available to common shareholders and unit holders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34,814</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(50,505)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00"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i w:val="1"/>
          <w:iCs w:val="1"/>
          <w:color w:val="auto"/>
        </w:rPr>
        <w:t>Cash Flows Used In Operating Activities</w:t>
      </w:r>
      <w:r>
        <w:rPr>
          <w:rFonts w:ascii="Times New Roman" w:cs="Times New Roman" w:eastAsia="Times New Roman" w:hAnsi="Times New Roman"/>
          <w:sz w:val="18"/>
          <w:szCs w:val="18"/>
          <w:color w:val="auto"/>
        </w:rPr>
        <w:t>. Historically, cash flow from operating activities has been the principal source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used to fund our operating expenses, interest payments on debt, maintenance capital expenditures, and dividends to stockholders. During the three months ended March 31, 2022, our net cash flows used in operating activities were $4.2 million, primarily reflecting our net loss before depreciation expense, amortization expense and other non-cash charges of $39.5 million, offset by unfavorable changes in working capital of $43.6 million. The unfavorable changes in working capital primarily resulted from a decrease in accounts payable and accrued liabilities related to compensation accruals and accruals associated with our December holiday programming, as well as an increase in accounts receivable due to an increase in group business at our Gaylord Hotels properties.</w:t>
      </w:r>
    </w:p>
    <w:p>
      <w:pPr>
        <w:spacing w:after="0" w:line="146"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2021, with most of our hotels and other assets operating at limited capacity, our net cash flows used in operating activities were $42.9 million, primarily reflecting our net loss before depreciation expense, amortization expense and other non-cash charges of $53.7 million, partially offset by favorable changes in working capital of $10.8 million. The favorable changes in working capital primarily resulted from a decrease in property tax rebates receivable at Gaylord Rockies.</w:t>
      </w:r>
    </w:p>
    <w:p>
      <w:pPr>
        <w:spacing w:after="0" w:line="141"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Cash Flows From Investing Activities. </w:t>
      </w:r>
      <w:r>
        <w:rPr>
          <w:rFonts w:ascii="Times New Roman" w:cs="Times New Roman" w:eastAsia="Times New Roman" w:hAnsi="Times New Roman"/>
          <w:sz w:val="18"/>
          <w:szCs w:val="18"/>
          <w:color w:val="auto"/>
        </w:rPr>
        <w:t>During the three months ended March 31, 2022, our primary uses of funds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investing activities were purchases of property and equipment, which totaled $9.7 million, and consisted primarily of a re-concepting of the food and beverage options at Gaylord National and ongoing maintenance capital expenditures for our existing properties.</w:t>
      </w:r>
    </w:p>
    <w:p>
      <w:pPr>
        <w:spacing w:after="0" w:line="155"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2021, our primary uses of funds for investing activities were purchases of property and equipment, which totaled $25.8 million, and consisted primarily of the expansion of Gaylord Palms, a rooms renovation at Gaylord National, and ongoing maintenance capital expenditures for our existing properties.</w:t>
      </w:r>
    </w:p>
    <w:p>
      <w:pPr>
        <w:spacing w:after="0" w:line="133" w:lineRule="exact"/>
        <w:rPr>
          <w:sz w:val="20"/>
          <w:szCs w:val="20"/>
          <w:color w:val="auto"/>
        </w:rPr>
      </w:pPr>
    </w:p>
    <w:p>
      <w:pPr>
        <w:ind w:left="60" w:right="299"/>
        <w:spacing w:after="0" w:line="267" w:lineRule="auto"/>
        <w:rPr>
          <w:sz w:val="20"/>
          <w:szCs w:val="20"/>
          <w:color w:val="auto"/>
        </w:rPr>
      </w:pPr>
      <w:r>
        <w:rPr>
          <w:rFonts w:ascii="Times New Roman" w:cs="Times New Roman" w:eastAsia="Times New Roman" w:hAnsi="Times New Roman"/>
          <w:sz w:val="18"/>
          <w:szCs w:val="18"/>
          <w:i w:val="1"/>
          <w:iCs w:val="1"/>
          <w:color w:val="auto"/>
        </w:rPr>
        <w:t>Cash Flows From Financing Activities</w:t>
      </w:r>
      <w:r>
        <w:rPr>
          <w:rFonts w:ascii="Times New Roman" w:cs="Times New Roman" w:eastAsia="Times New Roman" w:hAnsi="Times New Roman"/>
          <w:sz w:val="18"/>
          <w:szCs w:val="18"/>
          <w:color w:val="auto"/>
        </w:rPr>
        <w:t>. Our cash flows from financing activities primarily reflect the incurrence of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repayment of long-term debt and, prior to the COVID-19 pandemic, the payment of cash dividends. During the three months ended March 31, 2022, our net cash flows used in financing activities were $5.4 million.</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35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2021, our net cash flows provided by financing activities were $75.9 million, primarily reflecting net senior note borrowing of $200.0 million, partially offset by the repayment of $107.3 million in borrowings under our credit facility and the payment of $10.5 million in deferred financing costs.</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187"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At March 31, 2022, we had $128.4 million in unrestricted cash and $509.9 million available for borrowing under our revolving credit facility. During the three months ended March 31, 2022, we incurred capital expenditures of $9.7 million, which, combined with the cash flows used in operations discussed above, was the primary factor in the decrease in our cash balance from December 31, 2021 to March 31, 2022.</w:t>
      </w:r>
    </w:p>
    <w:p>
      <w:pPr>
        <w:spacing w:after="0" w:line="139"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We anticipate investing in our operations during the remainder of 2022 by spending between approximately $120 million and $150 million in capital expenditures, which primarily includes the construction of Ole Red Las Vegas, a re-concepting of the food and beverage options at Gaylord National, enhancements at Gaylord Rockies to better position the property for our group customers, enhancements to the offerings at Block 21 subsequent to the acquisition closing, and ongoing maintenance capital of our current facilities. In addition, we plan to spend approximately $125 million, after assumption of the existing mortgage debt, to complete the anticipated Block 21 acquisition and intend to contribute up to an additional $10.0 million in capital to the Circle joint venture for working capital needs. We currently have no debt maturities until July 2023. We believe we will be able to refinance our debt agreements prior to their maturities.</w:t>
      </w:r>
    </w:p>
    <w:p>
      <w:pPr>
        <w:spacing w:after="0" w:line="165"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We believe that our cash on hand, together with amounts available for borrowing under our revolving credit facility, will be adequate to fund our general short-term commitments, as well as: (i) current operating expenses, (ii) interest expense on long-term debt obligations, (iii) financing lease and operating lease obligations until our assets are operating at pre-COVID-19 pandemic levels, and (iv) the acquisition of Block 21 and the capital expenditures described above. Our ability to draw on our credit facility is subject to the satisfaction of provisions of the credit facility, as amended.</w:t>
      </w:r>
    </w:p>
    <w:p>
      <w:pPr>
        <w:spacing w:after="0" w:line="143" w:lineRule="exact"/>
        <w:rPr>
          <w:sz w:val="20"/>
          <w:szCs w:val="20"/>
          <w:color w:val="auto"/>
        </w:rPr>
      </w:pPr>
    </w:p>
    <w:p>
      <w:pPr>
        <w:ind w:left="60" w:right="559"/>
        <w:spacing w:after="0" w:line="282" w:lineRule="auto"/>
        <w:rPr>
          <w:sz w:val="20"/>
          <w:szCs w:val="20"/>
          <w:color w:val="auto"/>
        </w:rPr>
      </w:pPr>
      <w:r>
        <w:rPr>
          <w:rFonts w:ascii="Times New Roman" w:cs="Times New Roman" w:eastAsia="Times New Roman" w:hAnsi="Times New Roman"/>
          <w:sz w:val="18"/>
          <w:szCs w:val="18"/>
          <w:color w:val="auto"/>
        </w:rPr>
        <w:t>Our outstanding principal debt agreements are described below. At March 31, 2022, there were no defaults under the covenants related to our outstanding debt based on the amended terms of our credit agreement.</w:t>
      </w:r>
    </w:p>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Principal Debt Agreements</w:t>
      </w:r>
    </w:p>
    <w:p>
      <w:pPr>
        <w:spacing w:after="0" w:line="198" w:lineRule="exact"/>
        <w:rPr>
          <w:sz w:val="20"/>
          <w:szCs w:val="20"/>
          <w:color w:val="auto"/>
        </w:rPr>
      </w:pPr>
    </w:p>
    <w:p>
      <w:pPr>
        <w:ind w:left="60" w:right="179"/>
        <w:spacing w:after="0" w:line="253" w:lineRule="auto"/>
        <w:rPr>
          <w:sz w:val="20"/>
          <w:szCs w:val="20"/>
          <w:color w:val="auto"/>
        </w:rPr>
      </w:pPr>
      <w:r>
        <w:rPr>
          <w:rFonts w:ascii="Times New Roman" w:cs="Times New Roman" w:eastAsia="Times New Roman" w:hAnsi="Times New Roman"/>
          <w:sz w:val="18"/>
          <w:szCs w:val="18"/>
          <w:i w:val="1"/>
          <w:iCs w:val="1"/>
          <w:color w:val="auto"/>
        </w:rPr>
        <w:t>Credit Facility</w:t>
      </w:r>
      <w:r>
        <w:rPr>
          <w:rFonts w:ascii="Times New Roman" w:cs="Times New Roman" w:eastAsia="Times New Roman" w:hAnsi="Times New Roman"/>
          <w:sz w:val="18"/>
          <w:szCs w:val="18"/>
          <w:color w:val="auto"/>
        </w:rPr>
        <w:t>. On October 31, 2019, we entered into a Sixth Amended and Restated Credit Agreement (the “Base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among the Company, as a guarantor, the Operating Partnership, as borrower, certain other subsidiaries of the Company party thereto, as guarantors, certain subsidiaries of the Company party thereto, as pledgors, the lenders party thereto and Wells Fargo Bank, National Association, as administrative agent, which amended and restated the Company’s existing credit facility. As amended, our credit facility consists of a $700.0 million senior secured revolving credit facility (the “Revolver”), a $300.0 million senior secured term loan A (the “Term Loan A”), and a $500.0 million senior secured term loan B (the “Term Loan B”), each as discussed below. In 2020, we entered into three amendments (the “2020 Amendments”) to the Base Credit Agreement among the same parties, as discussed below. Additionally, we further amended the Base Credit Agreement in April 2021 and further in October 2021 to permit an acquisition during the Credit Agreement’s Restricted Period (as defined below) and an assumption of indebtedness, subject to certain conditions (such amendments, together with the 2020 Amendments, the “Amendments”; the Base Credit Agreement, as amended by the Amendments, the “Existing Credit Agreement”; the Existing Credit Agreement, as amended by the Fifth Amendment (as hereinafter defined), the “Credit Agreement”).</w:t>
      </w:r>
    </w:p>
    <w:p>
      <w:pPr>
        <w:spacing w:after="0" w:line="149"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Each of the Revolver, Term Loan A and Term Loan B is guaranteed by us, each of our subsidiaries that own the Gaylord Hotels properties, other than Gaylord Rockies, and certain of our other subsidiaries. Each is secured by (i) a first mortgage lien on the real property of each of our Gaylord Hotels properties, excluding Gaylord Rockies, (ii) pledges of equity interests in our subsidiaries that own the Gaylord Hotels properties, excluding Gaylord Rockies, (iii) pledges of equity interests in the Operating Partnership, our subsidiaries that guarantee the Credit Agreement, and certain other of our subsidiaries, (iv) our personal property and the personal property of the Operating Partnership and our guarantor subsidiaries and (v) all proceeds and products from our Gaylord Hotels properties, excluding Gaylord Rockies. Advances are subject to a 55% borrowing base, based on the appraisal value of the Gaylord Hotels properties (reduced to 50% in the event one of the Gaylord Hotels properties is sold), excluding Gaylord Rockies. Assets of Gaylord Rockies are not subject to the liens of our credit facility.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Each of the Revolver, Term Loan A and Term Loan B contains certain covenants which, among other things, limit the incurrence of additional indebtedness, investments, dividends, transactions with affiliates, asset sales, acquisitions, mergers and consolidations, liens and encumbrances and other matters customarily restricted in such agreements. The material financial covenants, ratios or tests contained in the Credit Agreement are as follows:</w:t>
      </w:r>
    </w:p>
    <w:p>
      <w:pPr>
        <w:spacing w:after="0" w:line="153" w:lineRule="exact"/>
        <w:rPr>
          <w:sz w:val="20"/>
          <w:szCs w:val="20"/>
          <w:color w:val="auto"/>
        </w:rPr>
      </w:pPr>
    </w:p>
    <w:p>
      <w:pPr>
        <w:ind w:left="720" w:right="459" w:hanging="319"/>
        <w:spacing w:after="0" w:line="282"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maintain a consolidated funded indebtedness to total asset value ratio as of the end of each calendar quarter of not more than .65 to 1.0.</w:t>
      </w:r>
    </w:p>
    <w:p>
      <w:pPr>
        <w:spacing w:after="0" w:line="12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maintain a consolidated fixed charge coverage ratio (as defined in the Credit Agreement) of not less than 1.50 to 1.00.</w:t>
      </w:r>
    </w:p>
    <w:p>
      <w:pPr>
        <w:spacing w:after="0" w:line="121" w:lineRule="exact"/>
        <w:rPr>
          <w:rFonts w:ascii="Times New Roman" w:cs="Times New Roman" w:eastAsia="Times New Roman" w:hAnsi="Times New Roman"/>
          <w:sz w:val="18"/>
          <w:szCs w:val="18"/>
          <w:color w:val="auto"/>
        </w:rPr>
      </w:pPr>
    </w:p>
    <w:p>
      <w:pPr>
        <w:ind w:left="720" w:right="259" w:hanging="319"/>
        <w:spacing w:after="0" w:line="266"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maintain an implied debt service coverage ratio (the ratio of adjusted net operating income to monthly principal and interest that would be required if the outstanding balance were amortized over 25 years at an assumed fixed rate) of not less than 1.60 to 1.00.</w:t>
      </w:r>
    </w:p>
    <w:p>
      <w:pPr>
        <w:spacing w:after="0" w:line="149"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The Amendments provided for a waiver of the foregoing financial covenants through March 31, 2022 (the “Temporary Waiver Period”) and modified covenants through June 30, 2022. In addition, the Amendments contain a covenant that we must maintain unrestricted liquidity (in the form of unrestricted cash on hand or undrawn availability under the Revolver) of at least $100 million. In the event we are unable to comply with the Credit Agreement’s financial covenants, we expect to further amend the Credit Agreement or take other mitigating actions prior to a potential breach.</w:t>
      </w:r>
    </w:p>
    <w:p>
      <w:pPr>
        <w:spacing w:after="0" w:line="143" w:lineRule="exact"/>
        <w:rPr>
          <w:sz w:val="20"/>
          <w:szCs w:val="20"/>
          <w:color w:val="auto"/>
        </w:rPr>
      </w:pPr>
    </w:p>
    <w:p>
      <w:pPr>
        <w:ind w:left="60" w:right="219"/>
        <w:spacing w:after="0" w:line="254" w:lineRule="auto"/>
        <w:rPr>
          <w:sz w:val="20"/>
          <w:szCs w:val="20"/>
          <w:color w:val="auto"/>
        </w:rPr>
      </w:pPr>
      <w:r>
        <w:rPr>
          <w:rFonts w:ascii="Times New Roman" w:cs="Times New Roman" w:eastAsia="Times New Roman" w:hAnsi="Times New Roman"/>
          <w:sz w:val="18"/>
          <w:szCs w:val="18"/>
          <w:color w:val="auto"/>
        </w:rPr>
        <w:t>For the first quarter following the expiration of the Temporary Waiver Period, which is the quarter ending June 30, 2022, we will calculate compliance with the financial covenants in the Credit Agreement using a designated annualized calculation based on our most recently completed fiscal quarter. Thereafter, we will be required to satisfy financial covenants at the levels set forth in the Credit Agreement using a designated annualized calculation based on our most recently completed fiscal quarters, as applicable. Pursuant to the Amendments, we are required to use any proceeds from borrowings drawn until we demonstrate financial covenant compliance following the expiration of the Temporary Waiver Period (the “Restricted Period”) to fund operating expenses, debt service of the Company and its subsidiaries, and permitted capital expenditures and investments. We expect to demonstrate such financial compliance in May 2022 and thereby end the restricted period.</w:t>
      </w:r>
    </w:p>
    <w:p>
      <w:pPr>
        <w:spacing w:after="0" w:line="148"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On April 4, 2022, we entered into Amendment No. 5 (the “Fifth Amendment”) to the Existing Credit Agreement, among the Company, as a guarantor, its subsidiary RHP Hotel Properties, LP, as borrower, certain other subsidiaries of the Company party thereto, as guarantors, certain subsidiaries of the Company party thereto, as pledgors, the lenders party thereto and Wells Fargo Bank, National Association, as administrative agent. The Fifth Amendment provides for certain amendments to the Existing Credit Agreement, each of which is to be effective upon the closing of the OEG Transaction. These amendments include, among others, the exclusion of OEG from negative covenants and certain restrictions related to certain equity issuances, investments, acquisitions, dispositions and indebtedness; changes to certain financial covenant requirements through December 2022; and a requirement that, following January 1, 2023, the Company satisfy the financial covenants currently provided for in the Credit Agreement.</w:t>
      </w:r>
    </w:p>
    <w:p>
      <w:pPr>
        <w:spacing w:after="0" w:line="161"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If an event of default shall occur and be continuing under the Credit Agreement, the commitments under the Credit Agreement may be terminated, and the principal amount outstanding under the Credit Agreement, together with all accrued unpaid interest and other amounts owing in respect thereof, may be declared immediately due and payable.</w:t>
      </w:r>
    </w:p>
    <w:p>
      <w:pPr>
        <w:spacing w:after="0" w:line="133" w:lineRule="exact"/>
        <w:rPr>
          <w:sz w:val="20"/>
          <w:szCs w:val="20"/>
          <w:color w:val="auto"/>
        </w:rPr>
      </w:pPr>
    </w:p>
    <w:p>
      <w:pPr>
        <w:ind w:left="60" w:right="259"/>
        <w:spacing w:after="0" w:line="277" w:lineRule="auto"/>
        <w:rPr>
          <w:sz w:val="20"/>
          <w:szCs w:val="20"/>
          <w:color w:val="auto"/>
        </w:rPr>
      </w:pPr>
      <w:r>
        <w:rPr>
          <w:rFonts w:ascii="Times New Roman" w:cs="Times New Roman" w:eastAsia="Times New Roman" w:hAnsi="Times New Roman"/>
          <w:sz w:val="17"/>
          <w:szCs w:val="17"/>
          <w:i w:val="1"/>
          <w:iCs w:val="1"/>
          <w:color w:val="auto"/>
        </w:rPr>
        <w:t>Revolving Credit Facility</w:t>
      </w:r>
      <w:r>
        <w:rPr>
          <w:rFonts w:ascii="Times New Roman" w:cs="Times New Roman" w:eastAsia="Times New Roman" w:hAnsi="Times New Roman"/>
          <w:sz w:val="17"/>
          <w:szCs w:val="17"/>
          <w:color w:val="auto"/>
        </w:rPr>
        <w:t>. The maturity date of the Revolver is March 31, 2024, with two additional six-month extension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options, at our election. Borrowings under the Revolver bear interest at an annual rate equal to, at our option, either</w:t>
      </w:r>
    </w:p>
    <w:p>
      <w:pPr>
        <w:spacing w:after="0" w:line="1" w:lineRule="exact"/>
        <w:rPr>
          <w:sz w:val="20"/>
          <w:szCs w:val="20"/>
          <w:color w:val="auto"/>
        </w:rPr>
      </w:pPr>
    </w:p>
    <w:p>
      <w:pPr>
        <w:ind w:left="60" w:right="279" w:hanging="10"/>
        <w:spacing w:after="0" w:line="253" w:lineRule="auto"/>
        <w:tabs>
          <w:tab w:leader="none" w:pos="2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LIBOR plus the applicable margin ranging from 1.40% to 1.95%, dependent upon our funded debt to total asset value ratio (as defined in the Credit Agreement) or (ii) a base rate as set forth in the Credit Agreement. Pursuant to the Amendments, beginning April 1, 2021 through the end of the Restricted Period, the interest rate on LIBOR-based borrowings under the Revolver will be LIBOR plus 2.25%. Principal is payable in full at maturity.</w:t>
      </w:r>
    </w:p>
    <w:p>
      <w:pPr>
        <w:spacing w:after="0" w:line="148"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At March 31, 2022, $190.0 million was outstanding under the Revolver, and the lending banks had issued $0.1 million of letters of credit under the Credit Agreement, which left $509.9 million of availability under the Revolver (subject to the satisfaction of debt incurrence tests under the indentures governing our $600 million in aggregate principal amount</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of senior notes due 2029 (the “$600 Million 4.50% Senior Notes”) and our $700 million in aggregate principal amount of senior notes due 2027 (the “$700 Million 4.75% Senior Notes”), which we met at March 31, 2022).</w:t>
      </w:r>
    </w:p>
    <w:p>
      <w:pPr>
        <w:spacing w:after="0" w:line="133" w:lineRule="exact"/>
        <w:rPr>
          <w:sz w:val="20"/>
          <w:szCs w:val="20"/>
          <w:color w:val="auto"/>
        </w:rPr>
      </w:pPr>
    </w:p>
    <w:p>
      <w:pPr>
        <w:ind w:left="60" w:right="13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Term Loan A Facility. </w:t>
      </w:r>
      <w:r>
        <w:rPr>
          <w:rFonts w:ascii="Times New Roman" w:cs="Times New Roman" w:eastAsia="Times New Roman" w:hAnsi="Times New Roman"/>
          <w:sz w:val="18"/>
          <w:szCs w:val="18"/>
          <w:color w:val="auto"/>
        </w:rPr>
        <w:t>The maturity date of the Term Loan A is March 31, 2025. Borrowings bear interest at an annual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equal to, at our option, either (i) LIBOR plus the applicable margin ranging from 1.35% to 1.90%, dependent upon our funded debt to total asset value ratio (as defined in the Credit Agreement) or (ii) a base rate as set forth in the Credit Agreement. Pursuant to the Amendments, beginning April 1, 2021 through the end of the Restricted Period, the interest rate on LIBOR-based borrowings under the Term Loan A will be LIBOR plus 2.25%. Amounts borrowed under the Term Loan A that are repaid or prepaid may not be reborrowed.</w:t>
      </w:r>
    </w:p>
    <w:p>
      <w:pPr>
        <w:spacing w:after="0" w:line="142"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Term Loan B Facility. </w:t>
      </w:r>
      <w:r>
        <w:rPr>
          <w:rFonts w:ascii="Times New Roman" w:cs="Times New Roman" w:eastAsia="Times New Roman" w:hAnsi="Times New Roman"/>
          <w:sz w:val="18"/>
          <w:szCs w:val="18"/>
          <w:color w:val="auto"/>
        </w:rPr>
        <w:t>The Term Loan B has a maturity date of May 11, 2024. The applicable interest rate margins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borrowings under the Term Loan B are, at our option, either (i) LIBOR plus 2.00% or (ii) a base rate as set forth in the Credit Agreement. At March 31, 2022, the interest rate on the Term Loan B was LIBOR plus 2.00%. In October 2019, we entered into four interest rate swaps with a total notional amount of $350.0 million to fix the LIBOR portion of the interest rate, at rates between 1.2235% and 1.2315%, through May 11, 2023. We have designated these interest rate swaps as effective cash flow hedges. The Term Loan B amortizes in equal quarterly installments in aggregate annual amounts equal to 1.0% of the original principal amount of $500.0 million, with the balance due at maturity. In addition, if for any</w:t>
      </w:r>
    </w:p>
    <w:p>
      <w:pPr>
        <w:spacing w:after="0" w:line="5" w:lineRule="exact"/>
        <w:rPr>
          <w:sz w:val="20"/>
          <w:szCs w:val="20"/>
          <w:color w:val="auto"/>
        </w:rPr>
      </w:pPr>
    </w:p>
    <w:p>
      <w:pPr>
        <w:ind w:left="60" w:right="239"/>
        <w:spacing w:after="0" w:line="255" w:lineRule="auto"/>
        <w:rPr>
          <w:sz w:val="20"/>
          <w:szCs w:val="20"/>
          <w:color w:val="auto"/>
        </w:rPr>
      </w:pPr>
      <w:r>
        <w:rPr>
          <w:rFonts w:ascii="Times New Roman" w:cs="Times New Roman" w:eastAsia="Times New Roman" w:hAnsi="Times New Roman"/>
          <w:sz w:val="18"/>
          <w:szCs w:val="18"/>
          <w:color w:val="auto"/>
        </w:rPr>
        <w:t>fiscal year, there is Excess Cash Flow (as defined in the Credit Agreement), an additional principal amount is required. Amounts borrowed under the Term Loan B that are repaid or prepaid may not be reborrowed. At March 31, 2022, $375.0 million in borrowings were outstanding under the Term Loan B.</w:t>
      </w:r>
    </w:p>
    <w:p>
      <w:pPr>
        <w:spacing w:after="0" w:line="143"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$700 Million 4.75% Senior Notes. </w:t>
      </w:r>
      <w:r>
        <w:rPr>
          <w:rFonts w:ascii="Times New Roman" w:cs="Times New Roman" w:eastAsia="Times New Roman" w:hAnsi="Times New Roman"/>
          <w:sz w:val="18"/>
          <w:szCs w:val="18"/>
          <w:color w:val="auto"/>
        </w:rPr>
        <w:t>In September 2019, the Operating Partnership and Finco completed the private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placement of $500.0 million in aggregate principal amount of senior notes due 2027 (the “$500 Million 4.75% Senior Notes”), which are guaranteed by the Company and its subsidiaries that guarantee the Credit Agreement. The $500 Million 4.75% Senior Notes and guarantees were issued pursuant to an indenture by and among the issuing subsidiaries and the guarantors and U.S. Bank National Association as trustee. The $500 Million 4.75% Senior Notes have a maturity date of October 15, 2027 and bear interest at 4.75% per annum, payable semi-annually in cash in arrears on April 15 and October 15 of each year. The $500 Million 4.75% Senior Notes are general unsecured and unsubordinated obligations of the issuing subsidiaries and rank equal in right of payment with such subsidiaries’ existing and future senior unsecured indebtedness, including the $600 Million 4.50% Senior Notes, and senior in right of payment to future subordinated indebtedness, if any. The $500 Million 4.75%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$500 Million 4.75%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$500 Million 4.75% Senior Notes.</w:t>
      </w:r>
    </w:p>
    <w:p>
      <w:pPr>
        <w:spacing w:after="0" w:line="170" w:lineRule="exact"/>
        <w:rPr>
          <w:sz w:val="20"/>
          <w:szCs w:val="20"/>
          <w:color w:val="auto"/>
        </w:rPr>
      </w:pPr>
    </w:p>
    <w:p>
      <w:pPr>
        <w:ind w:left="60" w:right="159"/>
        <w:spacing w:after="0" w:line="270" w:lineRule="auto"/>
        <w:rPr>
          <w:sz w:val="20"/>
          <w:szCs w:val="20"/>
          <w:color w:val="auto"/>
        </w:rPr>
      </w:pPr>
      <w:r>
        <w:rPr>
          <w:rFonts w:ascii="Times New Roman" w:cs="Times New Roman" w:eastAsia="Times New Roman" w:hAnsi="Times New Roman"/>
          <w:sz w:val="17"/>
          <w:szCs w:val="17"/>
          <w:color w:val="auto"/>
        </w:rPr>
        <w:t>In October 2019, we completed a tack-on private placement of $200.0 million in aggregate principal amount of 4.75% senior notes due 2027 (the “additional 2027 notes”) at an issue price of 101.250% of their aggregate principal amount plus accrued interest from the September 19, 2019 issue date for the $500 Million 4.75% Senior Notes. The additional 2027 notes and the $500 Million 4.75% Senior Notes constitute a single class of securities (collectively, the “$700 Million</w:t>
      </w:r>
    </w:p>
    <w:p>
      <w:pPr>
        <w:spacing w:after="0" w:line="3" w:lineRule="exact"/>
        <w:rPr>
          <w:sz w:val="20"/>
          <w:szCs w:val="20"/>
          <w:color w:val="auto"/>
        </w:rPr>
      </w:pPr>
    </w:p>
    <w:p>
      <w:pPr>
        <w:ind w:left="60" w:right="179"/>
        <w:spacing w:after="0" w:line="260" w:lineRule="auto"/>
        <w:rPr>
          <w:sz w:val="20"/>
          <w:szCs w:val="20"/>
          <w:color w:val="auto"/>
        </w:rPr>
      </w:pPr>
      <w:r>
        <w:rPr>
          <w:rFonts w:ascii="Times New Roman" w:cs="Times New Roman" w:eastAsia="Times New Roman" w:hAnsi="Times New Roman"/>
          <w:sz w:val="18"/>
          <w:szCs w:val="18"/>
          <w:color w:val="auto"/>
        </w:rPr>
        <w:t>4.75% Senior Notes”). All other terms and conditions of the additional 2027 notes are identical to the $500 Million 4.75% Senior Notes.</w:t>
      </w:r>
    </w:p>
    <w:p>
      <w:pPr>
        <w:spacing w:after="0" w:line="181" w:lineRule="exact"/>
        <w:rPr>
          <w:sz w:val="20"/>
          <w:szCs w:val="20"/>
          <w:color w:val="auto"/>
        </w:rPr>
      </w:pPr>
    </w:p>
    <w:p>
      <w:pPr>
        <w:ind w:left="60" w:right="319"/>
        <w:spacing w:after="0" w:line="256" w:lineRule="auto"/>
        <w:rPr>
          <w:sz w:val="20"/>
          <w:szCs w:val="20"/>
          <w:color w:val="auto"/>
        </w:rPr>
      </w:pPr>
      <w:r>
        <w:rPr>
          <w:rFonts w:ascii="Times New Roman" w:cs="Times New Roman" w:eastAsia="Times New Roman" w:hAnsi="Times New Roman"/>
          <w:sz w:val="18"/>
          <w:szCs w:val="18"/>
          <w:color w:val="auto"/>
        </w:rPr>
        <w:t>The $700 Million 4.75% Senior Notes are redeemable before October 15, 2022, in whole or in part, at 100.00%, plus accrued and unpaid interest thereon to, but not including, the redemption date, plus a make-whole premium. The $700 Million 4.75% Senior Notes will be redeemable, in whole or in part, at any time on or after October 15, 2022 at a redemption price expressed as a percentage of the principal amount thereof, which percentage is 103.563%, 102.375%, 101.188%, and 100.00% beginning on October 15 of 2022, 2023, 2024, and 2025, respectively, plus accrued and unpaid interest thereon to, but not including, the redemption date.</w:t>
      </w:r>
    </w:p>
    <w:p>
      <w:pPr>
        <w:spacing w:after="0" w:line="147"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We completed a registered offer to exchange the $700 Million 4.75% Senior Notes for registered notes with substantially identical terms as the $700 Million 4.75% Senior Notes in July 2020.</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219"/>
        <w:spacing w:after="0" w:line="269" w:lineRule="auto"/>
        <w:rPr>
          <w:sz w:val="20"/>
          <w:szCs w:val="20"/>
          <w:color w:val="auto"/>
        </w:rPr>
      </w:pPr>
      <w:r>
        <w:rPr>
          <w:rFonts w:ascii="Times New Roman" w:cs="Times New Roman" w:eastAsia="Times New Roman" w:hAnsi="Times New Roman"/>
          <w:sz w:val="17"/>
          <w:szCs w:val="17"/>
          <w:i w:val="1"/>
          <w:iCs w:val="1"/>
          <w:color w:val="auto"/>
        </w:rPr>
        <w:t>$600 Million 4.50% Senior Notes</w:t>
      </w:r>
      <w:r>
        <w:rPr>
          <w:rFonts w:ascii="Times New Roman" w:cs="Times New Roman" w:eastAsia="Times New Roman" w:hAnsi="Times New Roman"/>
          <w:sz w:val="17"/>
          <w:szCs w:val="17"/>
          <w:color w:val="auto"/>
        </w:rPr>
        <w:t>. On February 17, 2021, the Operating Partnership and Finco completed the private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placement of $600.0 million in aggregate principal amount of 4.50% senior notes due 2029, which are guaranteed by the Company and its subsidiaries that guarantee the Credit Agreement. The $600 Million 4.50% Senior Notes and guarantees were issued pursuant to an indenture by and among the issuing subsidiaries and the guarantors and U.S. Bank National Association as trustee. The $600 Million 5% Senior Notes have a maturity date of February 15, 2029 and bear interest at 4.50% per annum, payable semi-annually in cash in arrears on February 15 and August 15 each year. The $600 Million</w:t>
      </w:r>
    </w:p>
    <w:p>
      <w:pPr>
        <w:spacing w:after="0" w:line="2" w:lineRule="exact"/>
        <w:rPr>
          <w:sz w:val="20"/>
          <w:szCs w:val="20"/>
          <w:color w:val="auto"/>
        </w:rPr>
      </w:pPr>
    </w:p>
    <w:p>
      <w:pPr>
        <w:ind w:left="60" w:right="399"/>
        <w:spacing w:after="0" w:line="265" w:lineRule="auto"/>
        <w:rPr>
          <w:sz w:val="20"/>
          <w:szCs w:val="20"/>
          <w:color w:val="auto"/>
        </w:rPr>
      </w:pPr>
      <w:r>
        <w:rPr>
          <w:rFonts w:ascii="Times New Roman" w:cs="Times New Roman" w:eastAsia="Times New Roman" w:hAnsi="Times New Roman"/>
          <w:sz w:val="17"/>
          <w:szCs w:val="17"/>
          <w:color w:val="auto"/>
        </w:rPr>
        <w:t>4.50% Senior Notes are general unsecured and unsubordinated obligations of the issuing subsidiaries and rank equal in right of payment with such subsidiaries’ existing and future senior unsecured indebtedness, including the $700 Million</w:t>
      </w:r>
    </w:p>
    <w:p>
      <w:pPr>
        <w:ind w:left="60" w:right="99"/>
        <w:spacing w:after="0" w:line="269" w:lineRule="auto"/>
        <w:rPr>
          <w:sz w:val="20"/>
          <w:szCs w:val="20"/>
          <w:color w:val="auto"/>
        </w:rPr>
      </w:pPr>
      <w:r>
        <w:rPr>
          <w:rFonts w:ascii="Times New Roman" w:cs="Times New Roman" w:eastAsia="Times New Roman" w:hAnsi="Times New Roman"/>
          <w:sz w:val="17"/>
          <w:szCs w:val="17"/>
          <w:color w:val="auto"/>
        </w:rPr>
        <w:t>4.75% Senior Notes, and senior in right of payment to future subordinated indebtedness, if any. The $600 Million 4.50%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$600 Million 4.50%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$600 Million 4.50% Senior Notes.</w:t>
      </w:r>
    </w:p>
    <w:p>
      <w:pPr>
        <w:spacing w:after="0" w:line="149"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The $600 Million 4.50% Senior Notes are redeemable before February 15, 2024, in whole or in part, at 100.00%, plus accrued and unpaid interest thereon to, but not including, the redemption date, plus a make-whole premium. The $600 Million 4.50% Senior Notes will be redeemable, in whole or in part, at any time on or after February 15, 2024 at a redemption price expressed as a percentage of the principal amount thereof, which percentage is 102.250%, 101.500%, 100.750%, and 100.000% beginning on February 15 of 2024, 2025, 2026, and 2027, respectively, plus accrued and unpaid interest thereon to, but not including, the redemption date.</w:t>
      </w:r>
    </w:p>
    <w:p>
      <w:pPr>
        <w:spacing w:after="0" w:line="145"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i w:val="1"/>
          <w:iCs w:val="1"/>
          <w:color w:val="auto"/>
        </w:rPr>
        <w:t>$800 Million Term Loan (Gaylord Rockies)</w:t>
      </w:r>
      <w:r>
        <w:rPr>
          <w:rFonts w:ascii="Times New Roman" w:cs="Times New Roman" w:eastAsia="Times New Roman" w:hAnsi="Times New Roman"/>
          <w:sz w:val="18"/>
          <w:szCs w:val="18"/>
          <w:color w:val="auto"/>
        </w:rPr>
        <w:t>. On July 2, 2019, Aurora Convention Center Hotel, LLC (“Hotel Owner”)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Aurora Convention Center Hotel Lessee, LLC (“Tenant” and collectively, with Hotel Owner, the “Loan Parties”), subsidiaries of the entities that comprised the Gaylord Rockies joint venture, entered into a Second Amended and Restated Loan Agreement (the “Gaylord Rockies Loan”) with Wells Fargo Bank, National Association, as administrative agent, which refinanced the Gaylord Rockies joint venture’s existing $500 million construction loan and $39 million mezzanine loan, which were scheduled to mature in December 2019. The Gaylord Rockies Loan consists of an $800.0 million secured term loan facility and also includes the option for an additional $80.0 million of borrowing capacity should we pursue an expansion of Gaylord Rockies, which was announced in February 2020 but has been postponed as a result of the COVID-19 pandemic. The Gaylord Rockies Loan matures July 2, 2023 with three, one-year extension options, subject to certain requirements in the Gaylord Rockies Loan, and bears interest at LIBOR plus 2.50%. Simultaneous with closing, the Gaylord Rockies joint venture entered into an interest rate swap to fix the LIBOR portion of the interest rate at 1.65% for the first three years of the loan. We have designated this interest rate swap as an effective cash flow hedge.</w:t>
      </w:r>
    </w:p>
    <w:p>
      <w:pPr>
        <w:spacing w:after="0" w:line="192"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The Gaylord Rockies Loan is secured by a deed of trust lien on the Gaylord Rockies real estate and related assets. We have entered into limited repayment and carry guaranties that, in the aggregate, guarantee repayment of 10% of the principal debt, together with interest and operating expenses, which are to be released once Gaylord Rockies achieves a certain debt service coverage threshold as defined in the Gaylord Rockies Loan. Generally, the Gaylord Rockies Loan is non-recourse to the Company, subject to (i) those limited guaranties, (ii) a completion guaranty in the event the expansion is pursued, and (iii) customary non-recourse carve-outs.</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June 30, 2020, the Loan Parties entered into Amendment No. 1 (the “Loan Amendment”) to the Gaylord Rockies Loan, by and among the Loan Parties, Wells Fargo Bank, National Association, as administrative agent, and the lenders from time to time party thereto.</w:t>
      </w:r>
    </w:p>
    <w:p>
      <w:pPr>
        <w:spacing w:after="0" w:line="176" w:lineRule="exact"/>
        <w:rPr>
          <w:sz w:val="20"/>
          <w:szCs w:val="20"/>
          <w:color w:val="auto"/>
        </w:rPr>
      </w:pPr>
    </w:p>
    <w:p>
      <w:pPr>
        <w:jc w:val="both"/>
        <w:ind w:left="60" w:right="339"/>
        <w:spacing w:after="0" w:line="261" w:lineRule="auto"/>
        <w:rPr>
          <w:sz w:val="20"/>
          <w:szCs w:val="20"/>
          <w:color w:val="auto"/>
        </w:rPr>
      </w:pPr>
      <w:r>
        <w:rPr>
          <w:rFonts w:ascii="Times New Roman" w:cs="Times New Roman" w:eastAsia="Times New Roman" w:hAnsi="Times New Roman"/>
          <w:sz w:val="18"/>
          <w:szCs w:val="18"/>
          <w:color w:val="auto"/>
        </w:rPr>
        <w:t>The Loan Amendment modified the Gaylord Rockies Loan to (i) provide for the ability to use cash for certain purposes, even during a Cash Sweep Period (as defined in the Loan Agreement), which the Gaylord Rockies joint venture was in beginning in July 2020, (ii) extend the deadline for Hotel Owner to commence construction of an expansion to Gaylord Rockies, and (iii) provide favorable changes to the debt service coverage ratio provisions.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The Loan Amendment includes restrictions on distributions to our subsidiaries that own Gaylord Rockies and requires a certain level of equity financing for a Gaylord Rockies expansion.</w:t>
      </w:r>
    </w:p>
    <w:p>
      <w:pPr>
        <w:spacing w:after="0" w:line="160" w:lineRule="exact"/>
        <w:rPr>
          <w:sz w:val="20"/>
          <w:szCs w:val="20"/>
          <w:color w:val="auto"/>
        </w:rPr>
      </w:pPr>
    </w:p>
    <w:p>
      <w:pPr>
        <w:ind w:left="60" w:right="79"/>
        <w:spacing w:after="0" w:line="284" w:lineRule="auto"/>
        <w:rPr>
          <w:sz w:val="20"/>
          <w:szCs w:val="20"/>
          <w:color w:val="auto"/>
        </w:rPr>
      </w:pPr>
      <w:r>
        <w:rPr>
          <w:rFonts w:ascii="Times New Roman" w:cs="Times New Roman" w:eastAsia="Times New Roman" w:hAnsi="Times New Roman"/>
          <w:sz w:val="18"/>
          <w:szCs w:val="18"/>
          <w:i w:val="1"/>
          <w:iCs w:val="1"/>
          <w:color w:val="auto"/>
        </w:rPr>
        <w:t>Additional Debt Limitations</w:t>
      </w:r>
      <w:r>
        <w:rPr>
          <w:rFonts w:ascii="Times New Roman" w:cs="Times New Roman" w:eastAsia="Times New Roman" w:hAnsi="Times New Roman"/>
          <w:sz w:val="18"/>
          <w:szCs w:val="18"/>
          <w:color w:val="auto"/>
        </w:rPr>
        <w:t>. Pursuant to the terms of the management agreements and pooling agreement with Marriott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Gaylord Hotels properties, excluding Gaylord Rockies, we are subject to certain debt limitations described below.</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management agreements provide for the following limitations on indebtedness encumbering a hotel:</w:t>
      </w:r>
    </w:p>
    <w:p>
      <w:pPr>
        <w:spacing w:after="0" w:line="185" w:lineRule="exact"/>
        <w:rPr>
          <w:sz w:val="20"/>
          <w:szCs w:val="20"/>
          <w:color w:val="auto"/>
        </w:rPr>
      </w:pPr>
    </w:p>
    <w:p>
      <w:pPr>
        <w:ind w:left="720" w:right="359" w:hanging="319"/>
        <w:spacing w:after="0" w:line="282"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balance of all mortgage and mezzanine debt encumbering the hotel shall be no greater than 75% of the fair market value of the hotel; and</w:t>
      </w:r>
    </w:p>
    <w:p>
      <w:pPr>
        <w:spacing w:after="0" w:line="121" w:lineRule="exact"/>
        <w:rPr>
          <w:rFonts w:ascii="Times New Roman" w:cs="Times New Roman" w:eastAsia="Times New Roman" w:hAnsi="Times New Roman"/>
          <w:sz w:val="18"/>
          <w:szCs w:val="18"/>
          <w:color w:val="auto"/>
        </w:rPr>
      </w:pPr>
    </w:p>
    <w:p>
      <w:pPr>
        <w:ind w:left="720" w:right="119" w:hanging="319"/>
        <w:spacing w:after="0" w:line="266"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(a) aggregate Operating Profit (as defined in the management agreement) in the 12 months prior to the closing on the mortgage or mezzanine debt to (b) annual debt service for the hotel shall equal or exceed 1.2:1; but is subject to the pooling agreement described below.</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pooled limitations on Secured Debt (as defined in the pooling agreement) are as follows:</w:t>
      </w:r>
    </w:p>
    <w:p>
      <w:pPr>
        <w:spacing w:after="0" w:line="185" w:lineRule="exact"/>
        <w:rPr>
          <w:sz w:val="20"/>
          <w:szCs w:val="20"/>
          <w:color w:val="auto"/>
        </w:rPr>
      </w:pPr>
    </w:p>
    <w:p>
      <w:pPr>
        <w:ind w:left="720" w:right="199" w:hanging="319"/>
        <w:spacing w:after="0" w:line="282"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balance of all mortgage and mezzanine debt on Pooled Hotels (as defined in the pooling agreement), shall be no more than 75% of the fair market value of Pooled Hotels.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(a) aggregate Operating Profit (as defined in the pooling agreement) of Pooled Hotels in the</w:t>
      </w:r>
    </w:p>
    <w:p>
      <w:pPr>
        <w:spacing w:after="0" w:line="27" w:lineRule="exact"/>
        <w:rPr>
          <w:rFonts w:ascii="Times New Roman" w:cs="Times New Roman" w:eastAsia="Times New Roman" w:hAnsi="Times New Roman"/>
          <w:sz w:val="18"/>
          <w:szCs w:val="18"/>
          <w:color w:val="auto"/>
        </w:rPr>
      </w:pPr>
    </w:p>
    <w:p>
      <w:pPr>
        <w:ind w:left="720" w:right="27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months prior to closing on any mortgage or mezzanine debt to (b) annual debt service for the Pooled Hotels, shall equal or exceed 1.2:1.</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Gaylord Rockies is not a Pooled Hotel for this purpose.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Estimated Interest on Principal Debt Agreements</w:t>
      </w:r>
    </w:p>
    <w:p>
      <w:pPr>
        <w:spacing w:after="0" w:line="187"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Based on the stated interest rates on our fixed-rate debt and the rates in effect at March 31, 2022 for our variable-rate debt after considering interest rate swaps, our estimated interest obligations through 2026 are $376.2 million. These estimated obligations are $86.0 million for the remainder of 2022, $94.7 million in 2023, $73.0 million in 2024, $62.3 million in 2025, and $60.2 million in 2026. Variable rates, as well as outstanding principal balances, could change in future periods. See “Principal Debt Agreements” above for a discussion of our outstanding long-term debt. See “Supplemental Cash Flow Information” in Note 1 to the consolidated financial statements included in our Annual Report on Form 10-K for the year ended December 31, 2021 for a discussion of the interest we paid during 2021, 2020 and 2019.</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Supplemental Guarantor Financial Information</w:t>
      </w:r>
    </w:p>
    <w:p>
      <w:pPr>
        <w:spacing w:after="0" w:line="187"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The Company’s $600 Million 4.50% Senior Notes and $700 Million 4.75% Senior Notes were each issued by the Operating Partnership and RHP Finance Corporation, a Delaware corporation (collectively, the “Issuers”), and are guaranteed on a senior unsecured basis by the Company (as the parent company), each of the Operating Partnership’s subsidiaries that own the Gaylord Hotels properties, excluding Gaylord Rockies, and certain other of the Company’s subsidiaries, each of which also guarantees the Operating Partnership’s Credit Agreement, as amended (such subsidiary guarantors, together with the Company, the “Guarantors”). The Guarantors are 100% owned by the Operating Partnership or the Company, and the guarantees are full and unconditional and joint and several. The guarantees rank equally in right of payment with each Guarantor’s existing and future senior unsecured indebtedness and senior in right of payment to all future subordinated indebtedness, if any, of such Guarantor. Not all of the Company’s subsidiaries have guaranteed the Company’s $600 Million 4.50% Senior Notes and $700 Million 4.75% Senior Notes, and the guarantees are structurally subordinated to all indebtedness and other obligations of such subsidiaries that have not guaranteed the Company’s $600 Million 4.50% Senior Notes and $700 Million 4.75% Senior Notes.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66" w:lineRule="auto"/>
        <w:rPr>
          <w:sz w:val="20"/>
          <w:szCs w:val="20"/>
          <w:color w:val="auto"/>
        </w:rPr>
      </w:pPr>
      <w:r>
        <w:rPr>
          <w:rFonts w:ascii="Times New Roman" w:cs="Times New Roman" w:eastAsia="Times New Roman" w:hAnsi="Times New Roman"/>
          <w:sz w:val="18"/>
          <w:szCs w:val="18"/>
          <w:color w:val="auto"/>
        </w:rPr>
        <w:t>The following tables present summarized financial information for the Issuers and the Guarantors on a combined basis. The intercompany balances and transactions between these parties, as well as any investments in or equity in earnings from non-guarantor subsidiaries, have been eliminated (amounts in thousands).</w:t>
      </w:r>
    </w:p>
    <w:p>
      <w:pPr>
        <w:spacing w:after="0" w:line="143"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602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receivables due from non-guarantor subsidiaries</w:t>
            </w:r>
          </w:p>
        </w:tc>
        <w:tc>
          <w:tcPr>
            <w:tcW w:w="9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569,046</w:t>
            </w:r>
          </w:p>
        </w:tc>
        <w:tc>
          <w:tcPr>
            <w:tcW w:w="0" w:type="dxa"/>
            <w:vAlign w:val="bottom"/>
          </w:tcPr>
          <w:p>
            <w:pPr>
              <w:spacing w:after="0"/>
              <w:rPr>
                <w:sz w:val="1"/>
                <w:szCs w:val="1"/>
                <w:color w:val="auto"/>
              </w:rPr>
            </w:pPr>
          </w:p>
        </w:tc>
      </w:tr>
      <w:tr>
        <w:trPr>
          <w:trHeight w:val="216"/>
        </w:trPr>
        <w:tc>
          <w:tcPr>
            <w:tcW w:w="6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9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1,588,501</w:t>
            </w:r>
          </w:p>
        </w:tc>
        <w:tc>
          <w:tcPr>
            <w:tcW w:w="0" w:type="dxa"/>
            <w:vAlign w:val="bottom"/>
          </w:tcPr>
          <w:p>
            <w:pPr>
              <w:spacing w:after="0"/>
              <w:rPr>
                <w:sz w:val="1"/>
                <w:szCs w:val="1"/>
                <w:color w:val="auto"/>
              </w:rPr>
            </w:pPr>
          </w:p>
        </w:tc>
      </w:tr>
      <w:tr>
        <w:trPr>
          <w:trHeight w:val="209"/>
        </w:trPr>
        <w:tc>
          <w:tcPr>
            <w:tcW w:w="60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assets</w:t>
            </w:r>
          </w:p>
        </w:tc>
        <w:tc>
          <w:tcPr>
            <w:tcW w:w="9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gridSpan w:val="2"/>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2,157,547</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liabilities</w:t>
            </w:r>
          </w:p>
        </w:tc>
        <w:tc>
          <w:tcPr>
            <w:tcW w:w="1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2,275,652</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Total noncontrolling interest</w:t>
            </w:r>
          </w:p>
        </w:tc>
        <w:tc>
          <w:tcPr>
            <w:tcW w:w="90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2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6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602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0" w:type="dxa"/>
            <w:vAlign w:val="bottom"/>
          </w:tcPr>
          <w:p>
            <w:pPr>
              <w:spacing w:after="0"/>
              <w:rPr>
                <w:sz w:val="1"/>
                <w:szCs w:val="1"/>
                <w:color w:val="auto"/>
              </w:rPr>
            </w:pPr>
          </w:p>
        </w:tc>
      </w:tr>
      <w:tr>
        <w:trPr>
          <w:trHeight w:val="209"/>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third-parties</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Revenues from non-guarantor subsidiaries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42,107</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 (excluding expenses to non-guarantor subsidiaries)</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30,098</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Expenses to non-guarantor subsidiaries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3,439</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8,692</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from non-guarantor subsidiaries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6,363</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(7,949)</w:t>
            </w:r>
          </w:p>
        </w:tc>
        <w:tc>
          <w:tcPr>
            <w:tcW w:w="0" w:type="dxa"/>
            <w:vAlign w:val="bottom"/>
          </w:tcPr>
          <w:p>
            <w:pPr>
              <w:spacing w:after="0"/>
              <w:rPr>
                <w:sz w:val="1"/>
                <w:szCs w:val="1"/>
                <w:color w:val="auto"/>
              </w:rPr>
            </w:pPr>
          </w:p>
        </w:tc>
      </w:tr>
      <w:tr>
        <w:trPr>
          <w:trHeight w:val="234"/>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Net loss available to common stockholders</w:t>
            </w: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(7,773)</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89"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We prepare our condensed consolidated financial statements in conformity with accounting principles generally accepted in the United States. Certain of our accounting policies, including those related to revenue recognition, impairment of long-lived and other assets, credit losses on financial assets, stock-based compensation, derivative financial instruments, depreciation and amortization, income taxes, pension plans, acquisitions and purchase price allocations, and legal contingencies, require that we apply significant judgment in defining the appropriate assumptions for calculating financial estimates. By their nature, these judgments are subject to an inherent degree of uncertainty. Our judgments are based on our historical experience, our observance of trends in the industry, and information available from other outside sources, as appropriate. There can be no assurance that actual results will not differ from our estimates. For a discussion of our critical accounting policies and estimates, please refer to Item 7, “Management’s Discussion and Analysis of Financial Condition and Results of Operations” and “Notes to Consolidated Financial Statements” presented in our Annual Report on Form 10-K for the year ended December 31, 2021. There were no newly identified critical accounting policies in the first</w:t>
      </w:r>
    </w:p>
    <w:p>
      <w:pPr>
        <w:spacing w:after="0" w:line="4" w:lineRule="exact"/>
        <w:rPr>
          <w:sz w:val="20"/>
          <w:szCs w:val="20"/>
          <w:color w:val="auto"/>
        </w:rPr>
      </w:pPr>
    </w:p>
    <w:p>
      <w:pPr>
        <w:ind w:left="60" w:right="79"/>
        <w:spacing w:after="0" w:line="260" w:lineRule="auto"/>
        <w:rPr>
          <w:sz w:val="20"/>
          <w:szCs w:val="20"/>
          <w:color w:val="auto"/>
        </w:rPr>
      </w:pPr>
      <w:r>
        <w:rPr>
          <w:rFonts w:ascii="Times New Roman" w:cs="Times New Roman" w:eastAsia="Times New Roman" w:hAnsi="Times New Roman"/>
          <w:sz w:val="18"/>
          <w:szCs w:val="18"/>
          <w:color w:val="auto"/>
        </w:rPr>
        <w:t>three months of 2022, nor were there any material changes to the critical accounting policies and estimates discussed in our Annual Report on Form 10-K for the year ended December 31, 2021.</w:t>
      </w:r>
    </w:p>
    <w:p>
      <w:pPr>
        <w:spacing w:after="0" w:line="1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02" w:lineRule="exact"/>
        <w:rPr>
          <w:sz w:val="20"/>
          <w:szCs w:val="20"/>
          <w:color w:val="auto"/>
        </w:rPr>
      </w:pPr>
    </w:p>
    <w:p>
      <w:pPr>
        <w:ind w:left="60" w:right="259"/>
        <w:spacing w:after="0" w:line="261" w:lineRule="auto"/>
        <w:rPr>
          <w:sz w:val="20"/>
          <w:szCs w:val="20"/>
          <w:color w:val="auto"/>
        </w:rPr>
      </w:pPr>
      <w:r>
        <w:rPr>
          <w:rFonts w:ascii="Times New Roman" w:cs="Times New Roman" w:eastAsia="Times New Roman" w:hAnsi="Times New Roman"/>
          <w:sz w:val="18"/>
          <w:szCs w:val="18"/>
          <w:color w:val="auto"/>
        </w:rPr>
        <w:t>There have been no material changes in our quantitative and qualitative market risks since December 31, 2021. For a discussion of the Company’s exposure to market risk, refer to the Company’s market risk disclosures set forth in Part II, Item 7A. “Quantitative and Qualitative Disclosures About Market Risk” of the Company’s Annual Report on Form 10-K for the year ended December 31, 2021.</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The Company maintains disclosure controls and procedures, as defined in Rule 13a-15(e) promulgated under the Exchange Act, that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The Company carried out an evaluation under the supervision and with the participation of our management,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including our Chief Executive Officer and Chief Financial Officer, of the effectiveness of the design and operation of our disclosure controls and procedures as of the end of the period covered by this report. Based on the evaluation of these disclosure controls and procedures, the Chief Executive Officer and Chief Financial Officer concluded that our disclosure controls and procedures were effective as of the end of the period covered by this report.</w:t>
      </w:r>
    </w:p>
    <w:p>
      <w:pPr>
        <w:spacing w:after="0" w:line="153" w:lineRule="exact"/>
        <w:rPr>
          <w:sz w:val="20"/>
          <w:szCs w:val="20"/>
          <w:color w:val="auto"/>
        </w:rPr>
      </w:pPr>
    </w:p>
    <w:p>
      <w:pPr>
        <w:ind w:left="60" w:right="319"/>
        <w:spacing w:after="0" w:line="312" w:lineRule="auto"/>
        <w:rPr>
          <w:sz w:val="20"/>
          <w:szCs w:val="20"/>
          <w:color w:val="auto"/>
        </w:rPr>
      </w:pPr>
      <w:r>
        <w:rPr>
          <w:rFonts w:ascii="Times New Roman" w:cs="Times New Roman" w:eastAsia="Times New Roman" w:hAnsi="Times New Roman"/>
          <w:sz w:val="17"/>
          <w:szCs w:val="17"/>
          <w:color w:val="auto"/>
        </w:rPr>
        <w:t>There has been no change in our internal control over financial reporting that occurred during the period covered by this report that materially affected, or is reasonably likely to materially affect, our internal control over financial reporting.</w:t>
      </w:r>
    </w:p>
    <w:p>
      <w:pPr>
        <w:spacing w:after="0" w:line="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The Company is a party to certain litigation in the ordinary course, as described in Note 13, “Commitments and Contingencies,” to our condensed consolidated financial statements included herein and which our management deems will not have a material effect on our financial statements.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Except as otherwise described herein, there have been no material changes from the risk factors disclosed in Part I, Item 1A, “Risk Factors,” of our Annual Report on Form 10-K for the fiscal year ended December 31, 2021.</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fail to complete the OEG Transaction on a timely basis or at all.</w:t>
      </w:r>
    </w:p>
    <w:p>
      <w:pPr>
        <w:spacing w:after="0" w:line="18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On April 4, 2022, we and certain of our subsidiaries entered into the Investment Agreement with Atairos and an affiliate of Atairos, pursuant to which OEG will issue and sell to such affiliate, and such affiliate will acquire, 30% of the equity interests of OEG for approximately $293.0 million, subject to certain adjustments as set forth in the Investment Agreement. Although we expect to complete the OEG Transaction in the second quarter of 2022, the completion of the OEG Transaction is subject to customary closing requirements and conditions, including closing a loan financing, and there can be no assurance that the OEG Transaction will be completed on a timely basis or at all. If we fail to consummate the OEG Transaction or should the completion of the OEG Transaction be significantly delayed, we will have expended significant resources without realizing all or a portion of the intended economic benefits of the OEG Transaction. Even if we consummate the OEG Transaction, we may not realize the intended long-term economic benefits. An inability or failure to consummate the OEG Transaction or to realize the full extent of the anticipated long-term economic benefits of the OEG Transaction could have an adverse effect on our business, financial condition, results of operations and our public reputation.</w:t>
      </w:r>
    </w:p>
    <w:p>
      <w:pPr>
        <w:spacing w:after="0" w:line="145" w:lineRule="exact"/>
        <w:rPr>
          <w:sz w:val="20"/>
          <w:szCs w:val="20"/>
          <w:color w:val="auto"/>
        </w:rPr>
      </w:pPr>
    </w:p>
    <w:p>
      <w:pPr>
        <w:ind w:left="60" w:right="2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After the closing of the OEG Transaction, we will conduct the operations of our Entertainment segment through OEG and our ownership will be subject to the terms of agreements with Atairos. Any disagreement with Atairos may adversely affect our interest in OEG.</w:t>
      </w:r>
    </w:p>
    <w:p>
      <w:pPr>
        <w:spacing w:after="0" w:line="148"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After the closing of the OEG Transaction, the limited liability company agreement for OEG will give Atairos certain rights, including consent rights regarding certain major decisions, which may limit our flexibility with respect to OEG. Atairos may have economic or other business interests or goals which are inconsistent with ours, and we could become engaged in a dispute or disagreement with them that might affect our ability to develop or operate the Entertainment business in any manner in which we see fit, thereby adversely affecting our ownership interest in OEG.</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Inapplicable.</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Inapplicable.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Inapplicable.</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43"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Exhibit Number</w:t>
            </w:r>
          </w:p>
        </w:tc>
        <w:tc>
          <w:tcPr>
            <w:tcW w:w="24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460" w:type="dxa"/>
            <w:vAlign w:val="bottom"/>
            <w:tcBorders>
              <w:bottom w:val="single" w:sz="8" w:color="auto"/>
            </w:tcBorders>
            <w:gridSpan w:val="12"/>
          </w:tcPr>
          <w:p>
            <w:pPr>
              <w:ind w:left="320"/>
              <w:spacing w:after="0"/>
              <w:rPr>
                <w:sz w:val="20"/>
                <w:szCs w:val="20"/>
                <w:color w:val="auto"/>
              </w:rPr>
            </w:pPr>
            <w:r>
              <w:rPr>
                <w:rFonts w:ascii="Times New Roman" w:cs="Times New Roman" w:eastAsia="Times New Roman" w:hAnsi="Times New Roman"/>
                <w:sz w:val="18"/>
                <w:szCs w:val="18"/>
                <w:color w:val="auto"/>
              </w:rPr>
              <w:t>Description</w:t>
            </w:r>
          </w:p>
        </w:tc>
      </w:tr>
      <w:tr>
        <w:trPr>
          <w:trHeight w:val="385"/>
        </w:trPr>
        <w:tc>
          <w:tcPr>
            <w:tcW w:w="1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24"/>
                <w:szCs w:val="24"/>
                <w:color w:val="auto"/>
              </w:rPr>
            </w:pPr>
          </w:p>
        </w:tc>
        <w:tc>
          <w:tcPr>
            <w:tcW w:w="642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Amended and Restated Certificate of Incorporation of Ryman Hospitality Properties, Inc.</w:t>
              </w:r>
            </w:hyperlink>
          </w:p>
        </w:tc>
        <w:tc>
          <w:tcPr>
            <w:tcW w:w="1000" w:type="dxa"/>
            <w:vAlign w:val="bottom"/>
            <w:gridSpan w:val="10"/>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20" w:type="dxa"/>
            <w:vAlign w:val="bottom"/>
            <w:gridSpan w:val="17"/>
          </w:tcPr>
          <w:p>
            <w:pPr>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(incorporated by reference to Exhibit 3.1 to the Company’s Current Report on Form 8-K filed</w:t>
              </w:r>
            </w:hyperlink>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54">
              <w:r>
                <w:rPr>
                  <w:rFonts w:ascii="Times New Roman" w:cs="Times New Roman" w:eastAsia="Times New Roman" w:hAnsi="Times New Roman"/>
                  <w:sz w:val="18"/>
                  <w:szCs w:val="18"/>
                  <w:color w:val="0000EE"/>
                  <w:w w:val="97"/>
                </w:rPr>
                <w:t>October 1, 2012).</w:t>
              </w:r>
            </w:hyperlink>
          </w:p>
        </w:tc>
        <w:tc>
          <w:tcPr>
            <w:tcW w:w="5460" w:type="dxa"/>
            <w:vAlign w:val="bottom"/>
            <w:tcBorders>
              <w:top w:val="single" w:sz="8" w:color="0000EE"/>
            </w:tcBorders>
            <w:gridSpan w:val="6"/>
          </w:tcPr>
          <w:p>
            <w:pPr>
              <w:spacing w:after="0"/>
              <w:rPr>
                <w:sz w:val="17"/>
                <w:szCs w:val="17"/>
                <w:color w:val="auto"/>
              </w:rPr>
            </w:pPr>
          </w:p>
        </w:tc>
        <w:tc>
          <w:tcPr>
            <w:tcW w:w="700" w:type="dxa"/>
            <w:vAlign w:val="bottom"/>
            <w:gridSpan w:val="9"/>
          </w:tcPr>
          <w:p>
            <w:pPr>
              <w:spacing w:after="0"/>
              <w:rPr>
                <w:sz w:val="17"/>
                <w:szCs w:val="17"/>
                <w:color w:val="auto"/>
              </w:rPr>
            </w:pPr>
          </w:p>
        </w:tc>
      </w:tr>
      <w:tr>
        <w:trPr>
          <w:trHeight w:val="412"/>
        </w:trPr>
        <w:tc>
          <w:tcPr>
            <w:tcW w:w="1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24"/>
                <w:szCs w:val="24"/>
                <w:color w:val="auto"/>
              </w:rPr>
            </w:pPr>
          </w:p>
        </w:tc>
        <w:tc>
          <w:tcPr>
            <w:tcW w:w="71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55">
              <w:r>
                <w:rPr>
                  <w:rFonts w:ascii="Times New Roman" w:cs="Times New Roman" w:eastAsia="Times New Roman" w:hAnsi="Times New Roman"/>
                  <w:sz w:val="18"/>
                  <w:szCs w:val="18"/>
                  <w:color w:val="0000EE"/>
                  <w:w w:val="99"/>
                </w:rPr>
                <w:t>Amended and Restated Bylaws of Ryman Hospitality Properties, Inc. (incorporated by reference to</w:t>
              </w:r>
            </w:hyperlink>
          </w:p>
        </w:tc>
        <w:tc>
          <w:tcPr>
            <w:tcW w:w="300" w:type="dxa"/>
            <w:vAlign w:val="bottom"/>
            <w:gridSpan w:val="5"/>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20" w:type="dxa"/>
            <w:vAlign w:val="bottom"/>
            <w:gridSpan w:val="17"/>
          </w:tcPr>
          <w:p>
            <w:pPr>
              <w:spacing w:after="0" w:line="19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Exhibit 3.2 to the Company’s Current Report on Form 8-K filed October 1, 2012).</w:t>
              </w:r>
            </w:hyperlink>
          </w:p>
        </w:tc>
      </w:tr>
      <w:tr>
        <w:trPr>
          <w:trHeight w:val="20"/>
        </w:trPr>
        <w:tc>
          <w:tcPr>
            <w:tcW w:w="12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24"/>
                <w:szCs w:val="24"/>
                <w:color w:val="auto"/>
              </w:rPr>
            </w:pPr>
          </w:p>
        </w:tc>
        <w:tc>
          <w:tcPr>
            <w:tcW w:w="738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Fourth Amendment to Employment Agreement, dated as of March 1, 2022, between the Company and</w:t>
              </w:r>
            </w:hyperlink>
          </w:p>
        </w:tc>
        <w:tc>
          <w:tcPr>
            <w:tcW w:w="40" w:type="dxa"/>
            <w:vAlign w:val="bottom"/>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20" w:type="dxa"/>
            <w:vAlign w:val="bottom"/>
            <w:gridSpan w:val="17"/>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Mark Fioravanti (incorporated by reference to Exhibit 10.1 to the Company’s Current Report on</w:t>
              </w:r>
            </w:hyperlink>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90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Form 8-K filed March 1, 2022).</w:t>
              </w:r>
            </w:hyperlink>
          </w:p>
        </w:tc>
        <w:tc>
          <w:tcPr>
            <w:tcW w:w="520" w:type="dxa"/>
            <w:vAlign w:val="bottom"/>
            <w:gridSpan w:val="8"/>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9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412"/>
        </w:trPr>
        <w:tc>
          <w:tcPr>
            <w:tcW w:w="1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tcPr>
          <w:p>
            <w:pPr>
              <w:spacing w:after="0"/>
              <w:rPr>
                <w:sz w:val="24"/>
                <w:szCs w:val="24"/>
                <w:color w:val="auto"/>
              </w:rPr>
            </w:pPr>
          </w:p>
        </w:tc>
        <w:tc>
          <w:tcPr>
            <w:tcW w:w="7420" w:type="dxa"/>
            <w:vAlign w:val="bottom"/>
            <w:gridSpan w:val="17"/>
          </w:tcPr>
          <w:p>
            <w:pPr>
              <w:spacing w:after="0"/>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Severance Agreement, dated as of March 1, 2022, between the Company and Jennifer Hutcheson</w:t>
              </w:r>
            </w:hyperlink>
          </w:p>
        </w:tc>
      </w:tr>
      <w:tr>
        <w:trPr>
          <w:trHeight w:val="20"/>
        </w:trPr>
        <w:tc>
          <w:tcPr>
            <w:tcW w:w="12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394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3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57">
              <w:r>
                <w:rPr>
                  <w:rFonts w:ascii="Times New Roman" w:cs="Times New Roman" w:eastAsia="Times New Roman" w:hAnsi="Times New Roman"/>
                  <w:sz w:val="18"/>
                  <w:szCs w:val="18"/>
                  <w:color w:val="0000EE"/>
                  <w:w w:val="99"/>
                </w:rPr>
                <w:t>(incorporated by reference to Exhibit 10.2 to the Company’s Current Report on Form 8-K filed March</w:t>
              </w:r>
            </w:hyperlink>
          </w:p>
        </w:tc>
        <w:tc>
          <w:tcPr>
            <w:tcW w:w="80" w:type="dxa"/>
            <w:vAlign w:val="bottom"/>
            <w:gridSpan w:val="2"/>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6"/>
              </w:rPr>
            </w:pPr>
            <w:hyperlink r:id="rId57">
              <w:r>
                <w:rPr>
                  <w:rFonts w:ascii="Times New Roman" w:cs="Times New Roman" w:eastAsia="Times New Roman" w:hAnsi="Times New Roman"/>
                  <w:sz w:val="18"/>
                  <w:szCs w:val="18"/>
                  <w:color w:val="0000EE"/>
                  <w:w w:val="96"/>
                </w:rPr>
                <w:t>1, 2022).</w:t>
              </w:r>
            </w:hyperlink>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1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tcPr>
          <w:p>
            <w:pPr>
              <w:spacing w:after="0"/>
              <w:rPr>
                <w:sz w:val="24"/>
                <w:szCs w:val="24"/>
                <w:color w:val="auto"/>
              </w:rPr>
            </w:pPr>
          </w:p>
        </w:tc>
        <w:tc>
          <w:tcPr>
            <w:tcW w:w="7420" w:type="dxa"/>
            <w:vAlign w:val="bottom"/>
            <w:gridSpan w:val="17"/>
          </w:tcPr>
          <w:p>
            <w:pPr>
              <w:spacing w:after="0"/>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Investment Agreement, dated as of April 4, 2022, by and among the Company, OEG Attractions</w:t>
              </w:r>
            </w:hyperlink>
          </w:p>
        </w:tc>
      </w:tr>
      <w:tr>
        <w:trPr>
          <w:trHeight w:val="20"/>
        </w:trPr>
        <w:tc>
          <w:tcPr>
            <w:tcW w:w="12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394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20" w:type="dxa"/>
            <w:vAlign w:val="bottom"/>
            <w:gridSpan w:val="17"/>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Holdings, LLC, RHP Hotels, LLC, RHP Hotel Properties, LP, A-OEG Holdings, LLC and Atairos</w:t>
              </w:r>
            </w:hyperlink>
          </w:p>
        </w:tc>
      </w:tr>
      <w:tr>
        <w:trPr>
          <w:trHeight w:val="20"/>
        </w:trPr>
        <w:tc>
          <w:tcPr>
            <w:tcW w:w="12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394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3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Group, Inc. (incorporated by reference to Exhibit 10.1 to the Company’s Current Report on Form 8-K</w:t>
              </w:r>
            </w:hyperlink>
          </w:p>
        </w:tc>
        <w:tc>
          <w:tcPr>
            <w:tcW w:w="100" w:type="dxa"/>
            <w:vAlign w:val="bottom"/>
            <w:gridSpan w:val="3"/>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58">
              <w:r>
                <w:rPr>
                  <w:rFonts w:ascii="Times New Roman" w:cs="Times New Roman" w:eastAsia="Times New Roman" w:hAnsi="Times New Roman"/>
                  <w:sz w:val="18"/>
                  <w:szCs w:val="18"/>
                  <w:color w:val="0000EE"/>
                  <w:w w:val="98"/>
                </w:rPr>
                <w:t>filed April 5, 2022).</w:t>
              </w:r>
            </w:hyperlink>
          </w:p>
        </w:tc>
        <w:tc>
          <w:tcPr>
            <w:tcW w:w="5980" w:type="dxa"/>
            <w:vAlign w:val="bottom"/>
            <w:gridSpan w:val="14"/>
          </w:tcPr>
          <w:p>
            <w:pPr>
              <w:spacing w:after="0"/>
              <w:rPr>
                <w:sz w:val="17"/>
                <w:szCs w:val="17"/>
                <w:color w:val="auto"/>
              </w:rPr>
            </w:pPr>
          </w:p>
        </w:tc>
      </w:tr>
      <w:tr>
        <w:trPr>
          <w:trHeight w:val="412"/>
        </w:trPr>
        <w:tc>
          <w:tcPr>
            <w:tcW w:w="1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4"/>
                <w:szCs w:val="24"/>
                <w:color w:val="auto"/>
              </w:rPr>
            </w:pPr>
          </w:p>
        </w:tc>
        <w:tc>
          <w:tcPr>
            <w:tcW w:w="7420" w:type="dxa"/>
            <w:vAlign w:val="bottom"/>
            <w:gridSpan w:val="17"/>
          </w:tcPr>
          <w:p>
            <w:pPr>
              <w:spacing w:after="0"/>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Form of Second Amended and Restated Limited Liability Company Agreement for OEG Attractions</w:t>
              </w:r>
            </w:hyperlink>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4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Holdings, LLC (incorporated by reference to Exhibit C to Exhibit 10.1 to the Company’s Current</w:t>
              </w:r>
            </w:hyperlink>
          </w:p>
        </w:tc>
        <w:tc>
          <w:tcPr>
            <w:tcW w:w="180" w:type="dxa"/>
            <w:vAlign w:val="bottom"/>
            <w:gridSpan w:val="4"/>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6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Report on Form 8-K filed April 5, 2022).</w:t>
              </w:r>
            </w:hyperlink>
          </w:p>
        </w:tc>
        <w:tc>
          <w:tcPr>
            <w:tcW w:w="4020" w:type="dxa"/>
            <w:vAlign w:val="bottom"/>
            <w:tcBorders>
              <w:top w:val="single" w:sz="8" w:color="0000EE"/>
            </w:tcBorders>
            <w:gridSpan w:val="5"/>
          </w:tcPr>
          <w:p>
            <w:pPr>
              <w:spacing w:after="0"/>
              <w:rPr>
                <w:sz w:val="17"/>
                <w:szCs w:val="17"/>
                <w:color w:val="auto"/>
              </w:rPr>
            </w:pPr>
          </w:p>
        </w:tc>
        <w:tc>
          <w:tcPr>
            <w:tcW w:w="440" w:type="dxa"/>
            <w:vAlign w:val="bottom"/>
            <w:gridSpan w:val="7"/>
          </w:tcPr>
          <w:p>
            <w:pPr>
              <w:spacing w:after="0"/>
              <w:rPr>
                <w:sz w:val="17"/>
                <w:szCs w:val="17"/>
                <w:color w:val="auto"/>
              </w:rPr>
            </w:pPr>
          </w:p>
        </w:tc>
      </w:tr>
      <w:tr>
        <w:trPr>
          <w:trHeight w:val="412"/>
        </w:trPr>
        <w:tc>
          <w:tcPr>
            <w:tcW w:w="1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tcPr>
          <w:p>
            <w:pPr>
              <w:spacing w:after="0"/>
              <w:rPr>
                <w:sz w:val="24"/>
                <w:szCs w:val="24"/>
                <w:color w:val="auto"/>
              </w:rPr>
            </w:pPr>
          </w:p>
        </w:tc>
        <w:tc>
          <w:tcPr>
            <w:tcW w:w="7420" w:type="dxa"/>
            <w:vAlign w:val="bottom"/>
            <w:gridSpan w:val="17"/>
          </w:tcPr>
          <w:p>
            <w:pPr>
              <w:spacing w:after="0"/>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Amendment No. 5 to Sixth Amended and Restated Credit Agreement, dated as of April 4, 2022,</w:t>
              </w:r>
            </w:hyperlink>
          </w:p>
        </w:tc>
      </w:tr>
      <w:tr>
        <w:trPr>
          <w:trHeight w:val="20"/>
        </w:trPr>
        <w:tc>
          <w:tcPr>
            <w:tcW w:w="12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6900" w:type="dxa"/>
            <w:vAlign w:val="bottom"/>
            <w:gridSpan w:val="9"/>
            <w:shd w:val="clear" w:color="auto" w:fill="0000EE"/>
          </w:tcPr>
          <w:p>
            <w:pPr>
              <w:spacing w:after="0" w:line="20" w:lineRule="exact"/>
              <w:rPr>
                <w:sz w:val="1"/>
                <w:szCs w:val="1"/>
                <w:color w:val="auto"/>
              </w:rPr>
            </w:pPr>
          </w:p>
        </w:tc>
        <w:tc>
          <w:tcPr>
            <w:tcW w:w="520" w:type="dxa"/>
            <w:vAlign w:val="bottom"/>
            <w:gridSpan w:val="8"/>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20" w:type="dxa"/>
            <w:vAlign w:val="bottom"/>
            <w:gridSpan w:val="17"/>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among Ryman Hospitality Properties, Inc., as guarantor, RHP Hotel Properties, LP, as borrower,</w:t>
              </w:r>
            </w:hyperlink>
          </w:p>
        </w:tc>
      </w:tr>
      <w:tr>
        <w:trPr>
          <w:trHeight w:val="20"/>
        </w:trPr>
        <w:tc>
          <w:tcPr>
            <w:tcW w:w="12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9" w:lineRule="exact"/>
        <w:rPr>
          <w:sz w:val="20"/>
          <w:szCs w:val="20"/>
          <w:color w:val="auto"/>
        </w:rPr>
      </w:pPr>
    </w:p>
    <w:p>
      <w:pPr>
        <w:ind w:left="1520" w:right="199"/>
        <w:spacing w:after="0" w:line="261" w:lineRule="auto"/>
        <w:rPr>
          <w:rFonts w:ascii="Times New Roman" w:cs="Times New Roman" w:eastAsia="Times New Roman" w:hAnsi="Times New Roman"/>
          <w:sz w:val="18"/>
          <w:szCs w:val="18"/>
          <w:u w:val="single" w:color="auto"/>
          <w:color w:val="0000EE"/>
        </w:rPr>
      </w:pPr>
      <w:hyperlink r:id="rId59">
        <w:r>
          <w:rPr>
            <w:rFonts w:ascii="Times New Roman" w:cs="Times New Roman" w:eastAsia="Times New Roman" w:hAnsi="Times New Roman"/>
            <w:sz w:val="18"/>
            <w:szCs w:val="18"/>
            <w:u w:val="single" w:color="auto"/>
            <w:color w:val="0000EE"/>
          </w:rPr>
          <w:t>certain other subsidiary of Ryman Hospitality Properties, Inc. party thereto, as guarantors, certain</w:t>
        </w:r>
      </w:hyperlink>
      <w:r>
        <w:rPr>
          <w:rFonts w:ascii="Times New Roman" w:cs="Times New Roman" w:eastAsia="Times New Roman" w:hAnsi="Times New Roman"/>
          <w:sz w:val="18"/>
          <w:szCs w:val="18"/>
          <w:u w:val="single" w:color="auto"/>
          <w:color w:val="0000EE"/>
        </w:rPr>
        <w:t xml:space="preserve"> </w:t>
      </w:r>
      <w:hyperlink r:id="rId59">
        <w:r>
          <w:rPr>
            <w:rFonts w:ascii="Times New Roman" w:cs="Times New Roman" w:eastAsia="Times New Roman" w:hAnsi="Times New Roman"/>
            <w:sz w:val="18"/>
            <w:szCs w:val="18"/>
            <w:u w:val="single" w:color="auto"/>
            <w:color w:val="0000EE"/>
          </w:rPr>
          <w:t>subsidiaries of Ryman Hospitality Properties, Inc. party thereto, as pledgors, the lenders party thereto</w:t>
        </w:r>
      </w:hyperlink>
      <w:r>
        <w:rPr>
          <w:rFonts w:ascii="Times New Roman" w:cs="Times New Roman" w:eastAsia="Times New Roman" w:hAnsi="Times New Roman"/>
          <w:sz w:val="18"/>
          <w:szCs w:val="18"/>
          <w:u w:val="single" w:color="auto"/>
          <w:color w:val="0000EE"/>
        </w:rPr>
        <w:t xml:space="preserve"> </w:t>
      </w:r>
      <w:hyperlink r:id="rId59">
        <w:r>
          <w:rPr>
            <w:rFonts w:ascii="Times New Roman" w:cs="Times New Roman" w:eastAsia="Times New Roman" w:hAnsi="Times New Roman"/>
            <w:sz w:val="18"/>
            <w:szCs w:val="18"/>
            <w:u w:val="single" w:color="auto"/>
            <w:color w:val="0000EE"/>
          </w:rPr>
          <w:t>and Wells Fargo Bank, National Association, as administrative agent (incorporated by reference to</w:t>
        </w:r>
      </w:hyperlink>
      <w:r>
        <w:rPr>
          <w:rFonts w:ascii="Times New Roman" w:cs="Times New Roman" w:eastAsia="Times New Roman" w:hAnsi="Times New Roman"/>
          <w:sz w:val="18"/>
          <w:szCs w:val="18"/>
          <w:u w:val="single" w:color="auto"/>
          <w:color w:val="0000EE"/>
        </w:rPr>
        <w:t xml:space="preserve"> </w:t>
      </w:r>
      <w:hyperlink r:id="rId59">
        <w:r>
          <w:rPr>
            <w:rFonts w:ascii="Times New Roman" w:cs="Times New Roman" w:eastAsia="Times New Roman" w:hAnsi="Times New Roman"/>
            <w:sz w:val="18"/>
            <w:szCs w:val="18"/>
            <w:u w:val="single" w:color="auto"/>
            <w:color w:val="0000EE"/>
          </w:rPr>
          <w:t>Exhibit 10.3 to the Company’s Current Report on Form 8-K filed April 5, 2022).</w:t>
        </w:r>
      </w:hyperlink>
    </w:p>
    <w:p>
      <w:pPr>
        <w:spacing w:after="0" w:line="180" w:lineRule="exact"/>
        <w:rPr>
          <w:rFonts w:ascii="Times New Roman" w:cs="Times New Roman" w:eastAsia="Times New Roman" w:hAnsi="Times New Roman"/>
          <w:sz w:val="18"/>
          <w:szCs w:val="18"/>
          <w:u w:val="single" w:color="auto"/>
          <w:color w:val="0000EE"/>
        </w:rPr>
      </w:pPr>
    </w:p>
    <w:p>
      <w:pPr>
        <w:ind w:left="1520" w:right="299" w:hanging="978"/>
        <w:spacing w:after="0" w:line="312" w:lineRule="auto"/>
        <w:tabs>
          <w:tab w:leader="none" w:pos="1520" w:val="left"/>
        </w:tabs>
        <w:numPr>
          <w:ilvl w:val="0"/>
          <w:numId w:val="22"/>
        </w:numPr>
        <w:rPr>
          <w:rFonts w:ascii="Times New Roman" w:cs="Times New Roman" w:eastAsia="Times New Roman" w:hAnsi="Times New Roman"/>
          <w:sz w:val="17"/>
          <w:szCs w:val="17"/>
          <w:u w:val="single" w:color="auto"/>
          <w:color w:val="0000EE"/>
        </w:rPr>
      </w:pPr>
      <w:hyperlink r:id="rId60">
        <w:r>
          <w:rPr>
            <w:rFonts w:ascii="Times New Roman" w:cs="Times New Roman" w:eastAsia="Times New Roman" w:hAnsi="Times New Roman"/>
            <w:sz w:val="17"/>
            <w:szCs w:val="17"/>
            <w:u w:val="single" w:color="auto"/>
            <w:color w:val="0000EE"/>
          </w:rPr>
          <w:t>List of Parent and Subsidiary Guarantors (incorporated by reference to Exhibit 22 to the Company’s</w:t>
        </w:r>
      </w:hyperlink>
      <w:r>
        <w:rPr>
          <w:rFonts w:ascii="Times New Roman" w:cs="Times New Roman" w:eastAsia="Times New Roman" w:hAnsi="Times New Roman"/>
          <w:sz w:val="17"/>
          <w:szCs w:val="17"/>
          <w:u w:val="single" w:color="auto"/>
          <w:color w:val="0000EE"/>
        </w:rPr>
        <w:t xml:space="preserve"> </w:t>
      </w:r>
      <w:hyperlink r:id="rId60">
        <w:r>
          <w:rPr>
            <w:rFonts w:ascii="Times New Roman" w:cs="Times New Roman" w:eastAsia="Times New Roman" w:hAnsi="Times New Roman"/>
            <w:sz w:val="17"/>
            <w:szCs w:val="17"/>
            <w:u w:val="single" w:color="auto"/>
            <w:color w:val="0000EE"/>
          </w:rPr>
          <w:t>Annual Report on Form 10-K for the year ended December 31, 2021, filed February 25, 2022).</w:t>
        </w:r>
      </w:hyperlink>
    </w:p>
    <w:p>
      <w:pPr>
        <w:spacing w:after="0" w:line="127" w:lineRule="exact"/>
        <w:rPr>
          <w:rFonts w:ascii="Times New Roman" w:cs="Times New Roman" w:eastAsia="Times New Roman" w:hAnsi="Times New Roman"/>
          <w:sz w:val="17"/>
          <w:szCs w:val="17"/>
          <w:color w:val="auto"/>
        </w:rPr>
      </w:pPr>
    </w:p>
    <w:tbl>
      <w:tblPr>
        <w:tblLayout w:type="fixed"/>
        <w:tblInd w:w="54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62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Certification of Colin V. Reed pursuant to Section 302 of Sarbanes-Oxley Act of 2002.</w:t>
            </w:r>
          </w:p>
        </w:tc>
        <w:tc>
          <w:tcPr>
            <w:tcW w:w="1140" w:type="dxa"/>
            <w:vAlign w:val="bottom"/>
            <w:gridSpan w:val="3"/>
          </w:tcPr>
          <w:p>
            <w:pPr>
              <w:spacing w:after="0"/>
              <w:rPr>
                <w:sz w:val="18"/>
                <w:szCs w:val="18"/>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66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Certification of Jennifer Hutcheson pursuant to Section 302 of Sarbanes-Oxley Act of 2002.</w:t>
            </w:r>
          </w:p>
        </w:tc>
        <w:tc>
          <w:tcPr>
            <w:tcW w:w="760" w:type="dxa"/>
            <w:vAlign w:val="bottom"/>
            <w:gridSpan w:val="2"/>
          </w:tcPr>
          <w:p>
            <w:pPr>
              <w:spacing w:after="0"/>
              <w:rPr>
                <w:sz w:val="24"/>
                <w:szCs w:val="24"/>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73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Certification of Colin V. Reed and Jennifer Hutcheson pursuant to 18 U.S.C. Section 1350, as adopted</w:t>
            </w:r>
          </w:p>
        </w:tc>
        <w:tc>
          <w:tcPr>
            <w:tcW w:w="40" w:type="dxa"/>
            <w:vAlign w:val="bottom"/>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74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906 of Sarbanes-Oxley Act of 2002.</w:t>
            </w:r>
          </w:p>
        </w:tc>
      </w:tr>
      <w:tr>
        <w:trPr>
          <w:trHeight w:val="20"/>
        </w:trPr>
        <w:tc>
          <w:tcPr>
            <w:tcW w:w="980" w:type="dxa"/>
            <w:vAlign w:val="bottom"/>
          </w:tcPr>
          <w:p>
            <w:pPr>
              <w:spacing w:after="0" w:line="20" w:lineRule="exact"/>
              <w:rPr>
                <w:sz w:val="1"/>
                <w:szCs w:val="1"/>
                <w:color w:val="auto"/>
              </w:rPr>
            </w:pPr>
          </w:p>
        </w:tc>
        <w:tc>
          <w:tcPr>
            <w:tcW w:w="4040" w:type="dxa"/>
            <w:vAlign w:val="bottom"/>
            <w:shd w:val="clear" w:color="auto" w:fill="0000EE"/>
          </w:tcPr>
          <w:p>
            <w:pPr>
              <w:spacing w:after="0" w:line="20" w:lineRule="exact"/>
              <w:rPr>
                <w:sz w:val="1"/>
                <w:szCs w:val="1"/>
                <w:color w:val="auto"/>
              </w:rPr>
            </w:pPr>
          </w:p>
        </w:tc>
        <w:tc>
          <w:tcPr>
            <w:tcW w:w="3360" w:type="dxa"/>
            <w:vAlign w:val="bottom"/>
            <w:gridSpan w:val="4"/>
          </w:tcPr>
          <w:p>
            <w:pPr>
              <w:spacing w:after="0" w:line="20" w:lineRule="exact"/>
              <w:rPr>
                <w:sz w:val="1"/>
                <w:szCs w:val="1"/>
                <w:color w:val="auto"/>
              </w:rPr>
            </w:pPr>
          </w:p>
        </w:tc>
      </w:tr>
      <w:tr>
        <w:trPr>
          <w:trHeight w:val="4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740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The following materials from Ryman Hospitality Properties, Inc.’s Quarterly Report on Form 10-Q for</w:t>
            </w:r>
          </w:p>
        </w:tc>
      </w:tr>
      <w:tr>
        <w:trPr>
          <w:trHeight w:val="234"/>
        </w:trPr>
        <w:tc>
          <w:tcPr>
            <w:tcW w:w="980" w:type="dxa"/>
            <w:vAlign w:val="bottom"/>
          </w:tcPr>
          <w:p>
            <w:pPr>
              <w:spacing w:after="0"/>
              <w:rPr>
                <w:sz w:val="20"/>
                <w:szCs w:val="20"/>
                <w:color w:val="auto"/>
              </w:rPr>
            </w:pPr>
          </w:p>
        </w:tc>
        <w:tc>
          <w:tcPr>
            <w:tcW w:w="7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quarterly period ended March 31, 2022, formatted in Inline XBRL (eXtensible Business</w:t>
            </w:r>
          </w:p>
        </w:tc>
      </w:tr>
    </w:tbl>
    <w:p>
      <w:pPr>
        <w:spacing w:after="0" w:line="200" w:lineRule="exact"/>
        <w:rPr>
          <w:rFonts w:ascii="Times New Roman" w:cs="Times New Roman" w:eastAsia="Times New Roman" w:hAnsi="Times New Roman"/>
          <w:sz w:val="17"/>
          <w:szCs w:val="17"/>
          <w:color w:val="auto"/>
        </w:rPr>
      </w:pPr>
    </w:p>
    <w:p>
      <w:pPr>
        <w:sectPr>
          <w:pgSz w:w="11900" w:h="16838" w:orient="portrait"/>
          <w:cols w:equalWidth="0" w:num="1">
            <w:col w:w="9019"/>
          </w:cols>
          <w:pgMar w:left="1440" w:top="513" w:right="1440" w:bottom="1440" w:gutter="0" w:footer="0" w:header="0"/>
        </w:sectPr>
      </w:pPr>
    </w:p>
    <w:p>
      <w:pPr>
        <w:spacing w:after="0" w:line="214" w:lineRule="exact"/>
        <w:rPr>
          <w:rFonts w:ascii="Times New Roman" w:cs="Times New Roman" w:eastAsia="Times New Roman" w:hAnsi="Times New Roman"/>
          <w:sz w:val="17"/>
          <w:szCs w:val="17"/>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520" w:right="119"/>
        <w:spacing w:after="0" w:line="256" w:lineRule="auto"/>
        <w:rPr>
          <w:sz w:val="20"/>
          <w:szCs w:val="20"/>
          <w:color w:val="auto"/>
        </w:rPr>
      </w:pPr>
      <w:r>
        <w:rPr>
          <w:rFonts w:ascii="Times New Roman" w:cs="Times New Roman" w:eastAsia="Times New Roman" w:hAnsi="Times New Roman"/>
          <w:sz w:val="18"/>
          <w:szCs w:val="18"/>
          <w:color w:val="auto"/>
        </w:rPr>
        <w:t>Reporting Language): (i) Condensed Consolidated Balance Sheets (unaudited) at March 31, 2022 and December 31, 2021, (ii) Condensed Consolidated Statements of Operations and Comprehensive Loss (unaudited) for the three months ended March 31, 2022 and 2021, (iii) Condensed Consolidated Statements of Cash Flows (unaudited) for the three months ended March 31, 2022 and 2021, (iv) Condensed Consolidated Statements of Equity (Deficit) (unaudited) for the three months ended March 31, 2022 and 2021, and (v) Notes to Condensed Consolidated Financial Statements (unaudited).</w:t>
      </w:r>
    </w:p>
    <w:p>
      <w:pPr>
        <w:spacing w:after="0" w:line="187" w:lineRule="exact"/>
        <w:rPr>
          <w:sz w:val="20"/>
          <w:szCs w:val="20"/>
          <w:color w:val="auto"/>
        </w:rPr>
      </w:pPr>
    </w:p>
    <w:p>
      <w:pPr>
        <w:ind w:left="540"/>
        <w:spacing w:after="0"/>
        <w:tabs>
          <w:tab w:leader="none" w:pos="15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85725</wp:posOffset>
            </wp:positionV>
            <wp:extent cx="141414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05" w:lineRule="exact"/>
        <w:rPr>
          <w:sz w:val="20"/>
          <w:szCs w:val="20"/>
          <w:color w:val="auto"/>
        </w:rPr>
      </w:pPr>
    </w:p>
    <w:p>
      <w:pPr>
        <w:ind w:left="360" w:hanging="310"/>
        <w:spacing w:after="0"/>
        <w:tabs>
          <w:tab w:leader="none" w:pos="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940" w:type="dxa"/>
            <w:vAlign w:val="bottom"/>
          </w:tcPr>
          <w:p>
            <w:pPr>
              <w:spacing w:after="0"/>
              <w:rPr>
                <w:sz w:val="20"/>
                <w:szCs w:val="20"/>
                <w:color w:val="auto"/>
              </w:rPr>
            </w:pPr>
          </w:p>
        </w:tc>
        <w:tc>
          <w:tcPr>
            <w:tcW w:w="5960" w:type="dxa"/>
            <w:vAlign w:val="bottom"/>
            <w:gridSpan w:val="2"/>
          </w:tcPr>
          <w:p>
            <w:pPr>
              <w:ind w:left="1600"/>
              <w:spacing w:after="0"/>
              <w:rPr>
                <w:sz w:val="20"/>
                <w:szCs w:val="20"/>
                <w:color w:val="auto"/>
              </w:rPr>
            </w:pPr>
            <w:r>
              <w:rPr>
                <w:rFonts w:ascii="Times New Roman" w:cs="Times New Roman" w:eastAsia="Times New Roman" w:hAnsi="Times New Roman"/>
                <w:sz w:val="18"/>
                <w:szCs w:val="18"/>
                <w:b w:val="1"/>
                <w:bCs w:val="1"/>
                <w:color w:val="auto"/>
              </w:rPr>
              <w:t>RYMAN HOSPITALITY PROPERTIES, INC.</w:t>
            </w:r>
          </w:p>
        </w:tc>
      </w:tr>
      <w:tr>
        <w:trPr>
          <w:trHeight w:val="432"/>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Date: May 3, 2022</w:t>
            </w:r>
          </w:p>
        </w:tc>
        <w:tc>
          <w:tcPr>
            <w:tcW w:w="596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By:/s/ Colin V. Reed</w:t>
            </w:r>
          </w:p>
        </w:tc>
      </w:tr>
      <w:tr>
        <w:trPr>
          <w:trHeight w:val="191"/>
        </w:trPr>
        <w:tc>
          <w:tcPr>
            <w:tcW w:w="29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100" w:type="dxa"/>
            <w:vAlign w:val="bottom"/>
            <w:tcBorders>
              <w:top w:val="single" w:sz="8" w:color="auto"/>
            </w:tcBorders>
          </w:tcPr>
          <w:p>
            <w:pPr>
              <w:ind w:left="240"/>
              <w:spacing w:after="0" w:line="191" w:lineRule="exact"/>
              <w:rPr>
                <w:sz w:val="20"/>
                <w:szCs w:val="20"/>
                <w:color w:val="auto"/>
              </w:rPr>
            </w:pPr>
            <w:r>
              <w:rPr>
                <w:rFonts w:ascii="Times New Roman" w:cs="Times New Roman" w:eastAsia="Times New Roman" w:hAnsi="Times New Roman"/>
                <w:sz w:val="18"/>
                <w:szCs w:val="18"/>
                <w:color w:val="auto"/>
              </w:rPr>
              <w:t>Colin V. Reed</w:t>
            </w:r>
          </w:p>
        </w:tc>
      </w:tr>
      <w:tr>
        <w:trPr>
          <w:trHeight w:val="216"/>
        </w:trPr>
        <w:tc>
          <w:tcPr>
            <w:tcW w:w="29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Chairman of the Board of Directors and</w:t>
            </w:r>
          </w:p>
        </w:tc>
      </w:tr>
      <w:tr>
        <w:trPr>
          <w:trHeight w:val="234"/>
        </w:trPr>
        <w:tc>
          <w:tcPr>
            <w:tcW w:w="29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2940" w:type="dxa"/>
            <w:vAlign w:val="bottom"/>
          </w:tcPr>
          <w:p>
            <w:pPr>
              <w:spacing w:after="0"/>
              <w:rPr>
                <w:sz w:val="24"/>
                <w:szCs w:val="24"/>
                <w:color w:val="auto"/>
              </w:rPr>
            </w:pPr>
          </w:p>
        </w:tc>
        <w:tc>
          <w:tcPr>
            <w:tcW w:w="596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By:/s/ Jennifer Hutcheson</w:t>
            </w:r>
          </w:p>
        </w:tc>
      </w:tr>
      <w:tr>
        <w:trPr>
          <w:trHeight w:val="191"/>
        </w:trPr>
        <w:tc>
          <w:tcPr>
            <w:tcW w:w="29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100" w:type="dxa"/>
            <w:vAlign w:val="bottom"/>
            <w:tcBorders>
              <w:top w:val="single" w:sz="8" w:color="auto"/>
            </w:tcBorders>
          </w:tcPr>
          <w:p>
            <w:pPr>
              <w:ind w:left="240"/>
              <w:spacing w:after="0" w:line="191" w:lineRule="exact"/>
              <w:rPr>
                <w:sz w:val="20"/>
                <w:szCs w:val="20"/>
                <w:color w:val="auto"/>
              </w:rPr>
            </w:pPr>
            <w:r>
              <w:rPr>
                <w:rFonts w:ascii="Times New Roman" w:cs="Times New Roman" w:eastAsia="Times New Roman" w:hAnsi="Times New Roman"/>
                <w:sz w:val="18"/>
                <w:szCs w:val="18"/>
                <w:color w:val="auto"/>
              </w:rPr>
              <w:t>Jennifer Hutcheson</w:t>
            </w:r>
          </w:p>
        </w:tc>
      </w:tr>
      <w:tr>
        <w:trPr>
          <w:trHeight w:val="216"/>
        </w:trPr>
        <w:tc>
          <w:tcPr>
            <w:tcW w:w="29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Executive Vice President, Chief Financial</w:t>
            </w:r>
          </w:p>
        </w:tc>
      </w:tr>
      <w:tr>
        <w:trPr>
          <w:trHeight w:val="234"/>
        </w:trPr>
        <w:tc>
          <w:tcPr>
            <w:tcW w:w="29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Officer and 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Colin V. Reed, certify that:</w:t>
      </w:r>
    </w:p>
    <w:p>
      <w:pPr>
        <w:spacing w:after="0" w:line="225"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Ryman Hospitality Properties, Inc.;</w:t>
      </w:r>
    </w:p>
    <w:p>
      <w:pPr>
        <w:spacing w:after="0" w:line="225" w:lineRule="exact"/>
        <w:rPr>
          <w:rFonts w:ascii="Times New Roman" w:cs="Times New Roman" w:eastAsia="Times New Roman" w:hAnsi="Times New Roman"/>
          <w:sz w:val="18"/>
          <w:szCs w:val="18"/>
          <w:color w:val="auto"/>
        </w:rPr>
      </w:pPr>
    </w:p>
    <w:p>
      <w:pPr>
        <w:ind w:left="660" w:right="200" w:hanging="652"/>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80" w:hanging="652"/>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60" w:right="40" w:hanging="652"/>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260" w:firstLine="656"/>
        <w:spacing w:after="0" w:line="266" w:lineRule="auto"/>
        <w:tabs>
          <w:tab w:leader="none" w:pos="129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220" w:firstLine="656"/>
        <w:spacing w:after="0" w:line="266" w:lineRule="auto"/>
        <w:tabs>
          <w:tab w:leader="none" w:pos="129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100" w:firstLine="656"/>
        <w:spacing w:after="0" w:line="266" w:lineRule="auto"/>
        <w:tabs>
          <w:tab w:leader="none" w:pos="129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right="120" w:firstLine="656"/>
        <w:spacing w:after="0" w:line="266" w:lineRule="auto"/>
        <w:tabs>
          <w:tab w:leader="none" w:pos="129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380" w:hanging="652"/>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right="580" w:firstLine="656"/>
        <w:spacing w:after="0" w:line="266" w:lineRule="auto"/>
        <w:tabs>
          <w:tab w:leader="none" w:pos="129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right="260" w:firstLine="656"/>
        <w:spacing w:after="0" w:line="282" w:lineRule="auto"/>
        <w:tabs>
          <w:tab w:leader="none" w:pos="129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3, 2022</w:t>
      </w:r>
    </w:p>
    <w:p>
      <w:pPr>
        <w:spacing w:after="0" w:line="225"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auto"/>
        </w:rPr>
        <w:t>By:</w:t>
        <w:tab/>
        <w:t>/s/ Colin V.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17145</wp:posOffset>
            </wp:positionV>
            <wp:extent cx="298323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Colin V. Reed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Chairman of the Board of Directors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Jennifer Hutcheson, certify that:</w:t>
      </w:r>
    </w:p>
    <w:p>
      <w:pPr>
        <w:spacing w:after="0" w:line="225" w:lineRule="exact"/>
        <w:rPr>
          <w:sz w:val="20"/>
          <w:szCs w:val="20"/>
          <w:color w:val="auto"/>
        </w:rPr>
      </w:pPr>
    </w:p>
    <w:p>
      <w:pPr>
        <w:ind w:left="680" w:hanging="672"/>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Ryman Hospitality Properties, Inc.;</w:t>
      </w:r>
    </w:p>
    <w:p>
      <w:pPr>
        <w:spacing w:after="0" w:line="225" w:lineRule="exact"/>
        <w:rPr>
          <w:rFonts w:ascii="Times New Roman" w:cs="Times New Roman" w:eastAsia="Times New Roman" w:hAnsi="Times New Roman"/>
          <w:sz w:val="18"/>
          <w:szCs w:val="18"/>
          <w:color w:val="auto"/>
        </w:rPr>
      </w:pPr>
    </w:p>
    <w:p>
      <w:pPr>
        <w:ind w:right="400" w:firstLine="8"/>
        <w:spacing w:after="0" w:line="266" w:lineRule="auto"/>
        <w:tabs>
          <w:tab w:leader="none" w:pos="6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00" w:firstLine="8"/>
        <w:spacing w:after="0" w:line="266" w:lineRule="auto"/>
        <w:tabs>
          <w:tab w:leader="none" w:pos="6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right="500" w:firstLine="8"/>
        <w:spacing w:after="0" w:line="266" w:lineRule="auto"/>
        <w:tabs>
          <w:tab w:leader="none" w:pos="67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220" w:firstLine="656"/>
        <w:spacing w:after="0" w:line="266" w:lineRule="auto"/>
        <w:tabs>
          <w:tab w:leader="none" w:pos="132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240" w:firstLine="656"/>
        <w:spacing w:after="0" w:line="266" w:lineRule="auto"/>
        <w:tabs>
          <w:tab w:leader="none" w:pos="1293"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100" w:firstLine="656"/>
        <w:spacing w:after="0" w:line="266" w:lineRule="auto"/>
        <w:tabs>
          <w:tab w:leader="none" w:pos="132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right="120" w:firstLine="656"/>
        <w:spacing w:after="0" w:line="266" w:lineRule="auto"/>
        <w:tabs>
          <w:tab w:leader="none" w:pos="1293"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80" w:firstLine="8"/>
        <w:spacing w:after="0" w:line="266" w:lineRule="auto"/>
        <w:tabs>
          <w:tab w:leader="none" w:pos="67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right="560" w:firstLine="656"/>
        <w:spacing w:after="0" w:line="266" w:lineRule="auto"/>
        <w:tabs>
          <w:tab w:leader="none" w:pos="131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right="280" w:firstLine="656"/>
        <w:spacing w:after="0" w:line="282" w:lineRule="auto"/>
        <w:tabs>
          <w:tab w:leader="none" w:pos="1283"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3,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Jennifer Hutcheson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17145</wp:posOffset>
            </wp:positionV>
            <wp:extent cx="24517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Jennifer Hutcheson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Executive Vice President, Chief Financial Officer</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and 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Ryman Hospitality Properties, Inc. (the "Company") on Form 10-Q for the quarter ended March 31, 2022, as filed with the Securities and Exchange Commission on the date hereof (the "Report"), each of the undersigned certifies, pursuant to 18 U.S.C. § 1350, as adopted pursuant to §906 of the Sarbanes-Oxley Act of 2002, that:</w:t>
      </w:r>
    </w:p>
    <w:p>
      <w:pPr>
        <w:spacing w:after="0" w:line="176" w:lineRule="exact"/>
        <w:rPr>
          <w:sz w:val="20"/>
          <w:szCs w:val="20"/>
          <w:color w:val="auto"/>
        </w:rPr>
      </w:pPr>
    </w:p>
    <w:p>
      <w:pPr>
        <w:ind w:left="1260" w:hanging="604"/>
        <w:spacing w:after="0"/>
        <w:tabs>
          <w:tab w:leader="none" w:pos="1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240" w:firstLine="656"/>
        <w:spacing w:after="0" w:line="282" w:lineRule="auto"/>
        <w:tabs>
          <w:tab w:leader="none" w:pos="125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By: /s/ Colin V.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17145</wp:posOffset>
            </wp:positionV>
            <wp:extent cx="21856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Colin V. Reed</w:t>
      </w:r>
    </w:p>
    <w:p>
      <w:pPr>
        <w:spacing w:after="0" w:line="2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Chairman of the Board of Directors and Chief Executive Officer</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May 3, 2022</w:t>
      </w:r>
    </w:p>
    <w:p>
      <w:pPr>
        <w:spacing w:after="0" w:line="2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By: /s/ Jennifer Hutcheson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17145</wp:posOffset>
            </wp:positionV>
            <wp:extent cx="21856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Jennifer Hutcheson</w:t>
      </w:r>
    </w:p>
    <w:p>
      <w:pPr>
        <w:spacing w:after="0" w:line="2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and Chief Accounting Officer</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May 3, 2022</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331470</wp:posOffset>
            </wp:positionV>
            <wp:extent cx="629221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1)"/>
      <w:numFmt w:val="upperLetter"/>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1)"/>
      <w:numFmt w:val="lowerRoman"/>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1"/>
      <w:numFmt w:val="decimal"/>
      <w:start w:val="22"/>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54" Type="http://schemas.openxmlformats.org/officeDocument/2006/relationships/hyperlink" Target="http://www.sec.gov/Archives/edgar/data/1040829/000119312512410191/d419132dex31.htm" TargetMode="External"/><Relationship Id="rId55" Type="http://schemas.openxmlformats.org/officeDocument/2006/relationships/hyperlink" Target="http://www.sec.gov/Archives/edgar/data/1040829/000119312512410191/d419132dex32.htm" TargetMode="External"/><Relationship Id="rId56" Type="http://schemas.openxmlformats.org/officeDocument/2006/relationships/hyperlink" Target="https://www.sec.gov/Archives/edgar/data/1040829/000110465922028770/tm227976d1_ex10-1.htm" TargetMode="External"/><Relationship Id="rId57" Type="http://schemas.openxmlformats.org/officeDocument/2006/relationships/hyperlink" Target="https://www.sec.gov/Archives/edgar/data/1040829/000110465922028770/tm227976d1_ex10-2.htm" TargetMode="External"/><Relationship Id="rId58" Type="http://schemas.openxmlformats.org/officeDocument/2006/relationships/hyperlink" Target="https://www.sec.gov/Archives/edgar/data/1040829/000110465922042464/tm2211530d1_ex10-1.htm" TargetMode="External"/><Relationship Id="rId59" Type="http://schemas.openxmlformats.org/officeDocument/2006/relationships/hyperlink" Target="https://www.sec.gov/Archives/edgar/data/1040829/000110465922042464/tm2211530d1_ex10-3.htm" TargetMode="External"/><Relationship Id="rId60" Type="http://schemas.openxmlformats.org/officeDocument/2006/relationships/hyperlink" Target="https://www.sec.gov/Archives/edgar/data/1040829/000155837022002101/rhp-20211231xex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2022-05-03T10:45:48Z</dcterms:created>
  <dcterms:modified xsi:type="dcterms:W3CDTF">2022-05-03T10:45:48Z</dcterms:modified>
</cp:coreProperties>
</file>