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166" w:lineRule="exact"/>
        <w:rPr>
          <w:sz w:val="24"/>
          <w:szCs w:val="24"/>
          <w:color w:val="auto"/>
        </w:rPr>
      </w:pPr>
    </w:p>
    <w:p>
      <w:pPr>
        <w:ind w:left="3280" w:right="980" w:hanging="3272"/>
        <w:spacing w:after="0" w:line="282" w:lineRule="auto"/>
        <w:tabs>
          <w:tab w:leader="none" w:pos="2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 For the quarterly period ended March 31, 2023</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85" w:lineRule="exact"/>
        <w:rPr>
          <w:sz w:val="24"/>
          <w:szCs w:val="24"/>
          <w:color w:val="auto"/>
        </w:rPr>
      </w:pPr>
    </w:p>
    <w:p>
      <w:pPr>
        <w:ind w:left="3740" w:right="960" w:hanging="3732"/>
        <w:spacing w:after="0" w:line="282" w:lineRule="auto"/>
        <w:tabs>
          <w:tab w:leader="none" w:pos="2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Commission file number 1-13079</w:t>
      </w:r>
    </w:p>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u w:val="single" w:color="auto"/>
          <w:color w:val="auto"/>
        </w:rPr>
        <w:t>RYMAN HOSPITALITY PROPERTIES, INC.</w:t>
      </w:r>
    </w:p>
    <w:p>
      <w:pPr>
        <w:spacing w:after="0" w:line="3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Times New Roman" w:cs="Times New Roman" w:eastAsia="Times New Roman" w:hAnsi="Times New Roman"/>
                <w:sz w:val="18"/>
                <w:szCs w:val="18"/>
                <w:color w:val="auto"/>
                <w:w w:val="98"/>
              </w:rPr>
              <w:t>Delaware</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5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280" w:type="dxa"/>
            <w:vAlign w:val="bottom"/>
            <w:gridSpan w:val="3"/>
          </w:tcPr>
          <w:p>
            <w:pPr>
              <w:jc w:val="center"/>
              <w:ind w:right="29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6"/>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(615) 316-6000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0"/>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w:t>
            </w:r>
          </w:p>
        </w:tc>
      </w:tr>
      <w:tr>
        <w:trPr>
          <w:trHeight w:val="234"/>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Title of Each Class</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Registered</w:t>
            </w:r>
          </w:p>
        </w:tc>
      </w:tr>
      <w:tr>
        <w:trPr>
          <w:trHeight w:val="228"/>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79" w:lineRule="exact"/>
        <w:rPr>
          <w:sz w:val="24"/>
          <w:szCs w:val="24"/>
          <w:color w:val="auto"/>
        </w:rPr>
      </w:pPr>
    </w:p>
    <w:p>
      <w:pPr>
        <w:ind w:right="2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97" w:lineRule="exact"/>
        <w:rPr>
          <w:sz w:val="24"/>
          <w:szCs w:val="24"/>
          <w:color w:val="auto"/>
        </w:rPr>
      </w:pPr>
    </w:p>
    <w:p>
      <w:pPr>
        <w:jc w:val="both"/>
        <w:ind w:right="1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11"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right="680"/>
        <w:spacing w:after="0" w:line="23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3" w:lineRule="exact"/>
        <w:rPr>
          <w:sz w:val="24"/>
          <w:szCs w:val="24"/>
          <w:color w:val="auto"/>
        </w:rPr>
      </w:pPr>
    </w:p>
    <w:p>
      <w:pPr>
        <w:ind w:right="76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Indicate the number of shares outstanding of each of the issuer’s classes of common stock, as of the latest practicable date.</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Outstanding as of April 30, 2023</w:t>
            </w:r>
          </w:p>
        </w:tc>
      </w:tr>
      <w:tr>
        <w:trPr>
          <w:trHeight w:val="228"/>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55,253,921 shares</w:t>
            </w:r>
          </w:p>
        </w:tc>
      </w:tr>
      <w:tr>
        <w:trPr>
          <w:trHeight w:val="319"/>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1"/>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40" w:type="dxa"/>
            <w:vAlign w:val="bottom"/>
            <w:gridSpan w:val="14"/>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9"/>
              </w:rPr>
              <w:t>RYMAN HOSPITALITY PROPERTIES, INC.</w:t>
            </w:r>
          </w:p>
        </w:tc>
        <w:tc>
          <w:tcPr>
            <w:tcW w:w="780" w:type="dxa"/>
            <w:vAlign w:val="bottom"/>
          </w:tcPr>
          <w:p>
            <w:pPr>
              <w:spacing w:after="0"/>
              <w:rPr>
                <w:sz w:val="20"/>
                <w:szCs w:val="20"/>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80" w:type="dxa"/>
            <w:vAlign w:val="bottom"/>
            <w:gridSpan w:val="13"/>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For the Quarter Ended March 31, 2023</w:t>
            </w:r>
          </w:p>
        </w:tc>
        <w:tc>
          <w:tcPr>
            <w:tcW w:w="78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560" w:type="dxa"/>
            <w:vAlign w:val="bottom"/>
            <w:gridSpan w:val="11"/>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780" w:type="dxa"/>
            <w:vAlign w:val="bottom"/>
          </w:tcPr>
          <w:p>
            <w:pPr>
              <w:spacing w:after="0"/>
              <w:rPr>
                <w:sz w:val="24"/>
                <w:szCs w:val="24"/>
                <w:color w:val="auto"/>
              </w:rPr>
            </w:pPr>
          </w:p>
        </w:tc>
      </w:tr>
      <w:tr>
        <w:trPr>
          <w:trHeight w:val="405"/>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6000" w:type="dxa"/>
            <w:vAlign w:val="bottom"/>
            <w:gridSpan w:val="1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Financial Statements.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March 31, 2023 and December 31,</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2022</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(Unaudited) - For the Three Months Ended March 31, 2023 and 2022</w:t>
            </w:r>
          </w:p>
        </w:tc>
        <w:tc>
          <w:tcPr>
            <w:tcW w:w="1200" w:type="dxa"/>
            <w:vAlign w:val="bottom"/>
            <w:tcBorders>
              <w:top w:val="single" w:sz="8" w:color="0000EE"/>
            </w:tcBorders>
            <w:gridSpan w:val="2"/>
          </w:tcPr>
          <w:p>
            <w:pPr>
              <w:spacing w:after="0"/>
              <w:rPr>
                <w:sz w:val="17"/>
                <w:szCs w:val="17"/>
                <w:color w:val="auto"/>
              </w:rPr>
            </w:pPr>
          </w:p>
        </w:tc>
        <w:tc>
          <w:tcPr>
            <w:tcW w:w="700" w:type="dxa"/>
            <w:vAlign w:val="bottom"/>
            <w:gridSpan w:val="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For the Three Months</w:t>
            </w:r>
          </w:p>
        </w:tc>
        <w:tc>
          <w:tcPr>
            <w:tcW w:w="56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Ended March 31, 2023 and 2022</w:t>
            </w:r>
          </w:p>
        </w:tc>
        <w:tc>
          <w:tcPr>
            <w:tcW w:w="4560" w:type="dxa"/>
            <w:vAlign w:val="bottom"/>
            <w:gridSpan w:val="1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(Deficit) and Noncontrolling Interest</w:t>
            </w:r>
          </w:p>
        </w:tc>
        <w:tc>
          <w:tcPr>
            <w:tcW w:w="78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 For the Three Months Ended March 31, 2023 and 2022</w:t>
            </w:r>
          </w:p>
        </w:tc>
        <w:tc>
          <w:tcPr>
            <w:tcW w:w="1040" w:type="dxa"/>
            <w:vAlign w:val="bottom"/>
            <w:tcBorders>
              <w:top w:val="single" w:sz="8" w:color="0000EE"/>
            </w:tcBorders>
            <w:gridSpan w:val="2"/>
          </w:tcPr>
          <w:p>
            <w:pPr>
              <w:spacing w:after="0"/>
              <w:rPr>
                <w:sz w:val="17"/>
                <w:szCs w:val="17"/>
                <w:color w:val="auto"/>
              </w:rPr>
            </w:pPr>
          </w:p>
        </w:tc>
        <w:tc>
          <w:tcPr>
            <w:tcW w:w="88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6</w:t>
            </w:r>
          </w:p>
        </w:tc>
      </w:tr>
      <w:tr>
        <w:trPr>
          <w:trHeight w:val="412"/>
        </w:trPr>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70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42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412"/>
        </w:trPr>
        <w:tc>
          <w:tcPr>
            <w:tcW w:w="640" w:type="dxa"/>
            <w:vAlign w:val="bottom"/>
          </w:tcPr>
          <w:p>
            <w:pPr>
              <w:spacing w:after="0"/>
              <w:rPr>
                <w:sz w:val="24"/>
                <w:szCs w:val="24"/>
                <w:color w:val="auto"/>
              </w:rPr>
            </w:pPr>
          </w:p>
        </w:tc>
        <w:tc>
          <w:tcPr>
            <w:tcW w:w="49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50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12"/>
        </w:trPr>
        <w:tc>
          <w:tcPr>
            <w:tcW w:w="640" w:type="dxa"/>
            <w:vAlign w:val="bottom"/>
          </w:tcPr>
          <w:p>
            <w:pPr>
              <w:spacing w:after="0"/>
              <w:rPr>
                <w:sz w:val="24"/>
                <w:szCs w:val="24"/>
                <w:color w:val="auto"/>
              </w:rPr>
            </w:pPr>
          </w:p>
        </w:tc>
        <w:tc>
          <w:tcPr>
            <w:tcW w:w="23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5100" w:type="dxa"/>
            <w:vAlign w:val="bottom"/>
            <w:gridSpan w:val="1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r>
      <w:tr>
        <w:trPr>
          <w:trHeight w:val="412"/>
        </w:trPr>
        <w:tc>
          <w:tcPr>
            <w:tcW w:w="1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Part II - Other Information</w:t>
            </w:r>
          </w:p>
        </w:tc>
        <w:tc>
          <w:tcPr>
            <w:tcW w:w="6200" w:type="dxa"/>
            <w:vAlign w:val="bottom"/>
            <w:gridSpan w:val="1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1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5540" w:type="dxa"/>
            <w:vAlign w:val="bottom"/>
            <w:gridSpan w:val="1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16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5840" w:type="dxa"/>
            <w:vAlign w:val="bottom"/>
            <w:gridSpan w:val="16"/>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49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252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238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Item 4. Mine Safety Disclosures.</w:t>
            </w:r>
          </w:p>
        </w:tc>
        <w:tc>
          <w:tcPr>
            <w:tcW w:w="540" w:type="dxa"/>
            <w:vAlign w:val="bottom"/>
            <w:tcBorders>
              <w:top w:val="single" w:sz="8" w:color="0000EE"/>
            </w:tcBorders>
          </w:tcPr>
          <w:p>
            <w:pPr>
              <w:spacing w:after="0"/>
              <w:rPr>
                <w:sz w:val="24"/>
                <w:szCs w:val="24"/>
                <w:color w:val="auto"/>
              </w:rPr>
            </w:pPr>
          </w:p>
        </w:tc>
        <w:tc>
          <w:tcPr>
            <w:tcW w:w="4560" w:type="dxa"/>
            <w:vAlign w:val="bottom"/>
            <w:gridSpan w:val="11"/>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19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5. Other Information.</w:t>
            </w:r>
          </w:p>
        </w:tc>
        <w:tc>
          <w:tcPr>
            <w:tcW w:w="5560" w:type="dxa"/>
            <w:vAlign w:val="bottom"/>
            <w:gridSpan w:val="1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12"/>
        </w:trPr>
        <w:tc>
          <w:tcPr>
            <w:tcW w:w="640" w:type="dxa"/>
            <w:vAlign w:val="bottom"/>
          </w:tcPr>
          <w:p>
            <w:pPr>
              <w:spacing w:after="0"/>
              <w:rPr>
                <w:sz w:val="24"/>
                <w:szCs w:val="24"/>
                <w:color w:val="auto"/>
              </w:rPr>
            </w:pPr>
          </w:p>
        </w:tc>
        <w:tc>
          <w:tcPr>
            <w:tcW w:w="74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280" w:type="dxa"/>
            <w:vAlign w:val="bottom"/>
            <w:gridSpan w:val="1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020" w:type="dxa"/>
            <w:vAlign w:val="bottom"/>
            <w:gridSpan w:val="2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2"/>
                <w:szCs w:val="12"/>
                <w:color w:val="auto"/>
              </w:rPr>
            </w:pPr>
          </w:p>
        </w:tc>
        <w:tc>
          <w:tcPr>
            <w:tcW w:w="9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980" w:type="dxa"/>
            <w:vAlign w:val="bottom"/>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$ 3,163,900</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3,171,708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Cash and cash equivalents - unrestricted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318,512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Cash and cash equivalents - restricted</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95,113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Notes receivable, net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Trade receivables,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147,215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141,024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Intangible assets, net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104,706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105,951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assets</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$ 4,034,679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 AND EQUITY: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Debt and finance lease obligations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$ 2,866,898</w:t>
            </w:r>
          </w:p>
        </w:tc>
        <w:tc>
          <w:tcPr>
            <w:tcW w:w="1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2,862,592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Accounts payable and accrued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332,068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Dividends payable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42,189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management rights proceeds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166,715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126,188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Deferred income tax liabilities, net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Other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66,909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3,614,649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3,632,865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Noncontrolling interest in consolidated joint venture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319,753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311,857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68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Equity:</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Preferred stock, $.01 par value, 100,000 shares authorized, no shares issued or outstanding</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4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Common stock, $.01 par value, 400,000 shares authorized, 55,254 and 55,167 shares issued and</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outstanding, respectively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1,093,839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Treasury stock of 648 and 648 shares, at cost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Distributions in excess of retained earnings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(959,199)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(978,619)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(17,215)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99,511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95,276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Noncontrolling interest in Operating Partnership</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equity</w:t>
            </w:r>
          </w:p>
        </w:tc>
        <w:tc>
          <w:tcPr>
            <w:tcW w:w="10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100,277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$ 4,034,679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4,040,623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55" w:lineRule="auto"/>
        <w:rPr>
          <w:sz w:val="20"/>
          <w:szCs w:val="20"/>
          <w:color w:val="auto"/>
        </w:rPr>
      </w:pPr>
      <w:r>
        <w:rPr>
          <w:rFonts w:ascii="Times New Roman" w:cs="Times New Roman" w:eastAsia="Times New Roman" w:hAnsi="Times New Roman"/>
          <w:sz w:val="17"/>
          <w:szCs w:val="17"/>
          <w:b w:val="1"/>
          <w:bCs w:val="1"/>
          <w:color w:val="auto"/>
        </w:rPr>
        <w:t>RYMAN HOSPITALITY PROPERTIES, INC. AND SUBSIDIARIES CONDENSED CONSOLIDATED STATEMENTS OF OPERATIONS AND COMPREHENSIVE INCOME (LOSS)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202"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3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19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161,251</w:t>
            </w:r>
          </w:p>
        </w:tc>
        <w:tc>
          <w:tcPr>
            <w:tcW w:w="200" w:type="dxa"/>
            <w:vAlign w:val="bottom"/>
          </w:tcPr>
          <w:p>
            <w:pPr>
              <w:spacing w:after="0"/>
              <w:rPr>
                <w:sz w:val="18"/>
                <w:szCs w:val="18"/>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101,593</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215,804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112,116</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hotel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47,402</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67,280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38,024</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Total revenues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491,719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299,135</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Rooms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30,136</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Food and beverage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115,181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71,329</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hotel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103,059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86,643</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Management fees, net</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15,195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5,064</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hotel operating expenses</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275,494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193,172</w:t>
            </w:r>
          </w:p>
        </w:tc>
        <w:tc>
          <w:tcPr>
            <w:tcW w:w="200" w:type="dxa"/>
            <w:vAlign w:val="bottom"/>
            <w:shd w:val="clear" w:color="auto" w:fill="CCEEFF"/>
          </w:tcPr>
          <w:p>
            <w:pPr>
              <w:spacing w:after="0"/>
              <w:rPr>
                <w:sz w:val="17"/>
                <w:szCs w:val="17"/>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Entertainment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31,731</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Corporate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10,594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9,557</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Preopening costs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304</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Loss on sale of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48,357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56,028</w:t>
            </w:r>
          </w:p>
        </w:tc>
        <w:tc>
          <w:tcPr>
            <w:tcW w:w="200" w:type="dxa"/>
            <w:vAlign w:val="bottom"/>
            <w:tcBorders>
              <w:bottom w:val="single" w:sz="8" w:color="CCEEFF"/>
            </w:tcBorders>
          </w:tcPr>
          <w:p>
            <w:pPr>
              <w:spacing w:after="0"/>
              <w:rPr>
                <w:sz w:val="18"/>
                <w:szCs w:val="18"/>
                <w:color w:val="auto"/>
              </w:rPr>
            </w:pPr>
          </w:p>
        </w:tc>
      </w:tr>
      <w:tr>
        <w:trPr>
          <w:trHeight w:val="19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386,069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291,261</w:t>
            </w:r>
          </w:p>
        </w:tc>
        <w:tc>
          <w:tcPr>
            <w:tcW w:w="200" w:type="dxa"/>
            <w:vAlign w:val="bottom"/>
            <w:shd w:val="clear" w:color="auto" w:fill="CCEEFF"/>
          </w:tcPr>
          <w:p>
            <w:pPr>
              <w:spacing w:after="0"/>
              <w:rPr>
                <w:sz w:val="17"/>
                <w:szCs w:val="17"/>
                <w:color w:val="auto"/>
              </w:rPr>
            </w:pPr>
          </w:p>
        </w:tc>
      </w:tr>
      <w:tr>
        <w:trPr>
          <w:trHeight w:val="196"/>
        </w:trPr>
        <w:tc>
          <w:tcPr>
            <w:tcW w:w="6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105,650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7,874</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(31,937)</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1,381</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Loss from unconsolidated joint ventures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(2,627)</w:t>
            </w:r>
          </w:p>
        </w:tc>
        <w:tc>
          <w:tcPr>
            <w:tcW w:w="200" w:type="dxa"/>
            <w:vAlign w:val="bottom"/>
          </w:tcPr>
          <w:p>
            <w:pPr>
              <w:spacing w:after="0"/>
              <w:rPr>
                <w:sz w:val="18"/>
                <w:szCs w:val="18"/>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gains and (losses), net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Income (loss) before income taxes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62,627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(24,862)</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benefit for income taxes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200" w:type="dxa"/>
            <w:vAlign w:val="bottom"/>
            <w:shd w:val="clear" w:color="auto" w:fill="CCEEFF"/>
          </w:tcPr>
          <w:p>
            <w:pPr>
              <w:spacing w:after="0"/>
              <w:rPr>
                <w:sz w:val="18"/>
                <w:szCs w:val="18"/>
                <w:color w:val="auto"/>
              </w:rPr>
            </w:pPr>
          </w:p>
        </w:tc>
      </w:tr>
      <w:tr>
        <w:trPr>
          <w:trHeight w:val="196"/>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income (loss)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60,994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(24,797)</w:t>
            </w:r>
          </w:p>
        </w:tc>
        <w:tc>
          <w:tcPr>
            <w:tcW w:w="200" w:type="dxa"/>
            <w:vAlign w:val="bottom"/>
          </w:tcPr>
          <w:p>
            <w:pPr>
              <w:spacing w:after="0"/>
              <w:rPr>
                <w:sz w:val="17"/>
                <w:szCs w:val="17"/>
                <w:color w:val="auto"/>
              </w:rPr>
            </w:pPr>
          </w:p>
        </w:tc>
      </w:tr>
      <w:tr>
        <w:trPr>
          <w:trHeight w:val="216"/>
        </w:trPr>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 in consolidated joint venture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 attributable to noncontrolling interest in Operating Partnership</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200" w:type="dxa"/>
            <w:vAlign w:val="bottom"/>
            <w:shd w:val="clear" w:color="auto" w:fill="CCEEFF"/>
          </w:tcPr>
          <w:p>
            <w:pPr>
              <w:spacing w:after="0"/>
              <w:rPr>
                <w:sz w:val="18"/>
                <w:szCs w:val="18"/>
                <w:color w:val="auto"/>
              </w:rPr>
            </w:pPr>
          </w:p>
        </w:tc>
      </w:tr>
      <w:tr>
        <w:trPr>
          <w:trHeight w:val="223"/>
        </w:trPr>
        <w:tc>
          <w:tcPr>
            <w:tcW w:w="63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income (loss) available to common stockholders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61,320</w:t>
            </w:r>
          </w:p>
        </w:tc>
        <w:tc>
          <w:tcPr>
            <w:tcW w:w="200" w:type="dxa"/>
            <w:vAlign w:val="bottom"/>
          </w:tcPr>
          <w:p>
            <w:pPr>
              <w:spacing w:after="0"/>
              <w:rPr>
                <w:sz w:val="19"/>
                <w:szCs w:val="19"/>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(24,621)</w:t>
            </w:r>
          </w:p>
        </w:tc>
        <w:tc>
          <w:tcPr>
            <w:tcW w:w="200" w:type="dxa"/>
            <w:vAlign w:val="bottom"/>
          </w:tcPr>
          <w:p>
            <w:pPr>
              <w:spacing w:after="0"/>
              <w:rPr>
                <w:sz w:val="19"/>
                <w:szCs w:val="19"/>
                <w:color w:val="auto"/>
              </w:rPr>
            </w:pPr>
          </w:p>
        </w:tc>
      </w:tr>
      <w:tr>
        <w:trPr>
          <w:trHeight w:val="170"/>
        </w:trPr>
        <w:tc>
          <w:tcPr>
            <w:tcW w:w="63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r>
      <w:tr>
        <w:trPr>
          <w:trHeight w:val="24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Basic income (loss) per share available to common stockholders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w:t>
            </w:r>
          </w:p>
        </w:tc>
        <w:tc>
          <w:tcPr>
            <w:tcW w:w="200" w:type="dxa"/>
            <w:vAlign w:val="bottom"/>
          </w:tcPr>
          <w:p>
            <w:pPr>
              <w:spacing w:after="0"/>
              <w:rPr>
                <w:sz w:val="21"/>
                <w:szCs w:val="21"/>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(0.45)</w:t>
            </w:r>
          </w:p>
        </w:tc>
        <w:tc>
          <w:tcPr>
            <w:tcW w:w="200" w:type="dxa"/>
            <w:vAlign w:val="bottom"/>
          </w:tcPr>
          <w:p>
            <w:pPr>
              <w:spacing w:after="0"/>
              <w:rPr>
                <w:sz w:val="21"/>
                <w:szCs w:val="21"/>
                <w:color w:val="auto"/>
              </w:rPr>
            </w:pPr>
          </w:p>
        </w:tc>
      </w:tr>
      <w:tr>
        <w:trPr>
          <w:trHeight w:val="156"/>
        </w:trPr>
        <w:tc>
          <w:tcPr>
            <w:tcW w:w="6380" w:type="dxa"/>
            <w:vAlign w:val="bottom"/>
            <w:tcBorders>
              <w:top w:val="single" w:sz="8" w:color="CCEEFF"/>
              <w:bottom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Diluted income (loss) per share available to common stockholders</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(0.45)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70"/>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income (loss), net of taxes</w:t>
            </w:r>
          </w:p>
        </w:tc>
        <w:tc>
          <w:tcPr>
            <w:tcW w:w="4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54,702</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(14,811)</w:t>
            </w:r>
          </w:p>
        </w:tc>
        <w:tc>
          <w:tcPr>
            <w:tcW w:w="2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 net of taxes, attributable to noncontrolling interest in consolidated joint venture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r>
      <w:tr>
        <w:trPr>
          <w:trHeight w:val="145"/>
        </w:trPr>
        <w:tc>
          <w:tcPr>
            <w:tcW w:w="63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5"/>
                <w:szCs w:val="15"/>
                <w:color w:val="auto"/>
              </w:rPr>
              <w:t>Comprehensive (income) loss, net of taxes, attributable to noncontrolling interest in Operating</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7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Partnership</w:t>
            </w:r>
          </w:p>
        </w:tc>
        <w:tc>
          <w:tcPr>
            <w:tcW w:w="2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w:t>
            </w:r>
          </w:p>
        </w:tc>
        <w:tc>
          <w:tcPr>
            <w:tcW w:w="200" w:type="dxa"/>
            <w:vAlign w:val="bottom"/>
            <w:shd w:val="clear" w:color="auto" w:fill="CCEEFF"/>
          </w:tcPr>
          <w:p>
            <w:pPr>
              <w:spacing w:after="0"/>
              <w:rPr>
                <w:sz w:val="15"/>
                <w:szCs w:val="15"/>
                <w:color w:val="auto"/>
              </w:rPr>
            </w:pPr>
          </w:p>
        </w:tc>
      </w:tr>
      <w:tr>
        <w:trPr>
          <w:trHeight w:val="183"/>
        </w:trPr>
        <w:tc>
          <w:tcPr>
            <w:tcW w:w="638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income (loss), net of taxes, available to common stockholders</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55,295</w:t>
            </w:r>
          </w:p>
        </w:tc>
        <w:tc>
          <w:tcPr>
            <w:tcW w:w="200" w:type="dxa"/>
            <w:vAlign w:val="bottom"/>
          </w:tcPr>
          <w:p>
            <w:pPr>
              <w:spacing w:after="0"/>
              <w:rPr>
                <w:sz w:val="15"/>
                <w:szCs w:val="15"/>
                <w:color w:val="auto"/>
              </w:rPr>
            </w:pPr>
          </w:p>
        </w:tc>
        <w:tc>
          <w:tcPr>
            <w:tcW w:w="200" w:type="dxa"/>
            <w:vAlign w:val="bottom"/>
            <w:gridSpan w:val="2"/>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(14,706)</w:t>
            </w:r>
          </w:p>
        </w:tc>
        <w:tc>
          <w:tcPr>
            <w:tcW w:w="200" w:type="dxa"/>
            <w:vAlign w:val="bottom"/>
          </w:tcPr>
          <w:p>
            <w:pPr>
              <w:spacing w:after="0"/>
              <w:rPr>
                <w:sz w:val="15"/>
                <w:szCs w:val="15"/>
                <w:color w:val="auto"/>
              </w:rPr>
            </w:pPr>
          </w:p>
        </w:tc>
      </w:tr>
      <w:tr>
        <w:trPr>
          <w:trHeight w:val="20"/>
        </w:trPr>
        <w:tc>
          <w:tcPr>
            <w:tcW w:w="6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RYMAN HOSPITALITY PROPERTIES,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Net income (loss)</w:t>
            </w:r>
          </w:p>
        </w:tc>
        <w:tc>
          <w:tcPr>
            <w:tcW w:w="460" w:type="dxa"/>
            <w:vAlign w:val="bottom"/>
            <w:gridSpan w:val="2"/>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60,994</w:t>
            </w:r>
          </w:p>
        </w:tc>
        <w:tc>
          <w:tcPr>
            <w:tcW w:w="440" w:type="dxa"/>
            <w:vAlign w:val="bottom"/>
            <w:gridSpan w:val="2"/>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(24,797)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Amounts to reconcile net income (loss) to net cash flows provided by (used in) operating activities: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Provision (benefit) for deferred income taxes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767</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(415)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48,357</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56,028</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Amortization of deferred financing costs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2,674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2,229</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Loss from unconsolidated joint ventures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2,806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2,627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3,739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3,786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Changes in:</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300"/>
              <w:spacing w:after="0" w:line="162" w:lineRule="exact"/>
              <w:rPr>
                <w:sz w:val="20"/>
                <w:szCs w:val="20"/>
                <w:color w:val="auto"/>
              </w:rPr>
            </w:pPr>
            <w:r>
              <w:rPr>
                <w:rFonts w:ascii="Times New Roman" w:cs="Times New Roman" w:eastAsia="Times New Roman" w:hAnsi="Times New Roman"/>
                <w:sz w:val="15"/>
                <w:szCs w:val="15"/>
                <w:color w:val="auto"/>
              </w:rPr>
              <w:t>Trade receivables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(30,379)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(8,488)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300"/>
              <w:spacing w:after="0" w:line="162" w:lineRule="exact"/>
              <w:rPr>
                <w:sz w:val="20"/>
                <w:szCs w:val="20"/>
                <w:color w:val="auto"/>
              </w:rPr>
            </w:pPr>
            <w:r>
              <w:rPr>
                <w:rFonts w:ascii="Times New Roman" w:cs="Times New Roman" w:eastAsia="Times New Roman" w:hAnsi="Times New Roman"/>
                <w:sz w:val="15"/>
                <w:szCs w:val="15"/>
                <w:color w:val="auto"/>
              </w:rPr>
              <w:t>Accounts payable and accrued liabilities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(56,294)</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(17,330)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300"/>
              <w:spacing w:after="0" w:line="162" w:lineRule="exact"/>
              <w:rPr>
                <w:sz w:val="20"/>
                <w:szCs w:val="20"/>
                <w:color w:val="auto"/>
              </w:rPr>
            </w:pPr>
            <w:r>
              <w:rPr>
                <w:rFonts w:ascii="Times New Roman" w:cs="Times New Roman" w:eastAsia="Times New Roman" w:hAnsi="Times New Roman"/>
                <w:sz w:val="15"/>
                <w:szCs w:val="15"/>
                <w:color w:val="auto"/>
              </w:rPr>
              <w:t>Other assets and liabilities</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(953)</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(17,814)</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2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31,711</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(4,174)</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Purchases of property and equipment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(36,771)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(9,716)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Collection of notes receivable</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2,143</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2,381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Investment in Circle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(2,045)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investing activities, net</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(9,916)</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816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investing activities</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(48,544)</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(8,564)</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term loan B</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Borrowings under OEG revolving credit facility</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7,000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OEG term loan</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(750)</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Repayments under Block 21 CMBS loan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(702)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dividends</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(14,006)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(276)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Pr>
          <w:p>
            <w:pPr>
              <w:ind w:left="80"/>
              <w:spacing w:after="0" w:line="162" w:lineRule="exact"/>
              <w:rPr>
                <w:sz w:val="20"/>
                <w:szCs w:val="20"/>
                <w:color w:val="auto"/>
              </w:rPr>
            </w:pPr>
            <w:r>
              <w:rPr>
                <w:rFonts w:ascii="Times New Roman" w:cs="Times New Roman" w:eastAsia="Times New Roman" w:hAnsi="Times New Roman"/>
                <w:sz w:val="15"/>
                <w:szCs w:val="15"/>
                <w:color w:val="auto"/>
              </w:rPr>
              <w:t>Payment of tax withholdings for share-based compensation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(4,080)</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(3,761)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Other financing activities, net</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(84)</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(66)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(13,872)</w:t>
            </w:r>
          </w:p>
        </w:tc>
        <w:tc>
          <w:tcPr>
            <w:tcW w:w="2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(5,353)</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Net change in cash, cash equivalents, and restricted cash</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(30,705)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(18,091)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Cash, cash equivalents, and restricted cash, beginning of period</w:t>
            </w:r>
          </w:p>
        </w:tc>
        <w:tc>
          <w:tcPr>
            <w:tcW w:w="2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444,330</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163,000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460" w:type="dxa"/>
            <w:vAlign w:val="bottom"/>
            <w:gridSpan w:val="2"/>
          </w:tcPr>
          <w:p>
            <w:pPr>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80" w:type="dxa"/>
            <w:vAlign w:val="bottom"/>
          </w:tcPr>
          <w:p>
            <w:pPr>
              <w:spacing w:after="0"/>
              <w:rPr>
                <w:sz w:val="17"/>
                <w:szCs w:val="17"/>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413,625</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144,909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4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44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Reconciliation of cash, cash equivalents, and restricted cash to balance sheet: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shd w:val="clear" w:color="auto" w:fill="CCEEFF"/>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unrestricted</w:t>
            </w:r>
          </w:p>
        </w:tc>
        <w:tc>
          <w:tcPr>
            <w:tcW w:w="460" w:type="dxa"/>
            <w:vAlign w:val="bottom"/>
            <w:gridSpan w:val="2"/>
            <w:shd w:val="clear" w:color="auto" w:fill="CCEEFF"/>
          </w:tcPr>
          <w:p>
            <w:pPr>
              <w:jc w:val="right"/>
              <w:ind w:right="65"/>
              <w:spacing w:after="0" w:line="162"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318,512</w:t>
            </w:r>
          </w:p>
        </w:tc>
        <w:tc>
          <w:tcPr>
            <w:tcW w:w="440" w:type="dxa"/>
            <w:vAlign w:val="bottom"/>
            <w:gridSpan w:val="2"/>
            <w:shd w:val="clear" w:color="auto" w:fill="CCEEFF"/>
          </w:tcPr>
          <w:p>
            <w:pPr>
              <w:jc w:val="right"/>
              <w:ind w:right="125"/>
              <w:spacing w:after="0" w:line="162"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128,436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40" w:type="dxa"/>
            <w:vAlign w:val="bottom"/>
            <w:tcBorders>
              <w:bottom w:val="single" w:sz="8" w:color="CCEEFF"/>
            </w:tcBorders>
          </w:tcPr>
          <w:p>
            <w:pPr>
              <w:ind w:left="80"/>
              <w:spacing w:after="0" w:line="162" w:lineRule="exact"/>
              <w:rPr>
                <w:sz w:val="20"/>
                <w:szCs w:val="20"/>
                <w:color w:val="auto"/>
              </w:rPr>
            </w:pPr>
            <w:r>
              <w:rPr>
                <w:rFonts w:ascii="Times New Roman" w:cs="Times New Roman" w:eastAsia="Times New Roman" w:hAnsi="Times New Roman"/>
                <w:sz w:val="15"/>
                <w:szCs w:val="15"/>
                <w:color w:val="auto"/>
              </w:rPr>
              <w:t>Cash and cash equivalents - restricted</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95,113</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2" w:lineRule="exact"/>
              <w:rPr>
                <w:sz w:val="20"/>
                <w:szCs w:val="20"/>
                <w:color w:val="auto"/>
              </w:rPr>
            </w:pPr>
            <w:r>
              <w:rPr>
                <w:rFonts w:ascii="Times New Roman" w:cs="Times New Roman" w:eastAsia="Times New Roman" w:hAnsi="Times New Roman"/>
                <w:sz w:val="15"/>
                <w:szCs w:val="15"/>
                <w:color w:val="auto"/>
              </w:rPr>
              <w:t>16,473</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440" w:type="dxa"/>
            <w:vAlign w:val="bottom"/>
            <w:tcBorders>
              <w:bottom w:val="single" w:sz="8" w:color="CCEEFF"/>
            </w:tcBorders>
            <w:shd w:val="clear" w:color="auto" w:fill="CCEEFF"/>
          </w:tcPr>
          <w:p>
            <w:pPr>
              <w:ind w:left="80"/>
              <w:spacing w:after="0" w:line="156" w:lineRule="exact"/>
              <w:rPr>
                <w:sz w:val="20"/>
                <w:szCs w:val="20"/>
                <w:color w:val="auto"/>
              </w:rPr>
            </w:pPr>
            <w:r>
              <w:rPr>
                <w:rFonts w:ascii="Times New Roman" w:cs="Times New Roman" w:eastAsia="Times New Roman" w:hAnsi="Times New Roman"/>
                <w:sz w:val="15"/>
                <w:szCs w:val="15"/>
                <w:color w:val="auto"/>
              </w:rPr>
              <w:t>Cash, cash equivalents, and restricted cash, end of period</w:t>
            </w:r>
          </w:p>
        </w:tc>
        <w:tc>
          <w:tcPr>
            <w:tcW w:w="2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413,625</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144,909</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99"/>
        <w:spacing w:after="0" w:line="259"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CONDENSED CONSOLIDATED STATEMENTS OF EQUITY (DEFICIT) AND NONCONTROLLING INTEREST</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40" w:type="dxa"/>
            <w:vAlign w:val="bottom"/>
          </w:tcPr>
          <w:p>
            <w:pPr>
              <w:spacing w:after="0"/>
              <w:rPr>
                <w:sz w:val="12"/>
                <w:szCs w:val="12"/>
                <w:color w:val="auto"/>
              </w:rPr>
            </w:pPr>
          </w:p>
        </w:tc>
        <w:tc>
          <w:tcPr>
            <w:tcW w:w="860" w:type="dxa"/>
            <w:vAlign w:val="bottom"/>
            <w:gridSpan w:val="4"/>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6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87"/>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b w:val="1"/>
                <w:bCs w:val="1"/>
                <w:color w:val="auto"/>
                <w:w w:val="92"/>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80" w:type="dxa"/>
            <w:vAlign w:val="bottom"/>
          </w:tcPr>
          <w:p>
            <w:pPr>
              <w:spacing w:after="0"/>
              <w:rPr>
                <w:sz w:val="11"/>
                <w:szCs w:val="11"/>
                <w:color w:val="auto"/>
              </w:rPr>
            </w:pPr>
          </w:p>
        </w:tc>
        <w:tc>
          <w:tcPr>
            <w:tcW w:w="5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5"/>
              </w:rPr>
              <w:t>Retained</w:t>
            </w:r>
          </w:p>
        </w:tc>
        <w:tc>
          <w:tcPr>
            <w:tcW w:w="40" w:type="dxa"/>
            <w:vAlign w:val="bottom"/>
          </w:tcPr>
          <w:p>
            <w:pPr>
              <w:spacing w:after="0"/>
              <w:rPr>
                <w:sz w:val="11"/>
                <w:szCs w:val="11"/>
                <w:color w:val="auto"/>
              </w:rPr>
            </w:pPr>
          </w:p>
        </w:tc>
        <w:tc>
          <w:tcPr>
            <w:tcW w:w="860" w:type="dxa"/>
            <w:vAlign w:val="bottom"/>
            <w:gridSpan w:val="4"/>
          </w:tcPr>
          <w:p>
            <w:pPr>
              <w:ind w:left="20"/>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0" w:type="dxa"/>
            <w:vAlign w:val="bottom"/>
          </w:tcPr>
          <w:p>
            <w:pPr>
              <w:spacing w:after="0"/>
              <w:rPr>
                <w:sz w:val="11"/>
                <w:szCs w:val="11"/>
                <w:color w:val="auto"/>
              </w:rPr>
            </w:pPr>
          </w:p>
        </w:tc>
        <w:tc>
          <w:tcPr>
            <w:tcW w:w="8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2"/>
                <w:szCs w:val="12"/>
                <w:b w:val="1"/>
                <w:bCs w:val="1"/>
                <w:color w:val="auto"/>
                <w:w w:val="92"/>
              </w:rPr>
              <w:t>Equity</w:t>
            </w: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2"/>
                <w:szCs w:val="12"/>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40" w:type="dxa"/>
            <w:vAlign w:val="bottom"/>
          </w:tcPr>
          <w:p>
            <w:pPr>
              <w:spacing w:after="0"/>
              <w:rPr>
                <w:sz w:val="12"/>
                <w:szCs w:val="12"/>
                <w:color w:val="auto"/>
              </w:rPr>
            </w:pPr>
          </w:p>
        </w:tc>
        <w:tc>
          <w:tcPr>
            <w:tcW w:w="86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40" w:type="dxa"/>
            <w:vAlign w:val="bottom"/>
          </w:tcPr>
          <w:p>
            <w:pPr>
              <w:spacing w:after="0"/>
              <w:rPr>
                <w:sz w:val="12"/>
                <w:szCs w:val="12"/>
                <w:color w:val="auto"/>
              </w:rPr>
            </w:pPr>
          </w:p>
        </w:tc>
        <w:tc>
          <w:tcPr>
            <w:tcW w:w="640" w:type="dxa"/>
            <w:vAlign w:val="bottom"/>
            <w:gridSpan w:val="4"/>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(Deficit)</w:t>
            </w: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9"/>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2022</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552</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7"/>
              </w:rPr>
              <w:t>$ 1,102,733</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(978,619)</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(10,923)</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95,276</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95,901</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311,857</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61,757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(763)</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Adjustment of noncontrolling</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to redemption value</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(8,659)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(8,659)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8,659</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loss, net of</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 taxes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(6,292)</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(6,292)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(6,292)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Payment of dividends ($0.75 per</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(41,900)</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(41,794)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(42,090)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3"/>
                <w:szCs w:val="13"/>
                <w:color w:val="auto"/>
              </w:rPr>
              <w:t>(4,080)</w:t>
            </w:r>
          </w:p>
        </w:tc>
        <w:tc>
          <w:tcPr>
            <w:tcW w:w="8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(4,079)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(4,079)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3,739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9"/>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2023</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553</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7"/>
              </w:rPr>
              <w:t>$ 1,093,839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(959,199)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Borders>
              <w:top w:val="single" w:sz="8" w:color="auto"/>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(17,215)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99,511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gridSpan w:val="2"/>
          </w:tcPr>
          <w:p>
            <w:pPr>
              <w:jc w:val="right"/>
              <w:ind w:right="5"/>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766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w w:val="94"/>
              </w:rPr>
              <w:t>100,277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319,753</w:t>
            </w:r>
          </w:p>
        </w:tc>
      </w:tr>
      <w:tr>
        <w:trPr>
          <w:trHeight w:val="20"/>
        </w:trPr>
        <w:tc>
          <w:tcPr>
            <w:tcW w:w="1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767"/>
        </w:trPr>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Distributions</w:t>
            </w:r>
          </w:p>
        </w:tc>
        <w:tc>
          <w:tcPr>
            <w:tcW w:w="40" w:type="dxa"/>
            <w:vAlign w:val="bottom"/>
          </w:tcPr>
          <w:p>
            <w:pPr>
              <w:spacing w:after="0"/>
              <w:rPr>
                <w:sz w:val="24"/>
                <w:szCs w:val="24"/>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gridSpan w:val="4"/>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5"/>
              </w:rPr>
              <w:t>Noncontrolling</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Noncontrolling</w:t>
            </w:r>
          </w:p>
        </w:tc>
      </w:tr>
      <w:tr>
        <w:trPr>
          <w:trHeight w:val="135"/>
        </w:trPr>
        <w:tc>
          <w:tcPr>
            <w:tcW w:w="1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jc w:val="right"/>
              <w:ind w:right="1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5"/>
          </w:tcPr>
          <w:p>
            <w:pPr>
              <w:jc w:val="center"/>
              <w:ind w:right="120"/>
              <w:spacing w:after="0" w:line="135" w:lineRule="exact"/>
              <w:rPr>
                <w:sz w:val="20"/>
                <w:szCs w:val="20"/>
                <w:color w:val="auto"/>
              </w:rPr>
            </w:pPr>
            <w:r>
              <w:rPr>
                <w:rFonts w:ascii="Times New Roman" w:cs="Times New Roman" w:eastAsia="Times New Roman" w:hAnsi="Times New Roman"/>
                <w:sz w:val="12"/>
                <w:szCs w:val="12"/>
                <w:b w:val="1"/>
                <w:bCs w:val="1"/>
                <w:color w:val="auto"/>
                <w:w w:val="96"/>
              </w:rPr>
              <w:t>in Excess 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center"/>
              <w:ind w:right="300"/>
              <w:spacing w:after="0" w:line="135"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Interest 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Total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8"/>
              <w:spacing w:after="0" w:line="135" w:lineRule="exact"/>
              <w:rPr>
                <w:sz w:val="20"/>
                <w:szCs w:val="20"/>
                <w:color w:val="auto"/>
              </w:rPr>
            </w:pPr>
            <w:r>
              <w:rPr>
                <w:rFonts w:ascii="Times New Roman" w:cs="Times New Roman" w:eastAsia="Times New Roman" w:hAnsi="Times New Roman"/>
                <w:sz w:val="12"/>
                <w:szCs w:val="12"/>
                <w:b w:val="1"/>
                <w:bCs w:val="1"/>
                <w:color w:val="auto"/>
                <w:w w:val="98"/>
              </w:rPr>
              <w:t>Interest in</w:t>
            </w:r>
          </w:p>
        </w:tc>
      </w:tr>
      <w:tr>
        <w:trPr>
          <w:trHeight w:val="135"/>
        </w:trPr>
        <w:tc>
          <w:tcPr>
            <w:tcW w:w="1960" w:type="dxa"/>
            <w:vAlign w:val="bottom"/>
          </w:tcPr>
          <w:p>
            <w:pPr>
              <w:spacing w:after="0"/>
              <w:rPr>
                <w:sz w:val="11"/>
                <w:szCs w:val="11"/>
                <w:color w:val="auto"/>
              </w:rPr>
            </w:pPr>
          </w:p>
        </w:tc>
        <w:tc>
          <w:tcPr>
            <w:tcW w:w="540" w:type="dxa"/>
            <w:vAlign w:val="bottom"/>
            <w:gridSpan w:val="4"/>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Times New Roman" w:cs="Times New Roman" w:eastAsia="Times New Roman" w:hAnsi="Times New Roman"/>
                <w:sz w:val="12"/>
                <w:szCs w:val="12"/>
                <w:b w:val="1"/>
                <w:bCs w:val="1"/>
                <w:color w:val="auto"/>
              </w:rPr>
              <w:t>Paid-in</w:t>
            </w:r>
          </w:p>
        </w:tc>
        <w:tc>
          <w:tcPr>
            <w:tcW w:w="640" w:type="dxa"/>
            <w:vAlign w:val="bottom"/>
            <w:gridSpan w:val="4"/>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1"/>
                <w:szCs w:val="11"/>
                <w:color w:val="auto"/>
              </w:rPr>
            </w:pPr>
          </w:p>
        </w:tc>
        <w:tc>
          <w:tcPr>
            <w:tcW w:w="740" w:type="dxa"/>
            <w:vAlign w:val="bottom"/>
            <w:gridSpan w:val="4"/>
          </w:tcPr>
          <w:p>
            <w:pPr>
              <w:jc w:val="center"/>
              <w:ind w:right="200"/>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900" w:type="dxa"/>
            <w:vAlign w:val="bottom"/>
            <w:gridSpan w:val="5"/>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60" w:type="dxa"/>
            <w:vAlign w:val="bottom"/>
            <w:gridSpan w:val="5"/>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Stockholders'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Operating</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2"/>
                <w:szCs w:val="12"/>
                <w:b w:val="1"/>
                <w:bCs w:val="1"/>
                <w:color w:val="auto"/>
                <w:w w:val="97"/>
              </w:rPr>
              <w:t>Equity</w:t>
            </w:r>
          </w:p>
        </w:tc>
        <w:tc>
          <w:tcPr>
            <w:tcW w:w="20" w:type="dxa"/>
            <w:vAlign w:val="bottom"/>
          </w:tcPr>
          <w:p>
            <w:pPr>
              <w:spacing w:after="0"/>
              <w:rPr>
                <w:sz w:val="11"/>
                <w:szCs w:val="11"/>
                <w:color w:val="auto"/>
              </w:rPr>
            </w:pPr>
          </w:p>
        </w:tc>
        <w:tc>
          <w:tcPr>
            <w:tcW w:w="7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2"/>
                <w:szCs w:val="12"/>
                <w:b w:val="1"/>
                <w:bCs w:val="1"/>
                <w:color w:val="auto"/>
                <w:w w:val="97"/>
              </w:rPr>
              <w:t>Consolidated</w:t>
            </w:r>
          </w:p>
        </w:tc>
      </w:tr>
      <w:tr>
        <w:trPr>
          <w:trHeight w:val="145"/>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2"/>
                <w:szCs w:val="12"/>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2"/>
                <w:szCs w:val="12"/>
                <w:color w:val="auto"/>
              </w:rPr>
            </w:pPr>
          </w:p>
        </w:tc>
        <w:tc>
          <w:tcPr>
            <w:tcW w:w="740" w:type="dxa"/>
            <w:vAlign w:val="bottom"/>
            <w:gridSpan w:val="4"/>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4"/>
              </w:rPr>
              <w:t>Loss</w:t>
            </w:r>
          </w:p>
        </w:tc>
        <w:tc>
          <w:tcPr>
            <w:tcW w:w="860" w:type="dxa"/>
            <w:vAlign w:val="bottom"/>
            <w:gridSpan w:val="5"/>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Equity (Deficit)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4"/>
              </w:rPr>
              <w:t>Partnership</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20" w:type="dxa"/>
            <w:vAlign w:val="bottom"/>
          </w:tcPr>
          <w:p>
            <w:pPr>
              <w:spacing w:after="0"/>
              <w:rPr>
                <w:sz w:val="12"/>
                <w:szCs w:val="12"/>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Joint Venture</w:t>
            </w:r>
          </w:p>
        </w:tc>
      </w:tr>
      <w:tr>
        <w:trPr>
          <w:trHeight w:val="128"/>
        </w:trPr>
        <w:tc>
          <w:tcPr>
            <w:tcW w:w="1960" w:type="dxa"/>
            <w:vAlign w:val="bottom"/>
            <w:tcBorders>
              <w:top w:val="single" w:sz="8" w:color="CCEEFF"/>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December 31, 2021</w:t>
            </w: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$ 1,112,867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(1,088,105)</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(29,080)</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(22,234)</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(159)</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(22,393)</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60" w:type="dxa"/>
            <w:vAlign w:val="bottom"/>
          </w:tcPr>
          <w:p>
            <w:pPr>
              <w:ind w:left="12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56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(24,621)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(24,797)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Other comprehensive income, net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of income taxes</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tcPr>
          <w:p>
            <w:pPr>
              <w:ind w:left="120"/>
              <w:spacing w:after="0" w:line="117" w:lineRule="exact"/>
              <w:rPr>
                <w:sz w:val="20"/>
                <w:szCs w:val="20"/>
                <w:color w:val="auto"/>
              </w:rPr>
            </w:pPr>
            <w:r>
              <w:rPr>
                <w:rFonts w:ascii="Times New Roman" w:cs="Times New Roman" w:eastAsia="Times New Roman" w:hAnsi="Times New Roman"/>
                <w:sz w:val="13"/>
                <w:szCs w:val="13"/>
                <w:color w:val="auto"/>
              </w:rPr>
              <w:t>Restricted stock units and stock</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53"/>
        </w:trPr>
        <w:tc>
          <w:tcPr>
            <w:tcW w:w="1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options surrendered</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(3,761)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(3,761)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(3,761)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1960" w:type="dxa"/>
            <w:vAlign w:val="bottom"/>
            <w:shd w:val="clear" w:color="auto" w:fill="CCEEFF"/>
          </w:tcPr>
          <w:p>
            <w:pPr>
              <w:ind w:left="120"/>
              <w:spacing w:after="0" w:line="117" w:lineRule="exact"/>
              <w:rPr>
                <w:sz w:val="20"/>
                <w:szCs w:val="20"/>
                <w:color w:val="auto"/>
              </w:rPr>
            </w:pPr>
            <w:r>
              <w:rPr>
                <w:rFonts w:ascii="Times New Roman" w:cs="Times New Roman" w:eastAsia="Times New Roman" w:hAnsi="Times New Roman"/>
                <w:sz w:val="13"/>
                <w:szCs w:val="13"/>
                <w:color w:val="auto"/>
              </w:rPr>
              <w:t>Equity-based compensation</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53"/>
        </w:trPr>
        <w:tc>
          <w:tcPr>
            <w:tcW w:w="1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expense</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28"/>
        </w:trPr>
        <w:tc>
          <w:tcPr>
            <w:tcW w:w="19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BALANCE, March 31, 2022</w:t>
            </w:r>
          </w:p>
        </w:tc>
        <w:tc>
          <w:tcPr>
            <w:tcW w:w="8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bottom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551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7"/>
              </w:rPr>
              <w:t>$ 1,112,892</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w w:val="92"/>
              </w:rPr>
              <w:t>$ (18,467)</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w w:val="96"/>
              </w:rPr>
              <w:t>$ (1,112,726)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(19,094)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(36,844)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(37,179)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1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8" w:lineRule="auto"/>
        <w:rPr>
          <w:sz w:val="20"/>
          <w:szCs w:val="20"/>
          <w:color w:val="auto"/>
        </w:rPr>
      </w:pPr>
      <w:r>
        <w:rPr>
          <w:rFonts w:ascii="Times New Roman" w:cs="Times New Roman" w:eastAsia="Times New Roman" w:hAnsi="Times New Roman"/>
          <w:sz w:val="18"/>
          <w:szCs w:val="18"/>
          <w:b w:val="1"/>
          <w:bCs w:val="1"/>
          <w:color w:val="auto"/>
        </w:rPr>
        <w:t>RYMAN HOSPITALITY PROPERTIES, INC. AND SUBSIDIARIES NOTES TO CONDENSED CONSOLIDATED FINANCIAL STATEMENTS (UNAUDITED)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five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near Denver, Colorado (“Gaylord Rockies”). The Company’s other owned hotel assets managed by Marriott include the Inn at Opryland, an overflow hotel adjacent to Gaylord Opryland, and the AC Hotel at National Harbor, Washington D.C. (“AC Hotel”), an overflow hotel adjacent to Gaylord National.</w:t>
      </w:r>
    </w:p>
    <w:p>
      <w:pPr>
        <w:spacing w:after="0" w:line="151" w:lineRule="exact"/>
        <w:rPr>
          <w:sz w:val="20"/>
          <w:szCs w:val="20"/>
          <w:color w:val="auto"/>
        </w:rPr>
      </w:pPr>
    </w:p>
    <w:p>
      <w:pPr>
        <w:ind w:left="60" w:right="99"/>
        <w:spacing w:after="0" w:line="271" w:lineRule="auto"/>
        <w:rPr>
          <w:sz w:val="20"/>
          <w:szCs w:val="20"/>
          <w:color w:val="auto"/>
        </w:rPr>
      </w:pPr>
      <w:r>
        <w:rPr>
          <w:rFonts w:ascii="Times New Roman" w:cs="Times New Roman" w:eastAsia="Times New Roman" w:hAnsi="Times New Roman"/>
          <w:sz w:val="17"/>
          <w:szCs w:val="17"/>
          <w:color w:val="auto"/>
        </w:rPr>
        <w:t>The Company also owns a controlling 70% equity interest in a business comprised of a number of entertainment and media assets, known as the Opry Entertainment Group, which the Company reports as its Entertainment segment. These assets include the Grand Ole Opry, the legendary weekly showcase of country music’s finest performers; the Ryman Auditorium, the storied live music venue and former home of the Grand Ole Opry;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See Note 2, “Block 21 Transaction,” for further disclosure regarding Block 21. Opry Entertainment Group also owns a 50% interest in a joint venture that creates and distributes a linear multicast and over-the-top channel dedicated to the country music lifestyle (“Circle”).</w:t>
      </w:r>
    </w:p>
    <w:p>
      <w:pPr>
        <w:spacing w:after="0" w:line="133"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As further disclosed in Note 1 to the consolidated financial statements included in the Company’s Annual Report on Form 10-K for the year ended December 31, 2022, on June 16, 2022, the Company and certain of its subsidiaries, including OEG Attractions Holdings, LLC (“OEG”), which directly or indirectly owns the assets that comprise the Company’s Entertainment segment, consummated the transactions contemplated by an investment agreement with Atairos Group, Inc. (“Atairos”) and A-OEG Holdings, LLC, an affiliate of Atairos (the “OEG Investor”), pursuant to which OEG issued and sold to the OEG Investor, and the OEG Investor acquired, 30% of the equity interests of OEG for approximately $296.0 million (the “OEG Transaction”). The Company retains a controlling 70% equity interest in OEG and continues to consolidate the assets, liabilities and results of operations of OEG in the accompanying condensed consolidated financial statements. The portion of OEG that the Company does not own is recorded as noncontrolling interest in consolidated joint venture, which is classified as mezzanine equity in the accompanying condensed consolidated balance sheet, and any adjustment necessary to reflect the noncontrolling interest at its redemption value is shown in the accompanying condensed consolidated statement of equity (deficit) and noncontrolling interest. See Note 4, “Income (Loss) Per Share,” for further disclosure.</w:t>
      </w:r>
    </w:p>
    <w:p>
      <w:pPr>
        <w:spacing w:after="0" w:line="160"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2022.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The Company principally operates, through its subsidiaries and its property managers, as applicable, in the following business segments: Hospitality, Entertainment, and Corporate and Other.</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Newly Issued Accounting Standards</w:t>
      </w:r>
    </w:p>
    <w:p>
      <w:pPr>
        <w:spacing w:after="0" w:line="185"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ASU No. 2020-04, “</w:t>
      </w:r>
      <w:r>
        <w:rPr>
          <w:rFonts w:ascii="Times New Roman" w:cs="Times New Roman" w:eastAsia="Times New Roman" w:hAnsi="Times New Roman"/>
          <w:sz w:val="18"/>
          <w:szCs w:val="18"/>
          <w:i w:val="1"/>
          <w:iCs w:val="1"/>
          <w:color w:val="auto"/>
        </w:rPr>
        <w:t>Reference Rate Reform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Facilitation of the Effects of Reference Rate Reform on Financial Reporting</w:t>
      </w:r>
      <w:r>
        <w:rPr>
          <w:rFonts w:ascii="Times New Roman" w:cs="Times New Roman" w:eastAsia="Times New Roman" w:hAnsi="Times New Roman"/>
          <w:sz w:val="18"/>
          <w:szCs w:val="18"/>
          <w:color w:val="auto"/>
        </w:rPr>
        <w:t>,” which provides temporary optional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expedients and exceptions to the existing guidance on 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In December 2022, the FASB issued ASU No. 2022-06, “</w:t>
      </w:r>
      <w:r>
        <w:rPr>
          <w:rFonts w:ascii="Times New Roman" w:cs="Times New Roman" w:eastAsia="Times New Roman" w:hAnsi="Times New Roman"/>
          <w:sz w:val="18"/>
          <w:szCs w:val="18"/>
          <w:i w:val="1"/>
          <w:iCs w:val="1"/>
          <w:color w:val="auto"/>
        </w:rPr>
        <w:t>Reference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Rate Reform – Deferral of the Sunset Date of Topic 848</w:t>
      </w:r>
      <w:r>
        <w:rPr>
          <w:rFonts w:ascii="Times New Roman" w:cs="Times New Roman" w:eastAsia="Times New Roman" w:hAnsi="Times New Roman"/>
          <w:sz w:val="18"/>
          <w:szCs w:val="18"/>
          <w:color w:val="auto"/>
        </w:rPr>
        <w:t>,” which extends the transition period for the shift from LIBOR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2024. During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BLOCK 21 TRANSACTION:</w:t>
      </w:r>
    </w:p>
    <w:p>
      <w:pPr>
        <w:spacing w:after="0" w:line="18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As further disclosed in Note 1 to the consolidated financial statements included in the Company’s Annual Report on Form 10-K for the year ended December 31, 2022, on May 31, 2022, the Company purchased Block 21 for a stated purchase price of $260 million, as subsequently adjusted to $255 million pursuant to the terms of the purchase agreement, which includes the assumption of approximately $136 million of existing mortgage debt. Block 21 is the home of the Austin City Limits Live at The Moody Theater (“ACL Live”), a 2,750-seat entertainment venue that serves as the filming location for the Austin City Limits television series. The Block 21 complex also includes the 251-room W Austin Hotel, which Marriott manages, the 3TEN at ACL Live club and approximately 53,000 square feet of other Class A commercial space. The Company funded the cash portion of the purchase price with cash on hand and borrowings under its revolving credit facility. The acquisition was accounted for as a business combination, given the different nature of the principal operations acquired (a hotel and an entertainment venue). Block 21 assets are reflected in the Company’s Entertainment segment as of May 31, 2022.</w:t>
      </w:r>
    </w:p>
    <w:p>
      <w:pPr>
        <w:spacing w:after="0" w:line="192"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During the current quarter, the Company concluded its valuation of the fair value of the acquired assets and liabilities as of May 31, 2022, and no significant changes were made to the provisional amounts disclosed in the Company’s Annual Report on Form 10-K for the year ended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REVENUES:</w:t>
      </w:r>
    </w:p>
    <w:p>
      <w:pPr>
        <w:spacing w:after="0" w:line="20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Entertainment segment revenues from licenses of content are recognized at the point in time the content is delivered to the licensee and the licensee can use and benefit from the content. Revenue related to content provided to Circle is eliminated for the portion of Circle that the Company owns.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Company records a liability upon collection of such taxes from the customer and relieves the liability when payments are remitted to the applicable governmental agency.</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revenues disaggregated by major source are as follows (in thousands):</w:t>
      </w:r>
    </w:p>
    <w:p>
      <w:pPr>
        <w:spacing w:after="0" w:line="19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group rooms</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$ 120,513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62,478</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Hotel transient rooms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39,115</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food and beverage - banquets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Hotel food and beverage - outlets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other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47,402</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admissions/ticketing</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food and beverage</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14,361</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 produced content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r>
      <w:tr>
        <w:trPr>
          <w:trHeight w:val="209"/>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$ 491,719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299,135</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Hospitality segment revenues disaggregated by location are as follows (in thousands):</w:t>
      </w:r>
    </w:p>
    <w:p>
      <w:pPr>
        <w:spacing w:after="0" w:line="19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Opryland</w:t>
            </w:r>
          </w:p>
        </w:tc>
        <w:tc>
          <w:tcPr>
            <w:tcW w:w="1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$ 111,806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73,519</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Palms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59,848</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Texan</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56,636</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Gaylord National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Gaylord Rockies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34,787</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AC Hotel</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 at Opryland</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r>
      <w:tr>
        <w:trPr>
          <w:trHeight w:val="210"/>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Hospitality segment revenues</w:t>
            </w:r>
          </w:p>
        </w:tc>
        <w:tc>
          <w:tcPr>
            <w:tcW w:w="14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$ 424,439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261,111</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majority of the Company’s Entertainment segment revenues are concentrated in Nashville, Tennessee and Austin, Texas.</w:t>
      </w:r>
    </w:p>
    <w:p>
      <w:pPr>
        <w:spacing w:after="0" w:line="135" w:lineRule="exact"/>
        <w:rPr>
          <w:sz w:val="20"/>
          <w:szCs w:val="20"/>
          <w:color w:val="auto"/>
        </w:rPr>
      </w:pPr>
    </w:p>
    <w:p>
      <w:pPr>
        <w:ind w:left="60" w:right="279"/>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revenues when cash payments are received in advance of its performance obligations, primarily related to advanced deposits on hotel rooms and advanced ticketing at its OEG venues. At March 31, 2023 and December 31, 2022, the Company had $163.4 million and $136.5 million, respectively, in deferred revenues, which are included in accounts payable and accrued liabilities in the accompanying condensed consolidated balance sheets. Of the amount outstanding at December 31, 2022, approximately $70.1 million was recognized in revenue during the three months ended March 31, 2023.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INCOME (LOSS) PER SHARE:</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computation of basic and diluted earnings per common share is as follows (in thousands, except per share data):</w:t>
      </w:r>
    </w:p>
    <w:p>
      <w:pPr>
        <w:spacing w:after="0" w:line="192"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2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2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loss attributable to noncontrolling interest in consolidated joint venture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Net income (loss) available to common stockholders - if-converted method</w:t>
            </w:r>
          </w:p>
        </w:tc>
        <w:tc>
          <w:tcPr>
            <w:tcW w:w="4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60,557</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Effect of dilutive stock-based compensation</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dilutive put rights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9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4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59,326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55,086</w:t>
            </w:r>
          </w:p>
        </w:tc>
        <w:tc>
          <w:tcPr>
            <w:tcW w:w="3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Basic income (loss) per share available to common stockholders</w:t>
            </w:r>
          </w:p>
        </w:tc>
        <w:tc>
          <w:tcPr>
            <w:tcW w:w="520" w:type="dxa"/>
            <w:vAlign w:val="bottom"/>
            <w:gridSpan w:val="2"/>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income (loss) per share available to common stockholders</w:t>
            </w:r>
          </w:p>
        </w:tc>
        <w:tc>
          <w:tcPr>
            <w:tcW w:w="5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the effect of dilutive stock-based compensation was the equivalent of 0.3 million shares of common stock outstanding. Because the Company had a loss available to common stockholders in the three months ended March 31, 2022, these incremental shares were excluded from the computation of dilutive earnings per share as the effect of their inclusion would have been anti-dilutive.</w:t>
      </w:r>
    </w:p>
    <w:p>
      <w:pPr>
        <w:spacing w:after="0" w:line="139"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As more fully discussed in Note 1 to the consolidated financial statements included in the Company’s Annual Report on Form 10-K for the year ended December 31, 2022, although currently not exercisable, the OEG Investor has certain put rights (the “OEG Put Rights”) to require the Company to purchase the OEG Investor’s equity interest in OEG, which the Company may pay in cash or Company stock, at the Company’s option. The Company calculated potential dilution for the OEG Put Rights based on the if-converted method, which assumes the OEG Put Rights were converted on the first day of the period or the date of issuance and the OEG Investor’s noncontrolling equity interest was redeemed in exchange for shares of the Company’s common stock.</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operating partnership units (“OP Units”) held by the noncontrolling interest holders in the Operating Partnership have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been excluded from the denominator of the diluted income (loss) per share calculation for the three months ended March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31, 2023 and 2022 as there would be no effect on the calculation of diluted income (loss) per share because the income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(loss) attributable to the OP Units held by the noncontrolling interest holders would also be subtracted to derive net income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available to common stockholders.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ACCUMULATED OTHER COMPREHENSIVE LOSS:</w:t>
      </w:r>
    </w:p>
    <w:p>
      <w:pPr>
        <w:spacing w:after="0" w:line="189"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Company’s balance in accumulated other comprehensive loss is comprised of amounts related to the Company’s minimum pension liability discussed in Note 12, “Pension Plans,” interest rate derivatives designated as cash flow hedges related to the Company’s outstanding debt as discussed in Note 8, “Debt,” and amounts related to an other-than-temporary impairment of a held-to-maturity investment that existed prior to 2020 with respect to the notes receivable discussed in Note 7, “Notes Receivable,” to the condensed consolidated financial statements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for the three months ended March 31, 2023 and 2022 consisted of the following (in thousands):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13"/>
                <w:szCs w:val="13"/>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2022</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Losses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2023</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Other-Than-</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w w:val="99"/>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6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68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December 31, 2021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(29,080)</w:t>
            </w:r>
          </w:p>
        </w:tc>
        <w:tc>
          <w:tcPr>
            <w:tcW w:w="0" w:type="dxa"/>
            <w:vAlign w:val="bottom"/>
          </w:tcPr>
          <w:p>
            <w:pPr>
              <w:spacing w:after="0"/>
              <w:rPr>
                <w:sz w:val="1"/>
                <w:szCs w:val="1"/>
                <w:color w:val="auto"/>
              </w:rPr>
            </w:pPr>
          </w:p>
        </w:tc>
      </w:tr>
      <w:tr>
        <w:trPr>
          <w:trHeight w:val="203"/>
        </w:trPr>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Gains arising during period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reclassified from accumulated other comprehensive loss</w:t>
            </w:r>
          </w:p>
        </w:tc>
        <w:tc>
          <w:tcPr>
            <w:tcW w:w="4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4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10,019</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9,986</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March 31, 2022</w:t>
            </w:r>
          </w:p>
        </w:tc>
        <w:tc>
          <w:tcPr>
            <w:tcW w:w="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(16,505)</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(3,245)</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8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Property and equipment, including right-of-use finance lease assets, at March 31, 2023 and December 31, 2022 is recorded at cost (except for right-of-use finance lease assets) and summarized as follows (in thousands):</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8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443,469</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3,801,386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3,785,968</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1,015,078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r>
      <w:tr>
        <w:trPr>
          <w:trHeight w:val="209"/>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5,296,440</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(2,124,732)</w:t>
            </w:r>
          </w:p>
        </w:tc>
      </w:tr>
      <w:tr>
        <w:trPr>
          <w:trHeight w:val="209"/>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3,163,900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3,171,708</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NOTES RECEIVABLE:</w:t>
      </w:r>
    </w:p>
    <w:p>
      <w:pPr>
        <w:spacing w:after="0" w:line="18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As further discussed in the Company’s Annual Report on Form 10-K for the year ended December 31, 2022, in connection with the development of Gaylord National, the Company holds two issuances of governmental bonds (“Series A bond” and “Series B bond”) with a total carrying value and approximate fair value of $64.2 million and $67.6 million at March 31, 2023 and December 31, 2022, respectively, net of credit loss reserve of $38.0 million at each of March 31, 2023 and December 31, 2022.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65" w:lineRule="exact"/>
        <w:rPr>
          <w:sz w:val="20"/>
          <w:szCs w:val="20"/>
          <w:color w:val="auto"/>
        </w:rPr>
      </w:pPr>
    </w:p>
    <w:p>
      <w:pPr>
        <w:ind w:left="60" w:right="279"/>
        <w:spacing w:after="0" w:line="277" w:lineRule="auto"/>
        <w:rPr>
          <w:sz w:val="20"/>
          <w:szCs w:val="20"/>
          <w:color w:val="auto"/>
        </w:rPr>
      </w:pPr>
      <w:r>
        <w:rPr>
          <w:rFonts w:ascii="Times New Roman" w:cs="Times New Roman" w:eastAsia="Times New Roman" w:hAnsi="Times New Roman"/>
          <w:sz w:val="17"/>
          <w:szCs w:val="17"/>
          <w:color w:val="auto"/>
        </w:rPr>
        <w:t>The Company has the intent and ability to hold these bonds to maturity. The Company’s quarterly assessment of credit losses considers the estimate of projected tax revenues that will service the bonds over their remaining terms. These tax revenue projections are updated each quarter to reflect updated industry projections as to future anticipated operations of the hotel. As a result of reduced tax revenue projections over the remaining life of the bonds, the Series B bond is fully reserved. The Series A bond is of higher priority than other tranches which fall between the Company’s two issuances.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During each of the three months ended March 31, 2023 and 2022, the Company recorded interest income of $1.3 million on these bonds. The Company received payments of $4.7 million and $5.1 million during the three months ended March 31, 2023 and 2022, respectively, relating to these bonds. At March 31, 2023 and December 31, 2022, before consideration of the credit loss reserve, the Company had accrued interest receivable related to these bonds of $39.8 million and $41.0 million, respectively.</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debt and finance lease obligations at March 31, 2023 and December 31, 2022 consisted of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$700M Revolving Credit Facility, interest at LIBOR plus 1.50%, maturing March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$500M Term Loan B, interest at LIBOR plus 2.00%, maturing May 11, 2024</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371,250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$600M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interest at 4.50%, maturing February 15, 2029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$700M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interest at 4.75%, maturing October 15, 2027</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16"/>
        </w:trPr>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$800M</w:t>
            </w:r>
          </w:p>
        </w:tc>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Gaylord Rockies Term Loan, interest at LIBOR plus 2.50%, maturing July 2, 2023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9"/>
              </w:rPr>
              <w:t>$300M</w:t>
            </w: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OEG Term Loan, interest at SOFR plus 5.00%, maturing June 16, 2029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299,250</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$65M OEG Revolver, interest at SOFR plus 4.75%, maturing June 16, 2027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Block 21 CMBS Loan, interest at 5.58%, maturing January 5, 2026</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134,636</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r>
      <w:tr>
        <w:trPr>
          <w:trHeight w:val="216"/>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deferred financing costs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(30,482)</w:t>
            </w:r>
          </w:p>
        </w:tc>
      </w:tr>
      <w:tr>
        <w:trPr>
          <w:trHeight w:val="216"/>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(12,747)</w:t>
            </w:r>
          </w:p>
        </w:tc>
      </w:tr>
      <w:tr>
        <w:trPr>
          <w:trHeight w:val="210"/>
        </w:trPr>
        <w:tc>
          <w:tcPr>
            <w:tcW w:w="6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2,866,898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2,862,592</w:t>
            </w:r>
          </w:p>
        </w:tc>
      </w:tr>
      <w:tr>
        <w:trPr>
          <w:trHeight w:val="20"/>
        </w:trPr>
        <w:tc>
          <w:tcPr>
            <w:tcW w:w="54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Amounts due within one year consist of the $800 million Gaylord Rockies term loan, the amortization payments for the $500 million term loan B of 1.0% of the original principal balance, amortization payments for the $300 million OEG term loan of 1.0% of the original principal balance, and amortization of the Block 21 CMBS loan based on a 30-year amortization. The Gaylord Rockies term loan has three, one-year extension options, subject to certain requirements in the Gaylord Rockies term loan. The Company has fulfilled the necessary requirements to exercise the first of these extension options.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2023, there were no defaults under the covenants related to the Company’s outstanding debt.</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87" w:lineRule="exact"/>
        <w:rPr>
          <w:sz w:val="20"/>
          <w:szCs w:val="20"/>
          <w:color w:val="auto"/>
        </w:rPr>
      </w:pPr>
    </w:p>
    <w:p>
      <w:pPr>
        <w:ind w:left="60" w:right="99"/>
        <w:spacing w:after="0" w:line="277" w:lineRule="auto"/>
        <w:rPr>
          <w:sz w:val="20"/>
          <w:szCs w:val="20"/>
          <w:color w:val="auto"/>
        </w:rPr>
      </w:pPr>
      <w:r>
        <w:rPr>
          <w:rFonts w:ascii="Times New Roman" w:cs="Times New Roman" w:eastAsia="Times New Roman" w:hAnsi="Times New Roman"/>
          <w:sz w:val="17"/>
          <w:szCs w:val="17"/>
          <w:color w:val="auto"/>
        </w:rPr>
        <w:t>The Company has entered into interest rate swaps to manage interest rate risk associated with the Company’s $500 million term loan B, the Gaylord Rockies $800 million term loan and the $300 million OEG term loan. Each swap has been designated as a cash flow hedge whereby the Company receives variable-rate amounts in exchange for fixed-rate payments over the life of the agreement without exchange of the underlying principal amount. The Company does not use derivatives for trading or speculative purposes and currently does not hold any derivatives that are not designated as hedges.</w:t>
      </w:r>
    </w:p>
    <w:p>
      <w:pPr>
        <w:spacing w:after="0" w:line="127"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$5.9 million will be reclassified from accumulated other comprehensive income as a reduction to interest expense in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estimated fair value of the Company’s derivative financial instruments at March 31, 2023 and December 31, 2022 is as follows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Strike</w:t>
            </w: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tcPr>
          <w:p>
            <w:pPr>
              <w:spacing w:after="0"/>
              <w:rPr>
                <w:sz w:val="15"/>
                <w:szCs w:val="15"/>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Asset (Liability) Balance</w:t>
            </w:r>
          </w:p>
        </w:tc>
        <w:tc>
          <w:tcPr>
            <w:tcW w:w="0" w:type="dxa"/>
            <w:vAlign w:val="bottom"/>
          </w:tcPr>
          <w:p>
            <w:pPr>
              <w:spacing w:after="0"/>
              <w:rPr>
                <w:sz w:val="1"/>
                <w:szCs w:val="1"/>
                <w:color w:val="auto"/>
              </w:rPr>
            </w:pPr>
          </w:p>
        </w:tc>
      </w:tr>
      <w:tr>
        <w:trPr>
          <w:trHeight w:val="117"/>
        </w:trPr>
        <w:tc>
          <w:tcPr>
            <w:tcW w:w="20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Hedged Debt</w:t>
            </w:r>
          </w:p>
        </w:tc>
        <w:tc>
          <w:tcPr>
            <w:tcW w:w="12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660" w:type="dxa"/>
            <w:vAlign w:val="bottom"/>
            <w:gridSpan w:val="2"/>
            <w:vMerge w:val="continue"/>
          </w:tcPr>
          <w:p>
            <w:pPr>
              <w:spacing w:after="0"/>
              <w:rPr>
                <w:sz w:val="10"/>
                <w:szCs w:val="10"/>
                <w:color w:val="auto"/>
              </w:rPr>
            </w:pPr>
          </w:p>
        </w:tc>
        <w:tc>
          <w:tcPr>
            <w:tcW w:w="11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0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40" w:type="dxa"/>
            <w:vAlign w:val="bottom"/>
            <w:tcBorders>
              <w:top w:val="single" w:sz="8" w:color="auto"/>
            </w:tcBorders>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9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4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10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6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Term Loan B</w:t>
            </w:r>
          </w:p>
        </w:tc>
        <w:tc>
          <w:tcPr>
            <w:tcW w:w="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Interest Rate Swap</w:t>
            </w:r>
          </w:p>
        </w:tc>
        <w:tc>
          <w:tcPr>
            <w:tcW w:w="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356</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1.2235%</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Term Loan B</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1.2315%</w:t>
            </w:r>
          </w:p>
        </w:tc>
        <w:tc>
          <w:tcPr>
            <w:tcW w:w="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May 11, 2023</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Gaylord Rockies Term Loan</w:t>
            </w:r>
          </w:p>
        </w:tc>
        <w:tc>
          <w:tcPr>
            <w:tcW w:w="128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3.3410%</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1-month LIBOR</w:t>
            </w:r>
          </w:p>
        </w:tc>
        <w:tc>
          <w:tcPr>
            <w:tcW w:w="12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August 1, 2023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4,388</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OEG Term Loan</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Interest Rate Swap</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4.5330%</w:t>
            </w:r>
          </w:p>
        </w:tc>
        <w:tc>
          <w:tcPr>
            <w:tcW w:w="6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3-month SOFR</w:t>
            </w:r>
          </w:p>
        </w:tc>
        <w:tc>
          <w:tcPr>
            <w:tcW w:w="12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color w:val="auto"/>
              </w:rPr>
              <w:t>December 18, 2025</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(1,904)</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1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center"/>
              <w:ind w:right="5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121"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effect of the Company’s derivative financial instruments on the accompanying condensed consolidated statements of operations for the respective periods is as follows (in thousands):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5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2100" w:type="dxa"/>
            <w:vAlign w:val="bottom"/>
            <w:gridSpan w:val="6"/>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 Accumulated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OCI into Income (Expense)</w:t>
            </w:r>
          </w:p>
        </w:tc>
        <w:tc>
          <w:tcPr>
            <w:tcW w:w="0" w:type="dxa"/>
            <w:vAlign w:val="bottom"/>
          </w:tcPr>
          <w:p>
            <w:pPr>
              <w:spacing w:after="0"/>
              <w:rPr>
                <w:sz w:val="1"/>
                <w:szCs w:val="1"/>
                <w:color w:val="auto"/>
              </w:rPr>
            </w:pPr>
          </w:p>
        </w:tc>
      </w:tr>
      <w:tr>
        <w:trPr>
          <w:trHeight w:val="117"/>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8"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 OCI</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center"/>
              <w:ind w:left="42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Times New Roman" w:cs="Times New Roman" w:eastAsia="Times New Roman" w:hAnsi="Times New Roman"/>
                <w:sz w:val="15"/>
                <w:szCs w:val="15"/>
                <w:color w:val="auto"/>
              </w:rPr>
              <w:t>Interest rate swaps</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5"/>
                <w:szCs w:val="15"/>
                <w:color w:val="auto"/>
              </w:rPr>
              <w:t>(1,010)</w:t>
            </w:r>
          </w:p>
        </w:tc>
        <w:tc>
          <w:tcPr>
            <w:tcW w:w="1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6,070</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Interest expense</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5,268</w:t>
            </w:r>
          </w:p>
        </w:tc>
        <w:tc>
          <w:tcPr>
            <w:tcW w:w="60" w:type="dxa"/>
            <w:vAlign w:val="bottom"/>
          </w:tcPr>
          <w:p>
            <w:pPr>
              <w:spacing w:after="0"/>
              <w:rPr>
                <w:sz w:val="14"/>
                <w:szCs w:val="14"/>
                <w:color w:val="auto"/>
              </w:rPr>
            </w:pPr>
          </w:p>
        </w:tc>
        <w:tc>
          <w:tcPr>
            <w:tcW w:w="300" w:type="dxa"/>
            <w:vAlign w:val="bottom"/>
          </w:tcPr>
          <w:p>
            <w:pPr>
              <w:jc w:val="right"/>
              <w:ind w:right="144"/>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78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(3,949)</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(1,010)</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6,070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5,268</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4"/>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(3,949)</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Reclassifications from accumulated other comprehensive loss for interest rate swaps are shown in the table above and included in interest expense. Total consolidated interest expense for the three months ended March 31, 2023 and 2022 was $42.5 million and $31.9 million, respectively.</w:t>
      </w:r>
    </w:p>
    <w:p>
      <w:pPr>
        <w:spacing w:after="0" w:line="14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March 31, 2023, the fair value of derivatives in a net liability position including accrued interest but excluding any adjustment for nonperformance risk related to these agreements was $1.9 million. As of March 31, 2023,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$2.0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DEFERRED MANAGEMENT RIGHTS PROCEEDS:</w:t>
      </w:r>
    </w:p>
    <w:p>
      <w:pPr>
        <w:spacing w:after="0" w:line="18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straight-line basis over the 65-year term of the hotel management agreements, including extensions, as a reduction in management fee expense.</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89" w:lineRule="exact"/>
        <w:rPr>
          <w:sz w:val="20"/>
          <w:szCs w:val="20"/>
          <w:color w:val="auto"/>
        </w:rPr>
      </w:pPr>
    </w:p>
    <w:p>
      <w:pPr>
        <w:ind w:left="60" w:right="299"/>
        <w:spacing w:after="0" w:line="312" w:lineRule="auto"/>
        <w:rPr>
          <w:sz w:val="20"/>
          <w:szCs w:val="20"/>
          <w:color w:val="auto"/>
        </w:rPr>
      </w:pPr>
      <w:r>
        <w:rPr>
          <w:rFonts w:ascii="Times New Roman" w:cs="Times New Roman" w:eastAsia="Times New Roman" w:hAnsi="Times New Roman"/>
          <w:sz w:val="17"/>
          <w:szCs w:val="17"/>
          <w:color w:val="auto"/>
        </w:rPr>
        <w:t>The Company is a lessee of a 65.3-acre site in Osceola County, Florida on which Gaylord Palms is located; building or land leases for Ole Red Gatlinburg, Ole Red Orlando, Ole Red Tishomingo, Ole Red Nashville International Airport and</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Ole Red Las Vegas; and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with the exception of Ole Red Nashville International Airport, which has no extension option. Extension options are not considered reasonably assured and, as a result, are not included in the Company’s calculation of its right-of-use assets and lease liabilities.</w:t>
      </w:r>
    </w:p>
    <w:p>
      <w:pPr>
        <w:spacing w:after="0" w:line="187" w:lineRule="exact"/>
        <w:rPr>
          <w:sz w:val="20"/>
          <w:szCs w:val="20"/>
          <w:color w:val="auto"/>
        </w:rPr>
      </w:pPr>
    </w:p>
    <w:p>
      <w:pPr>
        <w:jc w:val="both"/>
        <w:ind w:left="60" w:right="399"/>
        <w:spacing w:after="0" w:line="266" w:lineRule="auto"/>
        <w:rPr>
          <w:sz w:val="20"/>
          <w:szCs w:val="20"/>
          <w:color w:val="auto"/>
        </w:rPr>
      </w:pPr>
      <w:r>
        <w:rPr>
          <w:rFonts w:ascii="Times New Roman" w:cs="Times New Roman" w:eastAsia="Times New Roman" w:hAnsi="Times New Roman"/>
          <w:sz w:val="18"/>
          <w:szCs w:val="18"/>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As the discount rate implicit in the Company’s operating leases is not readily determinable, the Company applies judgments related to the determination of the discount rates used to calculate the lease liability as required by Accounting Standards Codification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calculates its incremental borrowing rates by utilizing judgments and estimates regarding the Company’s secured borrowing rates, market credit rating, comparable bond yield curve, and adjustments to market yield curves to determine a securitized rate.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lease costs for the three months ended March 31, 2023 and 2022 are as follows (in thousands):</w:t>
      </w:r>
    </w:p>
    <w:p>
      <w:pPr>
        <w:spacing w:after="0" w:line="111" w:lineRule="exact"/>
        <w:rPr>
          <w:sz w:val="20"/>
          <w:szCs w:val="20"/>
          <w:color w:val="auto"/>
        </w:rPr>
      </w:pPr>
    </w:p>
    <w:tbl>
      <w:tblPr>
        <w:tblLayout w:type="fixed"/>
        <w:tblInd w:w="9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26"/>
        </w:trPr>
        <w:tc>
          <w:tcPr>
            <w:tcW w:w="5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9"/>
                <w:szCs w:val="19"/>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EEFF"/>
            </w:tcBorders>
          </w:tcPr>
          <w:p>
            <w:pPr>
              <w:spacing w:after="0"/>
              <w:rPr>
                <w:sz w:val="18"/>
                <w:szCs w:val="18"/>
                <w:color w:val="auto"/>
              </w:rPr>
            </w:pPr>
          </w:p>
        </w:tc>
      </w:tr>
      <w:tr>
        <w:trPr>
          <w:trHeight w:val="210"/>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at March 31, 2023 are as follows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73"/>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7,883</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8,885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Year 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8,983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8,979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Years thereafter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562,853</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606,469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present value of minimum payments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126,188</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remaining lease term and discount rate for the Company’s leases are as follows:</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9"/>
              </w:rPr>
              <w:t>44.0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4"/>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12.4 years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Operating leases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7.0 %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gridSpan w:val="3"/>
          </w:tcPr>
          <w:p>
            <w:pPr>
              <w:jc w:val="right"/>
              <w:ind w:right="133"/>
              <w:spacing w:after="0"/>
              <w:rPr>
                <w:sz w:val="20"/>
                <w:szCs w:val="20"/>
                <w:color w:val="auto"/>
              </w:rPr>
            </w:pPr>
            <w:r>
              <w:rPr>
                <w:rFonts w:ascii="Times New Roman" w:cs="Times New Roman" w:eastAsia="Times New Roman" w:hAnsi="Times New Roman"/>
                <w:sz w:val="18"/>
                <w:szCs w:val="18"/>
                <w:color w:val="auto"/>
              </w:rPr>
              <w:t>4.0 %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 PLANS:</w:t>
      </w:r>
    </w:p>
    <w:p>
      <w:pPr>
        <w:spacing w:after="0" w:line="202"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the Company granted 0.2 million restricted stock units with a weighted-average grant date fair value of $86.59 per unit. There were 0.6 million restricted stock units outstanding at each of March 31, 2023 and December 31, 2022.</w:t>
      </w:r>
    </w:p>
    <w:p>
      <w:pPr>
        <w:spacing w:after="0" w:line="135"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Compensation expense for the Company’s stock-based compensation plans was $3.7 million and $3.8 million for the three months ended March 31, 2023 and 2022, respectively.</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PENSION PLANS:</w:t>
      </w:r>
    </w:p>
    <w:p>
      <w:pPr>
        <w:spacing w:after="0" w:line="202" w:lineRule="exact"/>
        <w:rPr>
          <w:sz w:val="20"/>
          <w:szCs w:val="20"/>
          <w:color w:val="auto"/>
        </w:rPr>
      </w:pPr>
    </w:p>
    <w:p>
      <w:pPr>
        <w:ind w:left="60" w:right="679"/>
        <w:spacing w:after="0" w:line="312" w:lineRule="auto"/>
        <w:rPr>
          <w:sz w:val="20"/>
          <w:szCs w:val="20"/>
          <w:color w:val="auto"/>
        </w:rPr>
      </w:pPr>
      <w:r>
        <w:rPr>
          <w:rFonts w:ascii="Times New Roman" w:cs="Times New Roman" w:eastAsia="Times New Roman" w:hAnsi="Times New Roman"/>
          <w:sz w:val="17"/>
          <w:szCs w:val="17"/>
          <w:color w:val="auto"/>
        </w:rPr>
        <w:t>Net periodic pension (income) expense reflected in other gains and (losses), net in the accompanying condensed consolidated statements of operations included the following components for the respective periods (in thousands):</w:t>
      </w:r>
    </w:p>
    <w:p>
      <w:pPr>
        <w:spacing w:after="0" w:line="10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20" w:type="dxa"/>
        <w:tblCellMar>
          <w:top w:w="0" w:type="dxa"/>
          <w:left w:w="0" w:type="dxa"/>
          <w:bottom w:w="0" w:type="dxa"/>
          <w:right w:w="0" w:type="dxa"/>
        </w:tblCellMar>
      </w:tblPr>
      <w:tr>
        <w:trPr>
          <w:trHeight w:val="142"/>
        </w:trPr>
        <w:tc>
          <w:tcPr>
            <w:tcW w:w="55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r>
      <w:tr>
        <w:trPr>
          <w:trHeight w:val="20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pension (income) expense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80" w:type="dxa"/>
            <w:vAlign w:val="bottom"/>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89" w:lineRule="exact"/>
        <w:rPr>
          <w:sz w:val="20"/>
          <w:szCs w:val="20"/>
          <w:color w:val="auto"/>
        </w:rPr>
      </w:pPr>
    </w:p>
    <w:p>
      <w:pPr>
        <w:ind w:left="60" w:right="79"/>
        <w:spacing w:after="0" w:line="281" w:lineRule="auto"/>
        <w:rPr>
          <w:sz w:val="20"/>
          <w:szCs w:val="20"/>
          <w:color w:val="auto"/>
        </w:rPr>
      </w:pPr>
      <w:r>
        <w:rPr>
          <w:rFonts w:ascii="Times New Roman" w:cs="Times New Roman" w:eastAsia="Times New Roman" w:hAnsi="Times New Roman"/>
          <w:sz w:val="17"/>
          <w:szCs w:val="17"/>
          <w:color w:val="auto"/>
        </w:rPr>
        <w:t>The Company elected to be taxed as a REIT effective January 1, 2013, pursuant to the U.S. Internal Revenue Code of 1986, as amended. As a REIT, generally the Company is not subject to federal corporate income taxes on ordinary taxable income and capital gains income from real estate investments that it distributes to its stockholders. The Company continues to be required to pay federal and state corporate income taxes on earnings of its taxable REIT subsidiaries (“TRSs”).</w:t>
      </w:r>
    </w:p>
    <w:p>
      <w:pPr>
        <w:spacing w:after="0" w:line="13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the Company recorded an income tax provision (benefit) of $1.6 million and $(0.1) million, respectively, related to its TRSs.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31, 2023 and December 31, 2022, the Company had no unrecognized tax benefits.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02"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Company has entered into limited repayment and carry guaranties related to the Second Amended and Restated Loan Agreement, as amended, related to Gaylord Rockies (the “Gaylord Rockies Loan”)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and (ii) customary non-recourse carve-outs.</w:t>
      </w:r>
    </w:p>
    <w:p>
      <w:pPr>
        <w:spacing w:after="0" w:line="147"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In connection with the purchase of Block 21, the Company provided (i) limited guarantees to the Block 21 lenders under the Block 21 CMBS Loan via a guaranty agreement, a guaranty of completion agreement and an environmental indemnity, and (2) a letter of credit drawable by the Block 21 lenders in the event of a default of the Block 21 CMBS Loan.</w:t>
      </w:r>
    </w:p>
    <w:p>
      <w:pPr>
        <w:spacing w:after="0" w:line="11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In April 2019, a subsidiary of the Company acquired a 50% equity interest in Circle and has made capital contributions of $35.0 million through March 31, 2023. In addition, the Company intends to contribute up to an additional $8.2 million through December 31, 2023 for working capital needs. The Company accounts for its investment in this joint venture under the equity method of accounting.</w:t>
      </w:r>
    </w:p>
    <w:p>
      <w:pPr>
        <w:spacing w:after="0" w:line="153"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officers, which provide for severance payments upon certain events, including certain terminations in connection with a change of control.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ind w:left="60" w:right="279"/>
        <w:spacing w:after="0" w:line="261" w:lineRule="auto"/>
        <w:rPr>
          <w:sz w:val="20"/>
          <w:szCs w:val="20"/>
          <w:color w:val="auto"/>
        </w:rPr>
      </w:pPr>
      <w:r>
        <w:rPr>
          <w:rFonts w:ascii="Times New Roman" w:cs="Times New Roman" w:eastAsia="Times New Roman" w:hAnsi="Times New Roman"/>
          <w:sz w:val="18"/>
          <w:szCs w:val="18"/>
          <w:color w:val="auto"/>
        </w:rPr>
        <w:t>On February 23, 2023, the Company’s board of directors declared the Company’s first quarter 2023 cash dividend in the amount of $0.75 per share of common stock, or an aggregate of approximately $41.7 million in cash, which was paid on April 17, 2023 to stockholders of record as of the close of business on March 31, 2023. Any future dividend is subject to the Company’s board of directors’ determination as to the amount of distributions and the timing thereof.</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Noncontrolling Interest in the Operating Partnership</w:t>
      </w:r>
    </w:p>
    <w:p>
      <w:pPr>
        <w:spacing w:after="0" w:line="187"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The Company consolidates the Operating Partnership, which is a majority-owned limited partnership that has a noncontrolling interest. The outstanding OP Units held by the noncontrolling limited partners are redeemable for cash, or if the Company so elects, in shares of the Company’s common stock on a one-for-one basis, subject to certain adjustments. At March 31, 2023, 0.4 million outstanding OP Units, or less than 1% of the outstanding OP Units, were held by the noncontrolling limited partners and are included as a component of equity in the accompanying condensed consolidated balance sheets. The Company owns, directly or indirectly, the remaining 99.3% of the outstanding OP Units.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(“ATM”) Equity Distribution Agreement</w:t>
      </w:r>
    </w:p>
    <w:p>
      <w:pPr>
        <w:spacing w:after="0" w:line="200" w:lineRule="exact"/>
        <w:rPr>
          <w:sz w:val="20"/>
          <w:szCs w:val="20"/>
          <w:color w:val="auto"/>
        </w:rPr>
      </w:pPr>
    </w:p>
    <w:p>
      <w:pPr>
        <w:ind w:left="60" w:right="439"/>
        <w:spacing w:after="0" w:line="258" w:lineRule="auto"/>
        <w:rPr>
          <w:sz w:val="20"/>
          <w:szCs w:val="20"/>
          <w:color w:val="auto"/>
        </w:rPr>
      </w:pPr>
      <w:r>
        <w:rPr>
          <w:rFonts w:ascii="Times New Roman" w:cs="Times New Roman" w:eastAsia="Times New Roman" w:hAnsi="Times New Roman"/>
          <w:sz w:val="18"/>
          <w:szCs w:val="18"/>
          <w:color w:val="auto"/>
        </w:rPr>
        <w:t>On May 27, 2021, the Company entered into an ATM equity distribution agreement (the “ATM Agreement”) with a consortium of banks (each a “Sales Agent” and collectively, the “Sales Agents”), pursuant to which the Company may offer and sell to or through the Sales Agents (the “ATM Offering”), from time to time, up to 4.0 million shares (the “Shares”) of the Company’s common stock in such share amounts as the Company may specify by notice to the Sales Agents, in accordance with the terms and conditions set forth in the ATM Agreement.</w:t>
      </w:r>
    </w:p>
    <w:p>
      <w:pPr>
        <w:spacing w:after="0" w:line="143" w:lineRule="exact"/>
        <w:rPr>
          <w:sz w:val="20"/>
          <w:szCs w:val="20"/>
          <w:color w:val="auto"/>
        </w:rPr>
      </w:pP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Under the ATM Agreement, the Company will set the parameters for the sale of the Shares, including the number of the Shares to be issued, the time period during which sales are requested to be made, limitation on the number of the Shares that may be sold in any one trading day and any minimum price below which sales may not be made. Each Sales Agent will use its commercially reasonable efforts, consistent with its normal trading and sales practices, to sell such Shares up to the amount specified, and otherwise in accordance with mutually agreed terms between the Sales Agent and the Company. Neither the Company nor any of the Sales Agents are obligated to sell any specific number or dollar amount of Shares under the ATM Agreement. The Sales Agents will be paid a commission of up to 2.0% of the gross sales price from the sale of any Shares. The Company intends to use the net proceeds from any sale of Shares for the repayment of outstanding indebtedness, which may include the repayment of amounts outstanding under the Company’s credit agreement governing the Company’s revolving credit facility. Net proceeds which are not used for the repayment of outstanding indebtedness (to the extent then permitted by the Company’s credit agreement) may be used for general corporate purposes.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shares were issued under the ATM Agreement during the three months ended March 31, 2023.</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8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of the funds or the portfolio, which is based upon quoted market prices in an active market. Therefore, the Company has categorized these investments as Level 1.</w:t>
      </w:r>
    </w:p>
    <w:p>
      <w:pPr>
        <w:spacing w:after="0" w:line="13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Company’s interest rate swaps consist of over-the-counter swap contracts, which are not traded on a public exchange. The Company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4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The Company has consistently applied the above valuation techniques in all periods presented and believes it has obtained the most accurate information available for each type of instrument.</w:t>
      </w:r>
    </w:p>
    <w:p>
      <w:pPr>
        <w:spacing w:after="0" w:line="121"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at March 31, 2023 and December 31, 2022, were as follows (in thousands):</w:t>
      </w:r>
    </w:p>
    <w:tbl>
      <w:tblPr>
        <w:tblLayout w:type="fixed"/>
        <w:tblInd w:w="6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6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3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Markets for</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9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9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9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40,595</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29,245</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to fixed interest rate swaps</w:t>
            </w:r>
          </w:p>
        </w:tc>
        <w:tc>
          <w:tcPr>
            <w:tcW w:w="11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3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960" w:type="dxa"/>
            <w:vAlign w:val="bottom"/>
            <w:gridSpan w:val="2"/>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top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remainder of the assets and liabilities held by the Company at March 31, 2023 are not required to be recorded at fair value, and the carrying value of these assets and liabilities approximates fair value, except as described below.</w:t>
      </w:r>
    </w:p>
    <w:p>
      <w:pPr>
        <w:spacing w:after="0" w:line="135" w:lineRule="exact"/>
        <w:rPr>
          <w:sz w:val="20"/>
          <w:szCs w:val="20"/>
          <w:color w:val="auto"/>
        </w:rPr>
      </w:pPr>
    </w:p>
    <w:p>
      <w:pPr>
        <w:ind w:left="60" w:right="99"/>
        <w:spacing w:after="0" w:line="289" w:lineRule="auto"/>
        <w:rPr>
          <w:sz w:val="20"/>
          <w:szCs w:val="20"/>
          <w:color w:val="auto"/>
        </w:rPr>
      </w:pPr>
      <w:r>
        <w:rPr>
          <w:rFonts w:ascii="Times New Roman" w:cs="Times New Roman" w:eastAsia="Times New Roman" w:hAnsi="Times New Roman"/>
          <w:sz w:val="17"/>
          <w:szCs w:val="17"/>
          <w:color w:val="auto"/>
        </w:rPr>
        <w:t>The Company has outstanding $600.0 million in aggregate principal amount of $600 million 4.50% senior notes. The carrying value of these notes at March 31, 2023 was $592.1 million, net of unamortized deferred financing costs (“DFCs”). The fair value of these notes, based upon quoted market prices (Level 1), was $542.2 million at March 31, 2023.</w:t>
      </w:r>
    </w:p>
    <w:p>
      <w:pPr>
        <w:spacing w:after="0" w:line="117" w:lineRule="exact"/>
        <w:rPr>
          <w:sz w:val="20"/>
          <w:szCs w:val="20"/>
          <w:color w:val="auto"/>
        </w:rPr>
      </w:pPr>
    </w:p>
    <w:p>
      <w:pPr>
        <w:jc w:val="both"/>
        <w:ind w:left="60" w:right="459"/>
        <w:spacing w:after="0" w:line="266" w:lineRule="auto"/>
        <w:rPr>
          <w:sz w:val="20"/>
          <w:szCs w:val="20"/>
          <w:color w:val="auto"/>
        </w:rPr>
      </w:pPr>
      <w:r>
        <w:rPr>
          <w:rFonts w:ascii="Times New Roman" w:cs="Times New Roman" w:eastAsia="Times New Roman" w:hAnsi="Times New Roman"/>
          <w:sz w:val="18"/>
          <w:szCs w:val="18"/>
          <w:color w:val="auto"/>
        </w:rPr>
        <w:t>The Company has outstanding $700.0 million in aggregate principal amount of $700 million 4.75% senior notes. The carrying value of these notes at March 31, 2023 was $694.0 million, net of unamortized DFCs and premiums. The fair value of these notes, based upon quoted market prices (Level 1), was $658.9 million at March 31, 2023.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FINANCIAL REPORTING BY BUSINESS SEGMENTS: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operations are organized into three principal business segments:</w:t>
      </w:r>
    </w:p>
    <w:p>
      <w:pPr>
        <w:spacing w:after="0" w:line="183" w:lineRule="exact"/>
        <w:rPr>
          <w:sz w:val="20"/>
          <w:szCs w:val="20"/>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Hospitality</w:t>
      </w:r>
      <w:r>
        <w:rPr>
          <w:rFonts w:ascii="Times New Roman" w:cs="Times New Roman" w:eastAsia="Times New Roman" w:hAnsi="Times New Roman"/>
          <w:sz w:val="18"/>
          <w:szCs w:val="18"/>
          <w:color w:val="auto"/>
        </w:rPr>
        <w:t>, which includes the Gaylord Hotels properties, the Inn at Opryland and the AC Hotel;</w:t>
      </w:r>
    </w:p>
    <w:p>
      <w:pPr>
        <w:spacing w:after="0" w:line="29" w:lineRule="exact"/>
        <w:rPr>
          <w:rFonts w:ascii="Times New Roman" w:cs="Times New Roman" w:eastAsia="Times New Roman" w:hAnsi="Times New Roman"/>
          <w:sz w:val="18"/>
          <w:szCs w:val="18"/>
          <w:color w:val="auto"/>
        </w:rPr>
      </w:pPr>
    </w:p>
    <w:p>
      <w:pPr>
        <w:ind w:left="720" w:right="219" w:hanging="319"/>
        <w:spacing w:after="0" w:line="250"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Entertainment</w:t>
      </w:r>
      <w:r>
        <w:rPr>
          <w:rFonts w:ascii="Times New Roman" w:cs="Times New Roman" w:eastAsia="Times New Roman" w:hAnsi="Times New Roman"/>
          <w:sz w:val="18"/>
          <w:szCs w:val="18"/>
          <w:color w:val="auto"/>
        </w:rPr>
        <w:t>, which includes the OEG business, specifically the Grand Ole Opry, the Ryman Auditorium,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WSM-AM, Ole Red, Block 21, the Company’s equity investment in Circle, and the Company’s Nashville-based attractions; and</w:t>
      </w:r>
    </w:p>
    <w:p>
      <w:pPr>
        <w:spacing w:after="0" w:line="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and Other</w:t>
      </w:r>
      <w:r>
        <w:rPr>
          <w:rFonts w:ascii="Times New Roman" w:cs="Times New Roman" w:eastAsia="Times New Roman" w:hAnsi="Times New Roman"/>
          <w:sz w:val="18"/>
          <w:szCs w:val="18"/>
          <w:color w:val="auto"/>
        </w:rPr>
        <w:t>, which includes the Company’s corporate expenses.</w:t>
      </w:r>
    </w:p>
    <w:p>
      <w:pPr>
        <w:spacing w:after="0" w:line="16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The following information is derived directly from the segments’ internal financial reports used for corporate management purposes (amounts in thousands):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424,439</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261,111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299,135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3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56,028</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106,070</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Preopening costs</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sale of assets</w:t>
            </w: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30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30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(24,862)</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300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assets:</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Hospitality</w:t>
            </w:r>
          </w:p>
        </w:tc>
        <w:tc>
          <w:tcPr>
            <w:tcW w:w="3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3,213,984</w:t>
            </w:r>
          </w:p>
        </w:tc>
        <w:tc>
          <w:tcPr>
            <w:tcW w:w="36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Entertainment</w:t>
            </w:r>
          </w:p>
        </w:tc>
        <w:tc>
          <w:tcPr>
            <w:tcW w:w="3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518,029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502,913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Other</w:t>
            </w:r>
          </w:p>
        </w:tc>
        <w:tc>
          <w:tcPr>
            <w:tcW w:w="30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302,666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3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4,034,679</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4,040,623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0" w:type="dxa"/>
            <w:vAlign w:val="bottom"/>
            <w:vMerge w:val="restart"/>
          </w:tcPr>
          <w:p>
            <w:pPr>
              <w:jc w:val="right"/>
              <w:ind w:right="205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2"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the Operating Partnership’s owned subsidiaries.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2022, included in our Annual Report on Form 10-K that was filed with the SEC on February 24, 2023.</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Cautionary Note Regarding Forward-Looking Statements</w:t>
      </w:r>
    </w:p>
    <w:p>
      <w:pPr>
        <w:spacing w:after="0" w:line="202"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future performance of our business, anticipated business levels and our anticipated financial results during future periods, and other business or operational issues; (ii) the effect of our election to be taxed as a REIT and maintain REIT status for federal income tax purposes; (iii) the holding of our non-qualifying REIT assets in one or more taxable REIT subsidiaries (“TRSs”); (iv) our dividend policy, including the frequency and amount of any dividend we may pay; (v) our strategic goals and potential growth opportunities, including future expansion of the geographic diversity of our existing asset portfolio through acquisitions and investment in joint ventures;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including our credit facility and other contractual arrangements with third parties, including management agreements with Marriott; (ix) our use of cash during the remainder of 2023; (x) our ability to borrow available funds under our credit facility; (xi) our expectations about successfully amending the agreements governing our indebtedness should the need arise; (xii) the effects of inflation and increased costs on our business and on our customers, including group customers at our hotels; and (xiii) any other business or operational matters. We have based these forward-looking statements on our current expectations and projections about future events.</w:t>
      </w:r>
    </w:p>
    <w:p>
      <w:pPr>
        <w:spacing w:after="0" w:line="16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effects of COVID-19 on us and the hospitality and entertainment industries generally, economic conditions affecting the hospitality business generally, the geographic concentration of our hotel properties, business levels at our hotels, the effects of inflation on our business, including the effects on costs of labor and supplies and effects on group customers at our hotels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customers in our OEG businesses,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the London Inter-Bank Offered Rate (“LIBOR”) to a different base rate, and those factors described elsewhere in this Quarterly Report on Form 10-Q and our Annual Report on Form 10-K for the year ended December 31, 2022 or described from time to time in our other reports filed with the SEC.</w:t>
      </w:r>
    </w:p>
    <w:p>
      <w:pPr>
        <w:spacing w:after="0" w:line="162"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operate as a REIT for federal income tax purposes, specializing in group-oriented, destination hotel assets in urban and resort markets. Our core holdings include a network of five upscale, meetings-focused resorts totaling 9,917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the Gaylord Rockies Resort &amp; Convention Center (“Gaylord Rockies”). Our other owned hotel assets managed by Marriott include the Inn at Opryland, an overflow hotel adjacent to Gaylord Opryland, and the AC Hotel at National Harbor, Washington D.C. (“AC Hotel”), an overflow hotel adjacent to Gaylord National.</w:t>
      </w:r>
    </w:p>
    <w:p>
      <w:pPr>
        <w:spacing w:after="0" w:line="16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also own a controlling 70% equity interest in a business comprised of a number of entertainment and media assets, known as the Opry Entertainment Group (“OEG”), which we report as our Entertainment segment. These assets include the Grand Ole Opry, the legendary weekly showcase of country music’s finest performers for 97 years; the Ryman Auditorium, the storied live music venue and former home of the Grand Ole Opry located in downtown Nashville; WSM-AM, the Opry’s radio home; Ole Red, a brand of Blake Shelton-themed bar, music venue and event spaces; two Nashville-based assets managed by Marriott – the Wildhorse Saloon and the General Jackson Showboat; and as of May 31, 2022, Block 21, a mixed-use entertainment, lodging, office, and retail complex located in Austin, Texas (“Block 21”). We also own a 50% interest in a joint venture that creates and distributes a linear multicast and over-the-top channel dedicated to the country music lifestyle (“Circle”). See “OEG Transaction” below for additional disclosure regarding our sale of a 30% interest in OEG effective June 16, 2022.</w:t>
      </w:r>
    </w:p>
    <w:p>
      <w:pPr>
        <w:spacing w:after="0" w:line="154"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See “Cautionary Note Regarding Forward-Looking Statements” in this Item 2 and Item 1A, “Risk Factors,” in our Annual Report on Form 10-K for the year ended December 31, 2022 for important information regarding forward-looking statements made in this report and risks and uncertainties we face.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OEG Transaction</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As more fully described in Note 1, “OEG Transaction,” to the consolidated financial statements included in our Annual Report on Form 10-K for the year ended December 31, 2022, on June 16, 2022, we and certain of our subsidiaries, including OEG Attractions Holdings, LLC, which directly or indirectly owns the assets that comprise our Entertainment Segment, consummated the transactions contemplated by an investment agreement (the “Investment Agreement”) with Atairos Group, Inc. (“Atairos”) and A-OEG Holdings, LLC, an affiliate of Atairos (the “OEG Investor”), pursuant to which OEG issued and sold to the OEG Investor, and the OEG Investor acquired, 30% of the equity interests of OEG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approximately $296.0 million (the “OEG Transaction”). The purchase price for the OEG Transaction may be increased by $30.0 million if OEG achieves certain financial objectives in 2023 or 2024.</w:t>
      </w:r>
    </w:p>
    <w:p>
      <w:pPr>
        <w:spacing w:after="0" w:line="16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We retained a controlling 70% equity interest in OEG and will continue to consolidate OEG and the other subsidiaries comprising our Entertainment segment in our consolidated financial statements. After the payment of transaction expenses, we used substantially all of the net proceeds from the OEG Transaction, together with the net proceeds we received from the OEG Term Loan (as defined below), to repay the then-outstanding balance of our former $300 million term loan A and to pay down substantially all borrowings then outstanding under our revolving credit facility.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0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September 2022, our board of directors approved a dividend policy pursuant to which we will make minimum dividends of 100% of REIT taxable income annually, subject to the board of directors’ future determinations as to the amount of any distributions and the timing thereof. The dividend policy may be altered at any time by our board of directors (as otherwise permitted by our credit agreement) and certain provisions of our agreements governing our other indebtedness may prohibit us from paying dividends in accordance with any policy we may adopt.</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Long-Term Strategic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goal is to be the nation’s premier hospitality REIT for group-oriented meeting hotel assets in urban and resort markets.</w:t>
      </w:r>
    </w:p>
    <w:p>
      <w:pPr>
        <w:spacing w:after="0" w:line="196"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i w:val="1"/>
          <w:iCs w:val="1"/>
          <w:color w:val="auto"/>
        </w:rPr>
        <w:t>Existing Hotel Property Design</w:t>
      </w:r>
      <w:r>
        <w:rPr>
          <w:rFonts w:ascii="Times New Roman" w:cs="Times New Roman" w:eastAsia="Times New Roman" w:hAnsi="Times New Roman"/>
          <w:sz w:val="18"/>
          <w:szCs w:val="18"/>
          <w:color w:val="auto"/>
        </w:rPr>
        <w:t>. Our Gaylord Hotels properties focus on the large group meetings market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3" w:lineRule="exact"/>
        <w:rPr>
          <w:sz w:val="20"/>
          <w:szCs w:val="20"/>
          <w:color w:val="auto"/>
        </w:rPr>
      </w:pPr>
    </w:p>
    <w:p>
      <w:pPr>
        <w:ind w:left="60" w:right="279"/>
        <w:spacing w:after="0" w:line="272" w:lineRule="auto"/>
        <w:rPr>
          <w:sz w:val="20"/>
          <w:szCs w:val="20"/>
          <w:color w:val="auto"/>
        </w:rPr>
      </w:pPr>
      <w:r>
        <w:rPr>
          <w:rFonts w:ascii="Times New Roman" w:cs="Times New Roman" w:eastAsia="Times New Roman" w:hAnsi="Times New Roman"/>
          <w:sz w:val="17"/>
          <w:szCs w:val="17"/>
          <w:i w:val="1"/>
          <w:iCs w:val="1"/>
          <w:color w:val="auto"/>
        </w:rPr>
        <w:t>Expansion of Hotel Asset Portfolio</w:t>
      </w:r>
      <w:r>
        <w:rPr>
          <w:rFonts w:ascii="Times New Roman" w:cs="Times New Roman" w:eastAsia="Times New Roman" w:hAnsi="Times New Roman"/>
          <w:sz w:val="17"/>
          <w:szCs w:val="17"/>
          <w:color w:val="auto"/>
        </w:rPr>
        <w:t>. Part of our long-term growth strategy includes acquisitions or developments of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hotels, particularly in the group meetings sector of the hospitality industry, either alone or through joint ventures or alliances with one or more third parties. We will consider attractive investment opportunities which meet our acquisition parameters, specifically, group-oriented large hotels and overflow hotels with existing or potential leisure appeal. We are generally interested in highly accessible upper-upscale or luxury assets with over 400 hotel rooms in urban and resort group destination markets. We also consider assets that possess significant meeting space or present a repositioning opportunity and/or would significantly benefit from capital investment in additional rooms or meeting space. We are consistently considering acquisitions that would expand the geographic diversity of our existing asset portfolio.</w:t>
      </w:r>
    </w:p>
    <w:p>
      <w:pPr>
        <w:spacing w:after="0" w:line="131"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i w:val="1"/>
          <w:iCs w:val="1"/>
          <w:color w:val="auto"/>
        </w:rPr>
        <w:t>Continued Investment in Our Existing Properties</w:t>
      </w:r>
      <w:r>
        <w:rPr>
          <w:rFonts w:ascii="Times New Roman" w:cs="Times New Roman" w:eastAsia="Times New Roman" w:hAnsi="Times New Roman"/>
          <w:sz w:val="18"/>
          <w:szCs w:val="18"/>
          <w:color w:val="auto"/>
        </w:rPr>
        <w:t>. We continuously evaluate and invest in our current portfolio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enhancements or expansions as part of our long-term strategic plan. In 2021, we completed our $158 million expansion of Gaylord Palms, and we also completed our renovation of all of the guestrooms at Gaylord National. In 2022, we completed a re-concepting of the food and beverage options at Gaylord National and began a $98 million multi-year interior and exterior enhancement project at Gaylord Rockies to better position the property for our group customers.</w:t>
      </w:r>
    </w:p>
    <w:p>
      <w:pPr>
        <w:spacing w:after="0" w:line="156"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i w:val="1"/>
          <w:iCs w:val="1"/>
          <w:color w:val="auto"/>
        </w:rPr>
        <w:t>Leverage Brand Name Awareness</w:t>
      </w:r>
      <w:r>
        <w:rPr>
          <w:rFonts w:ascii="Times New Roman" w:cs="Times New Roman" w:eastAsia="Times New Roman" w:hAnsi="Times New Roman"/>
          <w:sz w:val="18"/>
          <w:szCs w:val="18"/>
          <w:color w:val="auto"/>
        </w:rPr>
        <w:t>. We believe the Grand Ole Opry is one of the most recognized entertainment brands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six Ole Red locations, as well as Circle, purchased Block 21, and in April 2023 announced a partnership with Luke Combs for an entertainment venue concept expected to be completed in 2024. Further, in 2022, we completed a strategic transaction to sell a minority interest in OEG to an affiliate of Atairos and its strategic partner NBCUniversal, who we believe will be able to help us expand the distribution of our OEG brands.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i w:val="1"/>
          <w:iCs w:val="1"/>
          <w:color w:val="auto"/>
        </w:rPr>
        <w:t>Short-Term Capital Allocation</w:t>
      </w:r>
      <w:r>
        <w:rPr>
          <w:rFonts w:ascii="Times New Roman" w:cs="Times New Roman" w:eastAsia="Times New Roman" w:hAnsi="Times New Roman"/>
          <w:sz w:val="18"/>
          <w:szCs w:val="18"/>
          <w:color w:val="auto"/>
        </w:rPr>
        <w:t>. Our short-term capital allocation strategy is focused on returning capital to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payment of dividends, in addition to investing in our assets and operations. Our dividend policy provides that we will make minimum dividends of 100% of REIT taxable income annually, subject to the board of directors’ future determinations as to the amount of any distributions and the timing thereof.</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ongoing operations are organized into three principal business segments:</w:t>
      </w:r>
    </w:p>
    <w:p>
      <w:pPr>
        <w:spacing w:after="0" w:line="185" w:lineRule="exact"/>
        <w:rPr>
          <w:sz w:val="20"/>
          <w:szCs w:val="20"/>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Hospitality, consisting of our Gaylord Hotels properties, the Inn at Opryland and the AC Hotel.</w:t>
      </w:r>
    </w:p>
    <w:p>
      <w:pPr>
        <w:spacing w:after="0" w:line="198" w:lineRule="exact"/>
        <w:rPr>
          <w:rFonts w:ascii="Times New Roman" w:cs="Times New Roman" w:eastAsia="Times New Roman" w:hAnsi="Times New Roman"/>
          <w:sz w:val="18"/>
          <w:szCs w:val="18"/>
          <w:color w:val="auto"/>
        </w:rPr>
      </w:pPr>
    </w:p>
    <w:p>
      <w:pPr>
        <w:ind w:left="720" w:right="41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consisting of the Grand Ole Opry, the Ryman Auditorium, WSM-AM, Ole Red, Block 21, our equity investment in Circle, and our other Nashville-based attractions.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consisting of our corporate expenses.</w:t>
      </w:r>
    </w:p>
    <w:p>
      <w:pPr>
        <w:spacing w:after="0" w:line="185"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our total revenues were divided among these business segments as follows:</w:t>
      </w:r>
    </w:p>
    <w:p>
      <w:pPr>
        <w:spacing w:after="0" w:line="129"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5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700" w:type="dxa"/>
            <w:vAlign w:val="bottom"/>
            <w:gridSpan w:val="4"/>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420" w:type="dxa"/>
            <w:vAlign w:val="bottom"/>
            <w:gridSpan w:val="3"/>
            <w:vMerge w:val="continue"/>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Hospitality</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14 %</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0 %</w:t>
            </w:r>
          </w:p>
        </w:tc>
        <w:tc>
          <w:tcPr>
            <w:tcW w:w="8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Key Performance Indicators</w:t>
      </w:r>
    </w:p>
    <w:p>
      <w:pPr>
        <w:spacing w:after="0" w:line="189"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industry and are used by management to evaluate hotel performance and allocate capital expenditures:</w:t>
      </w:r>
    </w:p>
    <w:p>
      <w:pPr>
        <w:spacing w:after="0" w:line="143"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 a volume indicator calculated by dividing total rooms sold by total rooms available;</w:t>
      </w:r>
    </w:p>
    <w:p>
      <w:pPr>
        <w:spacing w:after="0" w:line="19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daily rate (“ADR”) – a price indicator calculated by dividing room revenue by the number of rooms sold;</w:t>
      </w:r>
    </w:p>
    <w:p>
      <w:pPr>
        <w:spacing w:after="0" w:line="184" w:lineRule="exact"/>
        <w:rPr>
          <w:rFonts w:ascii="Times New Roman" w:cs="Times New Roman" w:eastAsia="Times New Roman" w:hAnsi="Times New Roman"/>
          <w:sz w:val="18"/>
          <w:szCs w:val="18"/>
          <w:color w:val="auto"/>
        </w:rPr>
      </w:pPr>
    </w:p>
    <w:p>
      <w:pPr>
        <w:ind w:left="720" w:right="5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per available room (“RevPAR”) – a summary measure of hotel results calculated by dividing room revenue by room nights available to guests for the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8" w:lineRule="exact"/>
        <w:rPr>
          <w:rFonts w:ascii="Times New Roman" w:cs="Times New Roman" w:eastAsia="Times New Roman" w:hAnsi="Times New Roman"/>
          <w:sz w:val="18"/>
          <w:szCs w:val="18"/>
          <w:color w:val="auto"/>
        </w:rPr>
      </w:pPr>
    </w:p>
    <w:p>
      <w:pPr>
        <w:ind w:left="720" w:right="25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 a volume indicator which represents the total number of definite group bookings for future room nights at our hotels confirmed during the applicable period, net of cancellations.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312" w:lineRule="auto"/>
        <w:rPr>
          <w:sz w:val="20"/>
          <w:szCs w:val="20"/>
          <w:color w:val="auto"/>
        </w:rPr>
      </w:pPr>
      <w:r>
        <w:rPr>
          <w:rFonts w:ascii="Times New Roman" w:cs="Times New Roman" w:eastAsia="Times New Roman" w:hAnsi="Times New Roman"/>
          <w:sz w:val="17"/>
          <w:szCs w:val="17"/>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111" w:lineRule="exact"/>
        <w:rPr>
          <w:sz w:val="20"/>
          <w:szCs w:val="20"/>
          <w:color w:val="auto"/>
        </w:rPr>
      </w:pPr>
    </w:p>
    <w:p>
      <w:pPr>
        <w:jc w:val="both"/>
        <w:ind w:left="720" w:right="159" w:hanging="319"/>
        <w:spacing w:after="0" w:line="267"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Expense, Income Taxes, Depreciation and Amortization for Real Estate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and</w:t>
      </w:r>
    </w:p>
    <w:p>
      <w:pPr>
        <w:spacing w:after="0" w:line="134" w:lineRule="exact"/>
        <w:rPr>
          <w:rFonts w:ascii="Times New Roman" w:cs="Times New Roman" w:eastAsia="Times New Roman" w:hAnsi="Times New Roman"/>
          <w:sz w:val="18"/>
          <w:szCs w:val="18"/>
          <w:color w:val="auto"/>
        </w:rPr>
      </w:pPr>
    </w:p>
    <w:p>
      <w:pPr>
        <w:ind w:left="720" w:right="13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From Operations (“FFO”) available to common stockholders and unit holders and Adjusted FFO available to common stockholders and unitholders.</w:t>
      </w:r>
    </w:p>
    <w:p>
      <w:pPr>
        <w:spacing w:after="0" w:line="1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“Non-GAAP Financial Measures” below for further discussion.</w:t>
      </w:r>
    </w:p>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(and applicable room rates) have often been contracted for several years in advance, the level of attrition our hotels experience, and the level of transient business at our hotels during such period. Increases in costs, including labor costs, costs of food and other supplies, and energy costs can negatively affect our results, particularly during an inflationary economic environment. We rely on Marriott, as the manager of our hotels, to manage these factors and to offset any identified shortfalls in occupancy.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Environment</w:t>
      </w:r>
    </w:p>
    <w:p>
      <w:pPr>
        <w:spacing w:after="0" w:line="189"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Our business levels and financial performance improved in the three months ended March 31, 2023 as compared to the three months ended March 31, 2022, which was impacted by the omicron variant of COVID-19. As described in more detail in “Factors and Trends Contributing to Performance” below, we experienced improved occupancy, ADR, group travel and outside-the-room spending, among other metrics, in the three months ended March 31, 2023, as compared to the three months ended March 31, 2022. This was achieved in spite of general economic uncertainty in the U.S. economy, which continues and may impact our future results of operations and financial position, and this improved performance has mitigated increasing costs in the current inflationary environment.</w:t>
      </w:r>
    </w:p>
    <w:p>
      <w:pPr>
        <w:spacing w:after="0" w:line="162" w:lineRule="exact"/>
        <w:rPr>
          <w:sz w:val="20"/>
          <w:szCs w:val="20"/>
          <w:color w:val="auto"/>
        </w:rPr>
      </w:pPr>
    </w:p>
    <w:p>
      <w:pPr>
        <w:ind w:left="60" w:right="219"/>
        <w:spacing w:after="0" w:line="281" w:lineRule="auto"/>
        <w:rPr>
          <w:sz w:val="20"/>
          <w:szCs w:val="20"/>
          <w:color w:val="auto"/>
        </w:rPr>
      </w:pPr>
      <w:r>
        <w:rPr>
          <w:rFonts w:ascii="Times New Roman" w:cs="Times New Roman" w:eastAsia="Times New Roman" w:hAnsi="Times New Roman"/>
          <w:sz w:val="17"/>
          <w:szCs w:val="17"/>
          <w:color w:val="auto"/>
        </w:rPr>
        <w:t>Based on current demand trends, we expect our businesses to continue to perform well during the remainder of 2023. Demand in our businesses, including our hotels’ group business, is sensitive to changes in macroeconomic factors, including increased labor and other costs, broad inflationary pressures and rising interest rates. The timing and magnitude of any potential economic slowdown or recession and the extent of any negative effects on our business is unknown.</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following table contains our unaudited selected summary financial data for the three months ended March 31, 2023 and 2022. The table also shows the percentage relationships to total revenues and, in the case of segment operating income, its relationship to segment revenues (in thousands, except percentages).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r>
      <w:tr>
        <w:trPr>
          <w:trHeight w:val="173"/>
        </w:trPr>
        <w:tc>
          <w:tcPr>
            <w:tcW w:w="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9"/>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r>
      <w:tr>
        <w:trPr>
          <w:trHeight w:val="142"/>
        </w:trPr>
        <w:tc>
          <w:tcPr>
            <w:tcW w:w="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gridSpan w:val="2"/>
          </w:tcPr>
          <w:p>
            <w:pPr>
              <w:jc w:val="center"/>
              <w:ind w:left="1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440" w:type="dxa"/>
            <w:vAlign w:val="bottom"/>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5280" w:type="dxa"/>
            <w:vAlign w:val="bottom"/>
            <w:tcBorders>
              <w:top w:val="single" w:sz="8" w:color="CCEEFF"/>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3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42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161,251</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32.8</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101,593</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215,804</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47,384</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47,402</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67,280</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38,024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revenues</w:t>
            </w:r>
          </w:p>
        </w:tc>
        <w:tc>
          <w:tcPr>
            <w:tcW w:w="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491,719</w:t>
            </w:r>
          </w:p>
        </w:tc>
        <w:tc>
          <w:tcPr>
            <w:tcW w:w="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299,135</w:t>
            </w:r>
          </w:p>
        </w:tc>
        <w:tc>
          <w:tcPr>
            <w:tcW w:w="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bottom w:val="single" w:sz="8" w:color="CCEEFF"/>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w w:val="85"/>
              </w:rPr>
              <w:t>%</w:t>
            </w:r>
          </w:p>
        </w:tc>
      </w:tr>
      <w:tr>
        <w:trPr>
          <w:trHeight w:val="142"/>
        </w:trPr>
        <w:tc>
          <w:tcPr>
            <w:tcW w:w="528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EXPENSES: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42,059</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115,181</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71,329</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103,059</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86,643</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Hotel management fees, net</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15,195</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51,434</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10.5</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31,731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10,594</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9,557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sale of assets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0.2 %</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42,875</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5,265</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3,552</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Total depreciation and amortization</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48,357</w:t>
            </w:r>
          </w:p>
        </w:tc>
        <w:tc>
          <w:tcPr>
            <w:tcW w:w="620" w:type="dxa"/>
            <w:vAlign w:val="bottom"/>
            <w:tcBorders>
              <w:bottom w:val="single" w:sz="8" w:color="CCEEFF"/>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9.8</w:t>
            </w:r>
          </w:p>
        </w:tc>
        <w:tc>
          <w:tcPr>
            <w:tcW w:w="260" w:type="dxa"/>
            <w:vAlign w:val="bottom"/>
            <w:tcBorders>
              <w:bottom w:val="single" w:sz="8" w:color="CCEEFF"/>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56,028</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18.7</w:t>
            </w:r>
          </w:p>
        </w:tc>
        <w:tc>
          <w:tcPr>
            <w:tcW w:w="340" w:type="dxa"/>
            <w:vAlign w:val="bottom"/>
            <w:tcBorders>
              <w:bottom w:val="single" w:sz="8" w:color="CCEEFF"/>
            </w:tcBorders>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386,069</w:t>
            </w:r>
          </w:p>
        </w:tc>
        <w:tc>
          <w:tcPr>
            <w:tcW w:w="6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78.5</w:t>
            </w:r>
          </w:p>
        </w:tc>
        <w:tc>
          <w:tcPr>
            <w:tcW w:w="26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291,261</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97.4</w:t>
            </w:r>
          </w:p>
        </w:tc>
        <w:tc>
          <w:tcPr>
            <w:tcW w:w="340" w:type="dxa"/>
            <w:vAlign w:val="bottom"/>
            <w:gridSpan w:val="2"/>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OPERATING INCOME (LOSS):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Hospitality</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106,070</w:t>
            </w:r>
          </w:p>
        </w:tc>
        <w:tc>
          <w:tcPr>
            <w:tcW w:w="6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26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15,668</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34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Entertainment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10,581</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6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2,741</w:t>
            </w:r>
          </w:p>
        </w:tc>
        <w:tc>
          <w:tcPr>
            <w:tcW w:w="2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34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Corporate and Other</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(10,811)</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(9,762)</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40" w:type="dxa"/>
            <w:vAlign w:val="bottom"/>
          </w:tcPr>
          <w:p>
            <w:pPr>
              <w:spacing w:after="0"/>
              <w:rPr>
                <w:sz w:val="12"/>
                <w:szCs w:val="12"/>
                <w:color w:val="auto"/>
              </w:rPr>
            </w:pPr>
          </w:p>
        </w:tc>
        <w:tc>
          <w:tcPr>
            <w:tcW w:w="5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Preopening costs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880" w:type="dxa"/>
            <w:vAlign w:val="bottom"/>
            <w:gridSpan w:val="4"/>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(304)</w:t>
            </w:r>
          </w:p>
        </w:tc>
        <w:tc>
          <w:tcPr>
            <w:tcW w:w="200" w:type="dxa"/>
            <w:vAlign w:val="bottom"/>
          </w:tcPr>
          <w:p>
            <w:pPr>
              <w:spacing w:after="0"/>
              <w:rPr>
                <w:sz w:val="12"/>
                <w:szCs w:val="12"/>
                <w:color w:val="auto"/>
              </w:rPr>
            </w:pPr>
          </w:p>
        </w:tc>
        <w:tc>
          <w:tcPr>
            <w:tcW w:w="780" w:type="dxa"/>
            <w:vAlign w:val="bottom"/>
            <w:gridSpan w:val="3"/>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Loss on sale of assets</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(0.2)%</w:t>
            </w:r>
          </w:p>
        </w:tc>
      </w:tr>
      <w:tr>
        <w:trPr>
          <w:trHeight w:val="142"/>
        </w:trPr>
        <w:tc>
          <w:tcPr>
            <w:tcW w:w="40" w:type="dxa"/>
            <w:vAlign w:val="bottom"/>
          </w:tcPr>
          <w:p>
            <w:pPr>
              <w:spacing w:after="0"/>
              <w:rPr>
                <w:sz w:val="12"/>
                <w:szCs w:val="12"/>
                <w:color w:val="auto"/>
              </w:rPr>
            </w:pPr>
          </w:p>
        </w:tc>
        <w:tc>
          <w:tcPr>
            <w:tcW w:w="5240" w:type="dxa"/>
            <w:vAlign w:val="bottom"/>
            <w:gridSpan w:val="2"/>
          </w:tcPr>
          <w:p>
            <w:pPr>
              <w:ind w:left="180"/>
              <w:spacing w:after="0" w:line="142" w:lineRule="exact"/>
              <w:rPr>
                <w:sz w:val="20"/>
                <w:szCs w:val="20"/>
                <w:color w:val="auto"/>
              </w:rPr>
            </w:pPr>
            <w:r>
              <w:rPr>
                <w:rFonts w:ascii="Times New Roman" w:cs="Times New Roman" w:eastAsia="Times New Roman" w:hAnsi="Times New Roman"/>
                <w:sz w:val="14"/>
                <w:szCs w:val="14"/>
                <w:color w:val="auto"/>
              </w:rPr>
              <w:t>Total operating income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105,650</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26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7,874</w:t>
            </w:r>
          </w:p>
        </w:tc>
        <w:tc>
          <w:tcPr>
            <w:tcW w:w="2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2.6</w:t>
            </w:r>
          </w:p>
        </w:tc>
        <w:tc>
          <w:tcPr>
            <w:tcW w:w="340" w:type="dxa"/>
            <w:vAlign w:val="bottom"/>
            <w:gridSpan w:val="2"/>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(42,528)</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(31,937)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8"/>
        </w:trPr>
        <w:tc>
          <w:tcPr>
            <w:tcW w:w="5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2,547</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1,381</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5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from unconsolidated joint ventures</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(2,806)</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5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gains and (losses), net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w:t>
            </w:r>
          </w:p>
        </w:tc>
        <w:tc>
          <w:tcPr>
            <w:tcW w:w="20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0" w:type="dxa"/>
            <w:vAlign w:val="bottom"/>
          </w:tcPr>
          <w:p>
            <w:pPr>
              <w:spacing w:after="0"/>
              <w:rPr>
                <w:sz w:val="12"/>
                <w:szCs w:val="12"/>
                <w:color w:val="auto"/>
              </w:rPr>
            </w:pPr>
          </w:p>
        </w:tc>
        <w:tc>
          <w:tcPr>
            <w:tcW w:w="4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52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3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(1,633)</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2"/>
        </w:trPr>
        <w:tc>
          <w:tcPr>
            <w:tcW w:w="52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60,994</w:t>
            </w:r>
          </w:p>
        </w:tc>
        <w:tc>
          <w:tcPr>
            <w:tcW w:w="20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(24,797)</w:t>
            </w:r>
          </w:p>
        </w:tc>
        <w:tc>
          <w:tcPr>
            <w:tcW w:w="200" w:type="dxa"/>
            <w:vAlign w:val="bottom"/>
          </w:tcPr>
          <w:p>
            <w:pPr>
              <w:spacing w:after="0"/>
              <w:rPr>
                <w:sz w:val="12"/>
                <w:szCs w:val="12"/>
                <w:color w:val="auto"/>
              </w:rPr>
            </w:pPr>
          </w:p>
        </w:tc>
        <w:tc>
          <w:tcPr>
            <w:tcW w:w="44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8"/>
        </w:trPr>
        <w:tc>
          <w:tcPr>
            <w:tcW w:w="40" w:type="dxa"/>
            <w:vAlign w:val="bottom"/>
            <w:shd w:val="clear" w:color="auto" w:fill="CCEEFF"/>
          </w:tcPr>
          <w:p>
            <w:pPr>
              <w:spacing w:after="0"/>
              <w:rPr>
                <w:sz w:val="12"/>
                <w:szCs w:val="12"/>
                <w:color w:val="auto"/>
              </w:rPr>
            </w:pPr>
          </w:p>
        </w:tc>
        <w:tc>
          <w:tcPr>
            <w:tcW w:w="524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Net loss attributable to noncontrolling interest in consolidated joint venture</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763</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r>
      <w:tr>
        <w:trPr>
          <w:trHeight w:val="149"/>
        </w:trPr>
        <w:tc>
          <w:tcPr>
            <w:tcW w:w="40" w:type="dxa"/>
            <w:vAlign w:val="bottom"/>
            <w:tcBorders>
              <w:bottom w:val="single" w:sz="8" w:color="CCEEFF"/>
            </w:tcBorders>
          </w:tcPr>
          <w:p>
            <w:pPr>
              <w:spacing w:after="0"/>
              <w:rPr>
                <w:sz w:val="12"/>
                <w:szCs w:val="12"/>
                <w:color w:val="auto"/>
              </w:rPr>
            </w:pPr>
          </w:p>
        </w:tc>
        <w:tc>
          <w:tcPr>
            <w:tcW w:w="524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noncontrolling interest in the Operating Partnership</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(437)</w:t>
            </w:r>
          </w:p>
        </w:tc>
        <w:tc>
          <w:tcPr>
            <w:tcW w:w="2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r>
      <w:tr>
        <w:trPr>
          <w:trHeight w:val="142"/>
        </w:trPr>
        <w:tc>
          <w:tcPr>
            <w:tcW w:w="40" w:type="dxa"/>
            <w:vAlign w:val="bottom"/>
            <w:tcBorders>
              <w:bottom w:val="single" w:sz="8" w:color="CCEEFF"/>
            </w:tcBorders>
            <w:shd w:val="clear" w:color="auto" w:fill="CCEEFF"/>
          </w:tcPr>
          <w:p>
            <w:pPr>
              <w:spacing w:after="0"/>
              <w:rPr>
                <w:sz w:val="12"/>
                <w:szCs w:val="12"/>
                <w:color w:val="auto"/>
              </w:rPr>
            </w:pPr>
          </w:p>
        </w:tc>
        <w:tc>
          <w:tcPr>
            <w:tcW w:w="5240" w:type="dxa"/>
            <w:vAlign w:val="bottom"/>
            <w:tcBorders>
              <w:bottom w:val="single" w:sz="8" w:color="CCEEFF"/>
            </w:tcBorders>
            <w:gridSpan w:val="2"/>
            <w:shd w:val="clear" w:color="auto" w:fill="CCEEFF"/>
          </w:tcPr>
          <w:p>
            <w:pPr>
              <w:ind w:left="180"/>
              <w:spacing w:after="0" w:line="142" w:lineRule="exact"/>
              <w:rPr>
                <w:sz w:val="20"/>
                <w:szCs w:val="20"/>
                <w:color w:val="auto"/>
              </w:rPr>
            </w:pPr>
            <w:r>
              <w:rPr>
                <w:rFonts w:ascii="Times New Roman" w:cs="Times New Roman" w:eastAsia="Times New Roman" w:hAnsi="Times New Roman"/>
                <w:sz w:val="14"/>
                <w:szCs w:val="14"/>
                <w:color w:val="auto"/>
              </w:rPr>
              <w:t>Net income (loss) available to common stockholders</w:t>
            </w:r>
          </w:p>
        </w:tc>
        <w:tc>
          <w:tcPr>
            <w:tcW w:w="3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61,320</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(24,621)</w:t>
            </w:r>
          </w:p>
        </w:tc>
        <w:tc>
          <w:tcPr>
            <w:tcW w:w="2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(A)</w:t>
            </w:r>
          </w:p>
        </w:tc>
        <w:tc>
          <w:tcPr>
            <w:tcW w:w="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89"/>
        </w:trPr>
        <w:tc>
          <w:tcPr>
            <w:tcW w:w="4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r>
    </w:tbl>
    <w:p>
      <w:pPr>
        <w:spacing w:after="0" w:line="76" w:lineRule="exact"/>
        <w:rPr>
          <w:sz w:val="20"/>
          <w:szCs w:val="20"/>
          <w:color w:val="auto"/>
        </w:rPr>
      </w:pPr>
    </w:p>
    <w:p>
      <w:pPr>
        <w:jc w:val="center"/>
        <w:ind w:left="4420" w:right="739" w:hanging="4370"/>
        <w:spacing w:after="0" w:line="783"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have not been shown as a percentage of revenue because they have no relationship to revenue.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45720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Results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Results of Operations</w:t>
      </w:r>
    </w:p>
    <w:p>
      <w:pPr>
        <w:spacing w:after="0" w:line="187"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financial results for the three months ended March 31, 2023 and 2022 (in thousands, except percentages and per share data):</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00" w:type="dxa"/>
            <w:vAlign w:val="bottom"/>
            <w:gridSpan w:val="5"/>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580" w:type="dxa"/>
            <w:vAlign w:val="bottom"/>
          </w:tcPr>
          <w:p>
            <w:pPr>
              <w:spacing w:after="0"/>
              <w:rPr>
                <w:sz w:val="10"/>
                <w:szCs w:val="10"/>
                <w:color w:val="auto"/>
              </w:rPr>
            </w:pPr>
          </w:p>
        </w:tc>
        <w:tc>
          <w:tcPr>
            <w:tcW w:w="126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jc w:val="right"/>
              <w:ind w:right="17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$ 491,719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$ 299,135</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386,069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291,261</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32.6 %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105,650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1,241.8 %</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60,994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346.0 %</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349.1 %</w:t>
            </w:r>
          </w:p>
        </w:tc>
        <w:tc>
          <w:tcPr>
            <w:tcW w:w="0" w:type="dxa"/>
            <w:vAlign w:val="bottom"/>
          </w:tcPr>
          <w:p>
            <w:pPr>
              <w:spacing w:after="0"/>
              <w:rPr>
                <w:sz w:val="1"/>
                <w:szCs w:val="1"/>
                <w:color w:val="auto"/>
              </w:rPr>
            </w:pP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available to common stockholders per share - diluted</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326.7 %</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Revenues</w:t>
      </w:r>
    </w:p>
    <w:p>
      <w:pPr>
        <w:spacing w:after="0" w:line="200"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The increase in our total revenues for the three months ended March 31, 2023, as compared to the same period in 2022, is attributable to increases in our Hospitality segment and Entertainment segment of $163.3 million and $29.3 million, respectively, as presented in the tables below.</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Total Operating Expenses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increase in our total operating expenses for the three months ended March 31, 2023, as compared to the same period in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2022, is primarily the result of increases in our Hospitality segment and Entertainment segment of $82.3 million and $19.7</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million, respectively, partially offset by a decrease in depreciation expense of $7.7 million, as presented in the tables below.</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87" w:lineRule="exact"/>
        <w:rPr>
          <w:sz w:val="20"/>
          <w:szCs w:val="20"/>
          <w:color w:val="auto"/>
        </w:rPr>
      </w:pPr>
    </w:p>
    <w:p>
      <w:pPr>
        <w:jc w:val="both"/>
        <w:ind w:left="60" w:right="119"/>
        <w:spacing w:after="0" w:line="261" w:lineRule="auto"/>
        <w:rPr>
          <w:sz w:val="20"/>
          <w:szCs w:val="20"/>
          <w:color w:val="auto"/>
        </w:rPr>
      </w:pPr>
      <w:r>
        <w:rPr>
          <w:rFonts w:ascii="Times New Roman" w:cs="Times New Roman" w:eastAsia="Times New Roman" w:hAnsi="Times New Roman"/>
          <w:sz w:val="18"/>
          <w:szCs w:val="18"/>
          <w:color w:val="auto"/>
        </w:rPr>
        <w:t>Our net income of $61.0 million for the three months ended March 31, 2023, as compared to a net loss of $24.8 million for the same period in 2022, was primarily due to the changes in our revenues and operating expenses reflected above, as well as a $10.6 million increase in interest expense in the 2023 period, as compared to the 2022 period, as described more fully below.</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Factors and Trends Contributing to Performance</w:t>
      </w:r>
    </w:p>
    <w:p>
      <w:pPr>
        <w:spacing w:after="0" w:line="200"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most important factors and trends contributing to our performance during the three months ended March 31, 2023 compared to the three months ended March 31, 2022 were:</w:t>
      </w:r>
    </w:p>
    <w:p>
      <w:pPr>
        <w:spacing w:after="0" w:line="121" w:lineRule="exact"/>
        <w:rPr>
          <w:sz w:val="20"/>
          <w:szCs w:val="20"/>
          <w:color w:val="auto"/>
        </w:rPr>
      </w:pPr>
    </w:p>
    <w:p>
      <w:pPr>
        <w:ind w:left="720" w:right="21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occupancy of 72.3% and ADR of $237.95 in the 2023 period, an increase of 25.0 points of occupancy and 3.8%, respectively, from the 2022 period.</w:t>
      </w:r>
    </w:p>
    <w:p>
      <w:pPr>
        <w:spacing w:after="0" w:line="121" w:lineRule="exact"/>
        <w:rPr>
          <w:rFonts w:ascii="Times New Roman" w:cs="Times New Roman" w:eastAsia="Times New Roman" w:hAnsi="Times New Roman"/>
          <w:sz w:val="18"/>
          <w:szCs w:val="18"/>
          <w:color w:val="auto"/>
        </w:rPr>
      </w:pPr>
    </w:p>
    <w:p>
      <w:pPr>
        <w:ind w:left="720" w:right="9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65.0% in outside-the-room spend at our hotels in the 2023 period, as compared to the 2022 period, with group catering revenue particularly strong.</w:t>
      </w:r>
    </w:p>
    <w:p>
      <w:pPr>
        <w:spacing w:after="0" w:line="134" w:lineRule="exact"/>
        <w:rPr>
          <w:rFonts w:ascii="Times New Roman" w:cs="Times New Roman" w:eastAsia="Times New Roman" w:hAnsi="Times New Roman"/>
          <w:sz w:val="18"/>
          <w:szCs w:val="18"/>
          <w:color w:val="auto"/>
        </w:rPr>
      </w:pPr>
    </w:p>
    <w:p>
      <w:pPr>
        <w:ind w:left="720" w:right="2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cancelled room nights at our hotels of 66.8% in the 2023 period, as compared to the 2022 period, and a decrease in group attrition at our hotels from 32.1% in the 2022 period to 15.5% in the 2023 period.</w:t>
      </w:r>
    </w:p>
    <w:p>
      <w:pPr>
        <w:spacing w:after="0" w:line="121" w:lineRule="exact"/>
        <w:rPr>
          <w:rFonts w:ascii="Times New Roman" w:cs="Times New Roman" w:eastAsia="Times New Roman" w:hAnsi="Times New Roman"/>
          <w:sz w:val="18"/>
          <w:szCs w:val="18"/>
          <w:color w:val="auto"/>
        </w:rPr>
      </w:pPr>
    </w:p>
    <w:p>
      <w:pPr>
        <w:ind w:left="720" w:right="159" w:hanging="319"/>
        <w:spacing w:after="0" w:line="266"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room nights on the books for all future years at our hotels at March 31, 2023 are in line with those on the books at the same point of 2022 and 2019. In addition, the ADR on those group nights on the books at March 31, 2023 is 4.5% higher than the same point in 2022 and 12.4% higher than the same point in 2019.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82" w:lineRule="auto"/>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Entertainment revenue of 76.9% in the 2023 period, as compared to the 2022 period, attributable to the addition of Block 21, as well as revenue increases throughout our other OEG businesses.</w:t>
      </w:r>
    </w:p>
    <w:p>
      <w:pPr>
        <w:spacing w:after="0" w:line="131" w:lineRule="exact"/>
        <w:rPr>
          <w:sz w:val="20"/>
          <w:szCs w:val="20"/>
          <w:color w:val="auto"/>
        </w:rPr>
      </w:pPr>
    </w:p>
    <w:p>
      <w:pPr>
        <w:ind w:left="60" w:right="4419"/>
        <w:spacing w:after="0" w:line="455" w:lineRule="auto"/>
        <w:rPr>
          <w:sz w:val="20"/>
          <w:szCs w:val="20"/>
          <w:color w:val="auto"/>
        </w:rPr>
      </w:pPr>
      <w:r>
        <w:rPr>
          <w:rFonts w:ascii="Times New Roman" w:cs="Times New Roman" w:eastAsia="Times New Roman" w:hAnsi="Times New Roman"/>
          <w:sz w:val="18"/>
          <w:szCs w:val="18"/>
          <w:b w:val="1"/>
          <w:bCs w:val="1"/>
          <w:i w:val="1"/>
          <w:iCs w:val="1"/>
          <w:color w:val="auto"/>
        </w:rPr>
        <w:t>Operating Results – Detailed Segment Financial Information Hospitality Segment</w:t>
      </w: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Hospitality segment for the three months ended</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2023 and 2022 (in thousands, except percentages and performance metrics):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right"/>
              <w:ind w:right="8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161,251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101,593</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215,804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112,116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92.5</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revenue</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47,384</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47,402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gridSpan w:val="2"/>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revenue</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424,439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261,111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62.6</w:t>
            </w:r>
          </w:p>
        </w:tc>
        <w:tc>
          <w:tcPr>
            <w:tcW w:w="3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Hospitality operating expenses:</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Rooms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42,059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Food and beverage</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115,181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71,329</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Other hotel expenses</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103,059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86,643</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Management fees, net</w:t>
            </w: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200.1</w:t>
            </w:r>
          </w:p>
        </w:tc>
        <w:tc>
          <w:tcPr>
            <w:tcW w:w="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7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42,875</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52,271</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Hospitality operating expenses</w:t>
            </w:r>
          </w:p>
        </w:tc>
        <w:tc>
          <w:tcPr>
            <w:tcW w:w="17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318,369</w:t>
            </w: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245,443</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29.7</w:t>
            </w:r>
          </w:p>
        </w:tc>
        <w:tc>
          <w:tcPr>
            <w:tcW w:w="38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Hospitality operating income</w:t>
            </w:r>
          </w:p>
        </w:tc>
        <w:tc>
          <w:tcPr>
            <w:tcW w:w="17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106,070</w:t>
            </w:r>
          </w:p>
        </w:tc>
        <w:tc>
          <w:tcPr>
            <w:tcW w:w="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15,668</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577.0</w:t>
            </w:r>
          </w:p>
        </w:tc>
        <w:tc>
          <w:tcPr>
            <w:tcW w:w="380" w:type="dxa"/>
            <w:vAlign w:val="bottom"/>
            <w:tcBorders>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Hospitality performance metrics:</w:t>
            </w: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Occupancy</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1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ADR</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237.95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229.17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RevPAR (1)</w:t>
            </w:r>
          </w:p>
        </w:tc>
        <w:tc>
          <w:tcPr>
            <w:tcW w:w="188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172.08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108.41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color w:val="auto"/>
              </w:rPr>
              <w:t>Total RevPAR (2)</w:t>
            </w:r>
          </w:p>
        </w:tc>
        <w:tc>
          <w:tcPr>
            <w:tcW w:w="188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452.94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278.64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3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gridSpan w:val="2"/>
            <w:shd w:val="clear" w:color="auto" w:fill="CCEEFF"/>
          </w:tcPr>
          <w:p>
            <w:pPr>
              <w:ind w:left="100"/>
              <w:spacing w:after="0" w:line="149" w:lineRule="exact"/>
              <w:rPr>
                <w:sz w:val="20"/>
                <w:szCs w:val="20"/>
                <w:color w:val="auto"/>
              </w:rPr>
            </w:pPr>
            <w:r>
              <w:rPr>
                <w:rFonts w:ascii="Times New Roman" w:cs="Times New Roman" w:eastAsia="Times New Roman" w:hAnsi="Times New Roman"/>
                <w:sz w:val="14"/>
                <w:szCs w:val="14"/>
                <w:color w:val="auto"/>
              </w:rPr>
              <w:t>Net Definite Group Room Nights Booked (3)</w:t>
            </w:r>
          </w:p>
        </w:tc>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250,318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165,668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3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19" w:hanging="330"/>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RevPAR by dividing room revenue by room nights available to guests for the period. Hospitality RevPAR is not comparable to similarly titled measures such as revenues.</w:t>
      </w:r>
    </w:p>
    <w:p>
      <w:pPr>
        <w:spacing w:after="0" w:line="121" w:lineRule="exact"/>
        <w:rPr>
          <w:rFonts w:ascii="Times New Roman" w:cs="Times New Roman" w:eastAsia="Times New Roman" w:hAnsi="Times New Roman"/>
          <w:sz w:val="18"/>
          <w:szCs w:val="18"/>
          <w:color w:val="auto"/>
        </w:rPr>
      </w:pPr>
    </w:p>
    <w:p>
      <w:pPr>
        <w:ind w:left="380" w:right="219" w:hanging="330"/>
        <w:spacing w:after="0" w:line="266"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35" w:lineRule="exact"/>
        <w:rPr>
          <w:rFonts w:ascii="Times New Roman" w:cs="Times New Roman" w:eastAsia="Times New Roman" w:hAnsi="Times New Roman"/>
          <w:sz w:val="18"/>
          <w:szCs w:val="18"/>
          <w:color w:val="auto"/>
        </w:rPr>
      </w:pPr>
    </w:p>
    <w:p>
      <w:pPr>
        <w:ind w:left="380" w:right="319" w:hanging="330"/>
        <w:spacing w:after="0" w:line="282"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definite group room nights booked includes approximately 59,000 and 178,000 group room cancellations in the three months ended March 31, 2023 and 2022, respectively.</w:t>
      </w:r>
    </w:p>
    <w:p>
      <w:pPr>
        <w:spacing w:after="0" w:line="13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increase in total Hospitality segment revenue in the three months ended March 31, 2023, as compared to the same period in 2022, is primarily due to increases of $40.2 million, $38.3 million, $29.8 million, $29.3 million and $24.7 million at Gaylord National, Gaylord Opryland, Gaylord Texan, Gaylord Rockies and Gaylord Palms, respectively, as presented in the tables below.</w:t>
      </w:r>
    </w:p>
    <w:p>
      <w:pPr>
        <w:spacing w:after="0" w:line="139"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Total Hospitality segment revenues in the three months ended March 31, 2023 include $9.7 million in attrition and cancellation fee revenue, a decrease of $9.9 million in attrition and cancellation fees from the 2022 period, as collections continue to decline.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percentage of group versus transient business based on rooms sold for our Hospitality segment for the periods presented was approximately as follows:</w:t>
      </w:r>
    </w:p>
    <w:p>
      <w:pPr>
        <w:spacing w:after="0" w:line="142"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Transient</w:t>
            </w:r>
          </w:p>
        </w:tc>
        <w:tc>
          <w:tcPr>
            <w:tcW w:w="8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21 %</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34 %</w:t>
            </w:r>
          </w:p>
        </w:tc>
      </w:tr>
    </w:tbl>
    <w:p>
      <w:pPr>
        <w:spacing w:after="0" w:line="179"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The increase in rooms expenses in the three months ended March 31, 2023, as compared to the same period in 2022, is primarily due to increases of $4.2 million, $2.1 million and $2.0 million at Gaylord National, Gaylord Opryland and Gaylord Rockies, respectively, as presented in the tables below.</w:t>
      </w:r>
    </w:p>
    <w:p>
      <w:pPr>
        <w:spacing w:after="0" w:line="135"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The increase in food and beverage expenses in the three months ended March 31, 2023, as compared to the same period in 2022, is primarily due to increases of $10.0 million, $9.1 million, $9.1 million, $8.4 million and $7.1 million at Gaylord National, Gaylord Texan, Gaylord Opryland, Gaylord Rockies and Gaylord Palms, respectively, as presented in the tables below.</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hotel expenses for the three months ended March 31, 2023 and 2022 consist of the following (in thousands):</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540" w:type="dxa"/>
            <w:vAlign w:val="bottom"/>
          </w:tcPr>
          <w:p>
            <w:pPr>
              <w:jc w:val="right"/>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employment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39,758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40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22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24.0 %</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taxes</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44,852</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36,413</w:t>
            </w:r>
          </w:p>
        </w:tc>
        <w:tc>
          <w:tcPr>
            <w:tcW w:w="2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hotel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103,059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86,643</w:t>
            </w:r>
          </w:p>
        </w:tc>
        <w:tc>
          <w:tcPr>
            <w:tcW w:w="2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March 31, 2023, as compared to the same period in 2022, primarily due to increases at Gaylord Opryland and Gaylord National associated with increased business levels. Utility costs increased during the three months ended March 31, 2023, as compared to the same period in 2022, primarily due to increases at Gaylord Opryland, Gaylord Rockies and Gaylord National associated with increased usage. Property taxes decreased during the three months ended March 31, 2023, as compared to the 2022 period, primarily due to a decrease at Gaylord National due to a settlement of an appeal from prior tax years, partially offset by an increase at Gaylord Palms as a result of increased property taxes related to the 2021 expansion. Other expenses, which include supplies, advertising, maintenance costs and consulting costs, increased during the three months ended March 31, 2023, as compared to the same period in 2022, primarily as a result of various increases at each of our Gaylord Hotels properties.</w:t>
      </w:r>
    </w:p>
    <w:p>
      <w:pPr>
        <w:spacing w:after="0" w:line="151"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Each of our management agreements with Marriott for our Gaylord Hotels properties, excluding Gaylord Rockies, requires us to pay Marriott a base management fee of approximately 2% of gross revenues from the applicable property for each fiscal year or portion thereof. Additionally, an incentive management fee is based on the profitability of our Gaylord Hotels properties, excluding Gaylord Rockies,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March 31, 2023 and 2022, we incurred $9.2 million and $5.6 million, respectively, related to base management fees for our Hospitality segment and $6.7 million and $0.2 million, respectively, related to incentive management fees for our Hospitality segment. Management fees are presented throughout this Quarterly Report on Form 10-Q net of the amortization of the deferred management rights proceeds discussed in Note 9, “Deferred Management Rights Proceeds,” to the accompanying condensed consolidated financial statements included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Total Hospitality segment depreciation and amortization expense decreased in the three months ended March 31, 2023, as compared to the same period in 2022, primarily as a result of the intangible asset associated with advanced bookings at Gaylord Rockies when we purchased an additional interest in Gaylord Rockies in 2018 becoming fully amortized during 2022.</w:t>
      </w:r>
    </w:p>
    <w:p>
      <w:pPr>
        <w:spacing w:after="0" w:line="151" w:lineRule="exact"/>
        <w:rPr>
          <w:sz w:val="20"/>
          <w:szCs w:val="20"/>
          <w:color w:val="auto"/>
        </w:rPr>
      </w:pPr>
    </w:p>
    <w:p>
      <w:pPr>
        <w:ind w:left="60" w:right="5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Property-Level Results. </w:t>
      </w:r>
      <w:r>
        <w:rPr>
          <w:rFonts w:ascii="Times New Roman" w:cs="Times New Roman" w:eastAsia="Times New Roman" w:hAnsi="Times New Roman"/>
          <w:sz w:val="18"/>
          <w:szCs w:val="18"/>
          <w:color w:val="auto"/>
        </w:rPr>
        <w:t>The following presents the property-level financial results of our Hospitality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and 2022.</w:t>
      </w:r>
    </w:p>
    <w:p>
      <w:pPr>
        <w:spacing w:after="0" w:line="158" w:lineRule="exact"/>
        <w:rPr>
          <w:sz w:val="20"/>
          <w:szCs w:val="20"/>
          <w:color w:val="auto"/>
        </w:rPr>
      </w:pPr>
    </w:p>
    <w:p>
      <w:pPr>
        <w:ind w:left="60" w:right="2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Opryland Results. </w:t>
      </w:r>
      <w:r>
        <w:rPr>
          <w:rFonts w:ascii="Times New Roman" w:cs="Times New Roman" w:eastAsia="Times New Roman" w:hAnsi="Times New Roman"/>
          <w:sz w:val="18"/>
          <w:szCs w:val="18"/>
          <w:color w:val="auto"/>
        </w:rPr>
        <w:t>The results of Gaylord Opryland for the three months ended March 31,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560" w:type="dxa"/>
            <w:vAlign w:val="bottom"/>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45,331</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30,406</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27,039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85.3 %</w:t>
            </w:r>
          </w:p>
        </w:tc>
        <w:tc>
          <w:tcPr>
            <w:tcW w:w="0" w:type="dxa"/>
            <w:vAlign w:val="bottom"/>
          </w:tcPr>
          <w:p>
            <w:pPr>
              <w:spacing w:after="0"/>
              <w:rPr>
                <w:sz w:val="1"/>
                <w:szCs w:val="1"/>
                <w:color w:val="auto"/>
              </w:rPr>
            </w:pPr>
          </w:p>
        </w:tc>
      </w:tr>
      <w:tr>
        <w:trPr>
          <w:trHeight w:val="203"/>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16,378</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16,074</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9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111,806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73,519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52.1 %</w:t>
            </w:r>
          </w:p>
        </w:tc>
        <w:tc>
          <w:tcPr>
            <w:tcW w:w="0" w:type="dxa"/>
            <w:vAlign w:val="bottom"/>
          </w:tcPr>
          <w:p>
            <w:pPr>
              <w:spacing w:after="0"/>
              <w:rPr>
                <w:sz w:val="1"/>
                <w:szCs w:val="1"/>
                <w:color w:val="auto"/>
              </w:rPr>
            </w:pPr>
          </w:p>
        </w:tc>
      </w:tr>
      <w:tr>
        <w:trPr>
          <w:trHeight w:val="20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25.7 %</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16,913</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53.7 %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29,890</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22,850</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30.8 %</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1,370</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288.2 %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8,589</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196"/>
        </w:trPr>
        <w:tc>
          <w:tcPr>
            <w:tcW w:w="58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80,111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57,964</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38.2 %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72.6 %</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48.8 %</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23.8 pts</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03"/>
        </w:trPr>
        <w:tc>
          <w:tcPr>
            <w:tcW w:w="5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174.40</w:t>
            </w:r>
          </w:p>
        </w:tc>
        <w:tc>
          <w:tcPr>
            <w:tcW w:w="140" w:type="dxa"/>
            <w:vAlign w:val="bottom"/>
          </w:tcPr>
          <w:p>
            <w:pPr>
              <w:spacing w:after="0"/>
              <w:rPr>
                <w:sz w:val="17"/>
                <w:szCs w:val="17"/>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116.98</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430.16</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52.1 %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right="1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Palms Results. </w:t>
      </w:r>
      <w:r>
        <w:rPr>
          <w:rFonts w:ascii="Times New Roman" w:cs="Times New Roman" w:eastAsia="Times New Roman" w:hAnsi="Times New Roman"/>
          <w:sz w:val="18"/>
          <w:szCs w:val="18"/>
          <w:color w:val="auto"/>
        </w:rPr>
        <w:t>The results of Gaylord Palms for the three months ended March 31, 2023 and 2022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6"/>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54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31,664</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22,012</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43.8 %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59.8 %</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9,100</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10,440</w:t>
            </w:r>
          </w:p>
        </w:tc>
        <w:tc>
          <w:tcPr>
            <w:tcW w:w="2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196"/>
        </w:trPr>
        <w:tc>
          <w:tcPr>
            <w:tcW w:w="3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59,848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r>
        <w:trPr>
          <w:trHeight w:val="203"/>
        </w:trPr>
        <w:tc>
          <w:tcPr>
            <w:tcW w:w="3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14,039</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50.9 %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184.0 %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196"/>
        </w:trPr>
        <w:tc>
          <w:tcPr>
            <w:tcW w:w="39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43,990</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29.4 %</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79.5 %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55.6 %</w:t>
            </w: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23.9 pts</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257.66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256.19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0.6 %</w:t>
            </w:r>
          </w:p>
        </w:tc>
        <w:tc>
          <w:tcPr>
            <w:tcW w:w="0" w:type="dxa"/>
            <w:vAlign w:val="bottom"/>
          </w:tcPr>
          <w:p>
            <w:pPr>
              <w:spacing w:after="0"/>
              <w:rPr>
                <w:sz w:val="1"/>
                <w:szCs w:val="1"/>
                <w:color w:val="auto"/>
              </w:rPr>
            </w:pPr>
          </w:p>
        </w:tc>
      </w:tr>
      <w:tr>
        <w:trPr>
          <w:trHeight w:val="203"/>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120" w:type="dxa"/>
            <w:vAlign w:val="bottom"/>
          </w:tcPr>
          <w:p>
            <w:pPr>
              <w:spacing w:after="0"/>
              <w:rPr>
                <w:sz w:val="17"/>
                <w:szCs w:val="17"/>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142.36</w:t>
            </w:r>
          </w:p>
        </w:tc>
        <w:tc>
          <w:tcPr>
            <w:tcW w:w="220" w:type="dxa"/>
            <w:vAlign w:val="bottom"/>
          </w:tcPr>
          <w:p>
            <w:pPr>
              <w:spacing w:after="0"/>
              <w:rPr>
                <w:sz w:val="17"/>
                <w:szCs w:val="17"/>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43.8 %</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546.80</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387.07</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Texan Results. </w:t>
      </w:r>
      <w:r>
        <w:rPr>
          <w:rFonts w:ascii="Times New Roman" w:cs="Times New Roman" w:eastAsia="Times New Roman" w:hAnsi="Times New Roman"/>
          <w:sz w:val="18"/>
          <w:szCs w:val="18"/>
          <w:color w:val="auto"/>
        </w:rPr>
        <w:t>The results of Gaylord Texan for the three months ended March 31, 2023 and 2022 are as follows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thousands, except percentages and performance metrics):</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0"/>
                <w:szCs w:val="10"/>
                <w:color w:val="auto"/>
              </w:rPr>
            </w:pPr>
          </w:p>
        </w:tc>
        <w:tc>
          <w:tcPr>
            <w:tcW w:w="56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9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29,044</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20,908</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26,150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88.7 %</w:t>
            </w:r>
          </w:p>
        </w:tc>
        <w:tc>
          <w:tcPr>
            <w:tcW w:w="0" w:type="dxa"/>
            <w:vAlign w:val="bottom"/>
          </w:tcPr>
          <w:p>
            <w:pPr>
              <w:spacing w:after="0"/>
              <w:rPr>
                <w:sz w:val="1"/>
                <w:szCs w:val="1"/>
                <w:color w:val="auto"/>
              </w:rPr>
            </w:pPr>
          </w:p>
        </w:tc>
      </w:tr>
      <w:tr>
        <w:trPr>
          <w:trHeight w:val="203"/>
        </w:trPr>
        <w:tc>
          <w:tcPr>
            <w:tcW w:w="3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9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9,578</w:t>
            </w:r>
          </w:p>
        </w:tc>
        <w:tc>
          <w:tcPr>
            <w:tcW w:w="20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56,636</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52.5 %</w:t>
            </w:r>
          </w:p>
        </w:tc>
        <w:tc>
          <w:tcPr>
            <w:tcW w:w="0" w:type="dxa"/>
            <w:vAlign w:val="bottom"/>
          </w:tcPr>
          <w:p>
            <w:pPr>
              <w:spacing w:after="0"/>
              <w:rPr>
                <w:sz w:val="1"/>
                <w:szCs w:val="1"/>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4,960</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29.1 %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59.1 %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15,627</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16.7 %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233.5 %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9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96"/>
        </w:trPr>
        <w:tc>
          <w:tcPr>
            <w:tcW w:w="3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58,310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43,720</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33.4 %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77.1 %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57.8 %</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19.3 pts</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230.83</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221.38</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3"/>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177.90</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128.06</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38.9 %</w:t>
            </w:r>
          </w:p>
        </w:tc>
        <w:tc>
          <w:tcPr>
            <w:tcW w:w="0" w:type="dxa"/>
            <w:vAlign w:val="bottom"/>
          </w:tcPr>
          <w:p>
            <w:pPr>
              <w:spacing w:after="0"/>
              <w:rPr>
                <w:sz w:val="1"/>
                <w:szCs w:val="1"/>
                <w:color w:val="auto"/>
              </w:rPr>
            </w:pPr>
          </w:p>
        </w:tc>
      </w:tr>
      <w:tr>
        <w:trPr>
          <w:trHeight w:val="203"/>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529.21</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346.91</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52.5 %</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right="4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Gaylord National Results. </w:t>
      </w:r>
      <w:r>
        <w:rPr>
          <w:rFonts w:ascii="Times New Roman" w:cs="Times New Roman" w:eastAsia="Times New Roman" w:hAnsi="Times New Roman"/>
          <w:sz w:val="18"/>
          <w:szCs w:val="18"/>
          <w:color w:val="auto"/>
        </w:rPr>
        <w:t>The results of Gaylord National for the three months ended March 31,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1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0"/>
                <w:szCs w:val="10"/>
                <w:color w:val="auto"/>
              </w:rPr>
            </w:pPr>
          </w:p>
        </w:tc>
        <w:tc>
          <w:tcPr>
            <w:tcW w:w="660" w:type="dxa"/>
            <w:vAlign w:val="bottom"/>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28,999</w:t>
            </w:r>
          </w:p>
        </w:tc>
        <w:tc>
          <w:tcPr>
            <w:tcW w:w="18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13,964</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107.7 %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36,618</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151.6 %</w:t>
            </w:r>
          </w:p>
        </w:tc>
        <w:tc>
          <w:tcPr>
            <w:tcW w:w="0" w:type="dxa"/>
            <w:vAlign w:val="bottom"/>
          </w:tcPr>
          <w:p>
            <w:pPr>
              <w:spacing w:after="0"/>
              <w:rPr>
                <w:sz w:val="1"/>
                <w:szCs w:val="1"/>
                <w:color w:val="auto"/>
              </w:rPr>
            </w:pPr>
          </w:p>
        </w:tc>
      </w:tr>
      <w:tr>
        <w:trPr>
          <w:trHeight w:val="203"/>
        </w:trPr>
        <w:tc>
          <w:tcPr>
            <w:tcW w:w="3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hotel revenue</w:t>
            </w:r>
          </w:p>
        </w:tc>
        <w:tc>
          <w:tcPr>
            <w:tcW w:w="1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7,155</w:t>
            </w:r>
          </w:p>
        </w:tc>
        <w:tc>
          <w:tcPr>
            <w:tcW w:w="1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2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75.8 %</w:t>
            </w:r>
          </w:p>
        </w:tc>
        <w:tc>
          <w:tcPr>
            <w:tcW w:w="0" w:type="dxa"/>
            <w:vAlign w:val="bottom"/>
          </w:tcPr>
          <w:p>
            <w:pPr>
              <w:spacing w:after="0"/>
              <w:rPr>
                <w:sz w:val="1"/>
                <w:szCs w:val="1"/>
                <w:color w:val="auto"/>
              </w:rPr>
            </w:pPr>
          </w:p>
        </w:tc>
      </w:tr>
      <w:tr>
        <w:trPr>
          <w:trHeight w:val="196"/>
        </w:trPr>
        <w:tc>
          <w:tcPr>
            <w:tcW w:w="3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72,772</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32,587</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123.3 %</w:t>
            </w:r>
          </w:p>
        </w:tc>
        <w:tc>
          <w:tcPr>
            <w:tcW w:w="0" w:type="dxa"/>
            <w:vAlign w:val="bottom"/>
          </w:tcPr>
          <w:p>
            <w:pPr>
              <w:spacing w:after="0"/>
              <w:rPr>
                <w:sz w:val="1"/>
                <w:szCs w:val="1"/>
                <w:color w:val="auto"/>
              </w:rPr>
            </w:pPr>
          </w:p>
        </w:tc>
      </w:tr>
      <w:tr>
        <w:trPr>
          <w:trHeight w:val="202"/>
        </w:trPr>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Rooms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57.3 %</w:t>
            </w: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Food and beverage</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22,503</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12,460</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80.6 %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hotel expenses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21,107</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15,463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36.5 %</w:t>
            </w: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Management fees, net</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178.7 %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8,139</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196"/>
        </w:trPr>
        <w:tc>
          <w:tcPr>
            <w:tcW w:w="39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64,717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43,862</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47.5 %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Performance metrics:</w:t>
            </w:r>
          </w:p>
        </w:tc>
        <w:tc>
          <w:tcPr>
            <w:tcW w:w="1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Occupancy</w:t>
            </w:r>
          </w:p>
        </w:tc>
        <w:tc>
          <w:tcPr>
            <w:tcW w:w="1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67.3 %</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35.4 %</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31.9 pts</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ADR</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219.63</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2"/>
        </w:trPr>
        <w:tc>
          <w:tcPr>
            <w:tcW w:w="39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RevPAR</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161.43</w:t>
            </w:r>
          </w:p>
        </w:tc>
        <w:tc>
          <w:tcPr>
            <w:tcW w:w="180" w:type="dxa"/>
            <w:vAlign w:val="bottom"/>
          </w:tcPr>
          <w:p>
            <w:pPr>
              <w:spacing w:after="0"/>
              <w:rPr>
                <w:sz w:val="17"/>
                <w:szCs w:val="17"/>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220" w:type="dxa"/>
            <w:vAlign w:val="bottom"/>
          </w:tcPr>
          <w:p>
            <w:pPr>
              <w:spacing w:after="0"/>
              <w:rPr>
                <w:sz w:val="17"/>
                <w:szCs w:val="17"/>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107.7 %</w:t>
            </w:r>
          </w:p>
        </w:tc>
        <w:tc>
          <w:tcPr>
            <w:tcW w:w="0" w:type="dxa"/>
            <w:vAlign w:val="bottom"/>
          </w:tcPr>
          <w:p>
            <w:pPr>
              <w:spacing w:after="0"/>
              <w:rPr>
                <w:sz w:val="1"/>
                <w:szCs w:val="1"/>
                <w:color w:val="auto"/>
              </w:rPr>
            </w:pPr>
          </w:p>
        </w:tc>
      </w:tr>
      <w:tr>
        <w:trPr>
          <w:trHeight w:val="203"/>
        </w:trPr>
        <w:tc>
          <w:tcPr>
            <w:tcW w:w="3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RevPAR</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405.10</w:t>
            </w:r>
          </w:p>
        </w:tc>
        <w:tc>
          <w:tcPr>
            <w:tcW w:w="1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181.40</w:t>
            </w:r>
          </w:p>
        </w:tc>
        <w:tc>
          <w:tcPr>
            <w:tcW w:w="2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123.3 %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539"/>
        <w:spacing w:after="0" w:line="284" w:lineRule="auto"/>
        <w:rPr>
          <w:sz w:val="20"/>
          <w:szCs w:val="20"/>
          <w:color w:val="auto"/>
        </w:rPr>
      </w:pPr>
      <w:r>
        <w:rPr>
          <w:rFonts w:ascii="Times New Roman" w:cs="Times New Roman" w:eastAsia="Times New Roman" w:hAnsi="Times New Roman"/>
          <w:sz w:val="18"/>
          <w:szCs w:val="18"/>
          <w:i w:val="1"/>
          <w:iCs w:val="1"/>
          <w:color w:val="auto"/>
        </w:rPr>
        <w:t>Gaylord Rockies Results</w:t>
      </w:r>
      <w:r>
        <w:rPr>
          <w:rFonts w:ascii="Times New Roman" w:cs="Times New Roman" w:eastAsia="Times New Roman" w:hAnsi="Times New Roman"/>
          <w:sz w:val="18"/>
          <w:szCs w:val="18"/>
          <w:color w:val="auto"/>
        </w:rPr>
        <w:t>. The results of Gaylord Rockies for the three months ended March 31, 2023 and 2022 are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follows (in thousands, except percentages and performance metrics):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8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3"/>
        </w:trPr>
        <w:tc>
          <w:tcPr>
            <w:tcW w:w="58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8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15"/>
                <w:szCs w:val="15"/>
                <w:color w:val="auto"/>
              </w:rPr>
            </w:pPr>
          </w:p>
        </w:tc>
      </w:tr>
      <w:tr>
        <w:trPr>
          <w:trHeight w:val="174"/>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22,015</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11,294</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94.9 %</w:t>
            </w: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16,321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116.9 %</w:t>
            </w:r>
          </w:p>
        </w:tc>
      </w:tr>
      <w:tr>
        <w:trPr>
          <w:trHeight w:val="203"/>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hotel revenue</w:t>
            </w: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6,638</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7,172</w:t>
            </w:r>
          </w:p>
        </w:tc>
        <w:tc>
          <w:tcPr>
            <w:tcW w:w="22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(7.4)%</w:t>
            </w:r>
          </w:p>
        </w:tc>
      </w:tr>
      <w:tr>
        <w:trPr>
          <w:trHeight w:val="196"/>
        </w:trPr>
        <w:tc>
          <w:tcPr>
            <w:tcW w:w="5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34,787</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84.1 %</w:t>
            </w:r>
          </w:p>
        </w:tc>
      </w:tr>
      <w:tr>
        <w:trPr>
          <w:trHeight w:val="20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51.8 %</w:t>
            </w: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11,895</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70.5 %</w:t>
            </w: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hotel expenses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12,055</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(9.9)%</w:t>
            </w: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Management fees, net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95.6 %</w:t>
            </w: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22,648</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(38.0)%</w:t>
            </w:r>
          </w:p>
        </w:tc>
      </w:tr>
      <w:tr>
        <w:trPr>
          <w:trHeight w:val="196"/>
        </w:trPr>
        <w:tc>
          <w:tcPr>
            <w:tcW w:w="58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51,571</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3.1 %</w:t>
            </w:r>
          </w:p>
        </w:tc>
      </w:tr>
      <w:tr>
        <w:trPr>
          <w:trHeight w:val="20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metrics: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69.9 %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39.2 %</w:t>
            </w:r>
          </w:p>
        </w:tc>
        <w:tc>
          <w:tcPr>
            <w:tcW w:w="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30.7 pts</w:t>
            </w: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213.46</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9.2 %</w:t>
            </w:r>
          </w:p>
        </w:tc>
      </w:tr>
      <w:tr>
        <w:trPr>
          <w:trHeight w:val="203"/>
        </w:trPr>
        <w:tc>
          <w:tcPr>
            <w:tcW w:w="5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RevPAR</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162.97</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2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94.9 %</w:t>
            </w:r>
          </w:p>
        </w:tc>
      </w:tr>
      <w:tr>
        <w:trPr>
          <w:trHeight w:val="203"/>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RevPAR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474.10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257.51</w:t>
            </w: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84.1 %</w:t>
            </w: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Entertainment Segment</w:t>
      </w:r>
    </w:p>
    <w:p>
      <w:pPr>
        <w:spacing w:after="0" w:line="187" w:lineRule="exact"/>
        <w:rPr>
          <w:sz w:val="20"/>
          <w:szCs w:val="20"/>
          <w:color w:val="auto"/>
        </w:rPr>
      </w:pPr>
    </w:p>
    <w:p>
      <w:pPr>
        <w:ind w:left="60" w:right="49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Entertainment segment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2023 and 2022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6"/>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580" w:type="dxa"/>
            <w:vAlign w:val="bottom"/>
          </w:tcPr>
          <w:p>
            <w:pPr>
              <w:jc w:val="right"/>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67,280</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38,024</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31,731</w:t>
            </w: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(1)</w:t>
            </w:r>
          </w:p>
        </w:tc>
        <w:tc>
          <w:tcPr>
            <w:tcW w:w="37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10,581</w:t>
            </w:r>
          </w:p>
        </w:tc>
        <w:tc>
          <w:tcPr>
            <w:tcW w:w="20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80" w:type="dxa"/>
            <w:vAlign w:val="bottom"/>
          </w:tcPr>
          <w:p>
            <w:pPr>
              <w:spacing w:after="0"/>
              <w:rPr>
                <w:sz w:val="18"/>
                <w:szCs w:val="18"/>
                <w:color w:val="auto"/>
              </w:rPr>
            </w:pPr>
          </w:p>
        </w:tc>
        <w:tc>
          <w:tcPr>
            <w:tcW w:w="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286.0 %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399" w:hanging="330"/>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segment operating income does not include preopening costs of $0.2 million and $0.3 million in the three months ended March 31, 2023 and 2022, respectively. See discussion of this item below.</w:t>
      </w:r>
    </w:p>
    <w:p>
      <w:pPr>
        <w:spacing w:after="0" w:line="135"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Revenues, operating expenses and depreciation and amortization increased in our Entertainment segment in the three months ended March 31, 2023, as compared to the prior year period, primarily due to Block 21, which we acquired in May 2022. Entertainment segment revenues also increased in the 2023 period, as compared to the 2022 period, due to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increased revenue at the Grand Ole Opry primarily due to increased attendance. Entertainment segment operating expenses also increased in the 2023 period, as compared to the 2022 period, primarily from the operation of Block 21, as well as increased variable expenses associated with higher business levels.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Segment</w:t>
      </w:r>
    </w:p>
    <w:p>
      <w:pPr>
        <w:spacing w:after="0" w:line="187" w:lineRule="exact"/>
        <w:rPr>
          <w:sz w:val="20"/>
          <w:szCs w:val="20"/>
          <w:color w:val="auto"/>
        </w:rPr>
      </w:pPr>
    </w:p>
    <w:p>
      <w:pPr>
        <w:ind w:left="60" w:right="101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Results. </w:t>
      </w:r>
      <w:r>
        <w:rPr>
          <w:rFonts w:ascii="Times New Roman" w:cs="Times New Roman" w:eastAsia="Times New Roman" w:hAnsi="Times New Roman"/>
          <w:sz w:val="18"/>
          <w:szCs w:val="18"/>
          <w:color w:val="auto"/>
        </w:rPr>
        <w:t>The following presents the financial results of our Corporate and Other segment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2023 and 2022 (in thousands, except percentages):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0"/>
                <w:szCs w:val="10"/>
                <w:color w:val="auto"/>
              </w:rPr>
            </w:pPr>
          </w:p>
        </w:tc>
        <w:tc>
          <w:tcPr>
            <w:tcW w:w="560" w:type="dxa"/>
            <w:vAlign w:val="bottom"/>
          </w:tcPr>
          <w:p>
            <w:pPr>
              <w:jc w:val="right"/>
              <w:ind w:right="138"/>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7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(1)</w:t>
            </w:r>
          </w:p>
        </w:tc>
        <w:tc>
          <w:tcPr>
            <w:tcW w:w="37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(10,811)</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(9,762)</w:t>
            </w: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99" w:hanging="330"/>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segment operating expenses do not include a loss on sale of assets of $0.5 million in the three months ended March 31, 2022.</w:t>
      </w:r>
    </w:p>
    <w:p>
      <w:pPr>
        <w:spacing w:after="0" w:line="135"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Corporate and Other operating expenses consist primarily of costs associated with senior management salaries and benefits, legal, human resources, accounting, pension, information technology, consulting and other administrative costs. Corporate and Other segment operating expenses increased in the three months ended March 31, 2023, as compared to the prior year period, primarily as a result of an increase in employment expenses associated with the hiring of additional employees and increased wages to support the Company’s growth.</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 Preopening Costs</w:t>
      </w:r>
    </w:p>
    <w:p>
      <w:pPr>
        <w:spacing w:after="0" w:line="189"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Preopening costs during the three months ended March 31, 2023 primarily include costs associated with Ole Red Las Vegas, which is expected to be completed in the fourth quarter of 2023. Preopening costs during the three months ended March 31, 2022 primarily include costs associated with Ole Red Nashville International Airport, which was completed in May 2022.</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–Loss on Sale of Assets</w:t>
      </w:r>
    </w:p>
    <w:p>
      <w:pPr>
        <w:spacing w:after="0" w:line="18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Loss on sale of assets during the three months ended March 31, 2022 includes the sale of a parcel of land in Nashville, Tennessee.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Results Affecting Net Income (Loss)</w:t>
      </w:r>
    </w:p>
    <w:p>
      <w:pPr>
        <w:spacing w:after="0" w:line="202"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other factors which affected our net income (loss) for the three months ended March 31, 2023 and 2022 (in thousands, except percentages):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100" w:type="dxa"/>
            <w:vAlign w:val="bottom"/>
            <w:gridSpan w:val="4"/>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60" w:type="dxa"/>
            <w:vAlign w:val="bottom"/>
          </w:tcPr>
          <w:p>
            <w:pPr>
              <w:spacing w:after="0"/>
              <w:rPr>
                <w:sz w:val="10"/>
                <w:szCs w:val="10"/>
                <w:color w:val="auto"/>
              </w:rPr>
            </w:pPr>
          </w:p>
        </w:tc>
        <w:tc>
          <w:tcPr>
            <w:tcW w:w="22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6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0"/>
                <w:szCs w:val="10"/>
                <w:color w:val="auto"/>
              </w:rPr>
            </w:pPr>
          </w:p>
        </w:tc>
        <w:tc>
          <w:tcPr>
            <w:tcW w:w="780" w:type="dxa"/>
            <w:vAlign w:val="bottom"/>
          </w:tcPr>
          <w:p>
            <w:pPr>
              <w:jc w:val="right"/>
              <w:ind w:right="236"/>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42,528</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31,937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84.4 %</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unconsolidated joint ventures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gains and (losses), net</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0" w:type="dxa"/>
            <w:vAlign w:val="bottom"/>
          </w:tcPr>
          <w:p>
            <w:pPr>
              <w:spacing w:after="0"/>
              <w:rPr>
                <w:sz w:val="18"/>
                <w:szCs w:val="18"/>
                <w:color w:val="auto"/>
              </w:rPr>
            </w:pPr>
          </w:p>
        </w:tc>
        <w:tc>
          <w:tcPr>
            <w:tcW w:w="11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(2,612.3)%</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Interest expense increased $10.6 million during the three months ended March 31, 2023, as compared to the same period in 2022, due primarily to the new OEG Term Loan and the Block 21 CMBS loan.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Cash interest expense increased $9.9 million to $39.7 million in the three months ended March 31, 2023, as compared to the same period in 2022. Non-cash interest expense, which includes amortization and write-off of deferred financing costs and is offset by capitalized interest, increased $0.7 million to $2.9 million in the three months ended March 31, 2023, as compared to the same period in 2022.</w:t>
      </w:r>
    </w:p>
    <w:p>
      <w:pPr>
        <w:spacing w:after="0" w:line="153"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Our weighted average interest rate on our borrowings, excluding capitalized interest, but including the impact of interest rate swaps, was 5.9% and 4.3% for the three months ended March 31, 2023 and 2022, respectively.</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8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Interest income for the three months ended March 31, 2023 and 2022 primarily includes amounts earned on the bonds that were received in connection with the development of Gaylord National, which we hold as notes receivable. See Note 7, “Notes Receivable,” to the accompanying condensed consolidated financial statements included herein for additional discussion of interest income on these bonds.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Loss from Unconsolidated Joint Ventures</w:t>
      </w:r>
    </w:p>
    <w:p>
      <w:pPr>
        <w:spacing w:after="0" w:line="187"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 loss from unconsolidated joint ventures for the three months ended March 31, 2023 and 2022 represents our equity method share of losses associated with Circle.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Gains and (Losses), net</w:t>
      </w:r>
    </w:p>
    <w:p>
      <w:pPr>
        <w:spacing w:after="0" w:line="200" w:lineRule="exact"/>
        <w:rPr>
          <w:sz w:val="20"/>
          <w:szCs w:val="20"/>
          <w:color w:val="auto"/>
        </w:rPr>
      </w:pPr>
    </w:p>
    <w:p>
      <w:pPr>
        <w:ind w:left="60" w:right="159"/>
        <w:spacing w:after="0" w:line="453" w:lineRule="auto"/>
        <w:rPr>
          <w:sz w:val="20"/>
          <w:szCs w:val="20"/>
          <w:color w:val="auto"/>
        </w:rPr>
      </w:pPr>
      <w:r>
        <w:rPr>
          <w:rFonts w:ascii="Times New Roman" w:cs="Times New Roman" w:eastAsia="Times New Roman" w:hAnsi="Times New Roman"/>
          <w:sz w:val="18"/>
          <w:szCs w:val="18"/>
          <w:color w:val="auto"/>
        </w:rPr>
        <w:t xml:space="preserve">Other gains and (losses), net for the three months ended March 31, 2023 and 2022 represents various miscellaneous items. </w:t>
      </w:r>
      <w:r>
        <w:rPr>
          <w:rFonts w:ascii="Times New Roman" w:cs="Times New Roman" w:eastAsia="Times New Roman" w:hAnsi="Times New Roman"/>
          <w:sz w:val="18"/>
          <w:szCs w:val="18"/>
          <w:i w:val="1"/>
          <w:iCs w:val="1"/>
          <w:color w:val="auto"/>
        </w:rPr>
        <w:t>(Provision) benefit for Income Taxes</w:t>
      </w:r>
    </w:p>
    <w:p>
      <w:pPr>
        <w:spacing w:after="0" w:line="2"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As a REIT, we generally are not subject to federal corporate income taxes on ordinary taxable income and capital gains income from real estate investments that we distribute to our stockholders. We are required to pay federal and state corporate income taxes on earnings of our TRSs.</w:t>
      </w:r>
    </w:p>
    <w:p>
      <w:pPr>
        <w:spacing w:after="0" w:line="149"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2023 and 2022, we recorded an income tax (provision) benefit of $(1.6) million and $0.1 million, respectively, related to our TRSs.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89"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We present the following non-GAAP financial measures, which we believe are useful to investors as key measures of our operating performance:</w:t>
      </w:r>
    </w:p>
    <w:p>
      <w:pPr>
        <w:spacing w:after="0" w:line="160" w:lineRule="exact"/>
        <w:rPr>
          <w:sz w:val="20"/>
          <w:szCs w:val="20"/>
          <w:color w:val="auto"/>
        </w:rPr>
      </w:pPr>
    </w:p>
    <w:p>
      <w:pPr>
        <w:ind w:left="60" w:right="159"/>
        <w:spacing w:after="0" w:line="284" w:lineRule="auto"/>
        <w:rPr>
          <w:sz w:val="20"/>
          <w:szCs w:val="20"/>
          <w:color w:val="auto"/>
        </w:rPr>
      </w:pPr>
      <w:r>
        <w:rPr>
          <w:rFonts w:ascii="Times New Roman" w:cs="Times New Roman" w:eastAsia="Times New Roman" w:hAnsi="Times New Roman"/>
          <w:sz w:val="18"/>
          <w:szCs w:val="18"/>
          <w:i w:val="1"/>
          <w:iCs w:val="1"/>
          <w:color w:val="auto"/>
        </w:rPr>
        <w:t>EBITDAre, Adjusted EBITDAre and Adjusted EBITDAre, Excluding Noncontrolling Interest in Consolidated Joint Venture Definition</w:t>
      </w:r>
    </w:p>
    <w:p>
      <w:pPr>
        <w:spacing w:after="0" w:line="158"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of unconsolidated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439"/>
        <w:spacing w:after="0" w:line="284" w:lineRule="auto"/>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is then calculated as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plus to the extent the following adjustments occurred during the periods presented:</w:t>
      </w:r>
    </w:p>
    <w:p>
      <w:pPr>
        <w:spacing w:after="0" w:line="160"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bonds;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from unconsolidated joint ventures;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pacing w:after="0" w:line="205" w:lineRule="exact"/>
        <w:rPr>
          <w:sz w:val="20"/>
          <w:szCs w:val="20"/>
          <w:color w:val="auto"/>
        </w:rPr>
      </w:pPr>
    </w:p>
    <w:p>
      <w:pPr>
        <w:ind w:left="60" w:right="119"/>
        <w:spacing w:after="0" w:line="284" w:lineRule="auto"/>
        <w:rPr>
          <w:sz w:val="20"/>
          <w:szCs w:val="20"/>
          <w:color w:val="auto"/>
        </w:rPr>
      </w:pPr>
      <w:r>
        <w:rPr>
          <w:rFonts w:ascii="Times New Roman" w:cs="Times New Roman" w:eastAsia="Times New Roman" w:hAnsi="Times New Roman"/>
          <w:sz w:val="18"/>
          <w:szCs w:val="18"/>
          <w:color w:val="auto"/>
        </w:rPr>
        <w:t>We then exclude the pro rata share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related to noncontrolling interests in consolidated joint ventures to calculate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w:t>
      </w:r>
    </w:p>
    <w:p>
      <w:pPr>
        <w:spacing w:after="0" w:line="158"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use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to evaluate our operating performance. We believe that the presentation of these non-GAAP financial measures provides useful information to investors regarding our operating performance and debt leverage metrics, and that the presentation of these non-GAAP financial measures, when combined with the primary GAAP presentation of net income, is beneficial to an investor’s complete understanding of our operating performance. We make additional adjustments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when evaluating our performance because we believe that presenting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in Consolidated Joint Venture provides useful information to investors regarding our operating performance and debt leverage metrics.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FFO, Adjusted FFO, and Adjusted FFO available to common stockholders and unit holders Definition</w:t>
      </w:r>
    </w:p>
    <w:p>
      <w:pPr>
        <w:spacing w:after="0" w:line="225" w:lineRule="exact"/>
        <w:rPr>
          <w:sz w:val="20"/>
          <w:szCs w:val="20"/>
          <w:color w:val="auto"/>
        </w:rPr>
      </w:pPr>
    </w:p>
    <w:p>
      <w:pPr>
        <w:ind w:left="60" w:right="79"/>
        <w:spacing w:after="0" w:line="257" w:lineRule="auto"/>
        <w:rPr>
          <w:sz w:val="20"/>
          <w:szCs w:val="20"/>
          <w:color w:val="auto"/>
        </w:rPr>
      </w:pPr>
      <w:r>
        <w:rPr>
          <w:rFonts w:ascii="Times New Roman" w:cs="Times New Roman" w:eastAsia="Times New Roman" w:hAnsi="Times New Roman"/>
          <w:sz w:val="18"/>
          <w:szCs w:val="18"/>
          <w:color w:val="auto"/>
        </w:rPr>
        <w:t>We calculate FFO</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w:t>
      </w:r>
    </w:p>
    <w:p>
      <w:pPr>
        <w:spacing w:after="0" w:line="184"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To calculate Adjusted FFO available to common stockholders and unit holders, we then exclude, to the extent the following adjustments occurred during the periods presented:</w:t>
      </w:r>
    </w:p>
    <w:p>
      <w:pPr>
        <w:spacing w:after="0" w:line="162"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 amortization;</w:t>
      </w:r>
    </w:p>
    <w:p>
      <w:pPr>
        <w:spacing w:after="0" w:line="2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that do not meet the NAREIT definition above;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Write-offs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debt discounts or premiums and amortization of deferred financing costs;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lease expense;</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 on held-to-maturity securities;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settlement charges;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pro rata adjustments from unconsolidated joint ventures;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on other assets;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of acquisitions;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 expense (benefit); and</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adjustments we have identified herein.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FFO available to common stockholders and unit holders and Adjusted FFO available to common stockholders and unit holders exclude the ownership portion of the joint ventures not controlled or owned by the Company.</w:t>
      </w:r>
    </w:p>
    <w:p>
      <w:pPr>
        <w:spacing w:after="0" w:line="162"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that the presentation of FFO available to common stockholders and unit holders and Adjusted FFO available to common stockholders and unit holders provides useful information to investors regarding the performance of our ongoing operations because they are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these non-GAAP financial measures as measures in determining our results after considering the impact of our capital structure.</w:t>
      </w:r>
    </w:p>
    <w:p>
      <w:pPr>
        <w:spacing w:after="0" w:line="18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We caution investors that amounts presented in accordance with our definitions of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Excluding Noncontrolling Interest, FFO available to common stockholders and unit holders, and Adjusted FFO available to common stockholders and unit holders may not be comparable to similar measures disclosed by other companies, because not all companies calculate these non-GAAP measures in the same manner. These non-GAAP financial measures, and any related per share measures, should not be considered as alternative measures of our Net Income (Loss), operating performance, cash flow or liquidity. These non-GAAP financial measures may include funds that may not be available for our discretionary use due to functional requirements to conserve funds for capital expenditures and property acquisitions and other commitments and uncertainties. Although we believe that these non-GAAP financial measures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192" w:lineRule="exact"/>
        <w:rPr>
          <w:sz w:val="20"/>
          <w:szCs w:val="20"/>
          <w:color w:val="auto"/>
        </w:rPr>
      </w:pPr>
    </w:p>
    <w:p>
      <w:pPr>
        <w:ind w:left="60" w:right="239"/>
        <w:spacing w:after="0" w:line="284"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18"/>
          <w:szCs w:val="18"/>
          <w:i w:val="1"/>
          <w:iCs w:val="1"/>
          <w:color w:val="auto"/>
        </w:rPr>
        <w:t>re</w:t>
      </w:r>
      <w:r>
        <w:rPr>
          <w:rFonts w:ascii="Times New Roman" w:cs="Times New Roman" w:eastAsia="Times New Roman" w:hAnsi="Times New Roman"/>
          <w:sz w:val="18"/>
          <w:szCs w:val="18"/>
          <w:color w:val="auto"/>
        </w:rPr>
        <w:t xml:space="preserve"> for the three months ended March 31, 2023 and 2022 (in thousands):</w:t>
      </w:r>
    </w:p>
    <w:p>
      <w:pPr>
        <w:spacing w:after="0" w:line="16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-3175</wp:posOffset>
            </wp:positionV>
            <wp:extent cx="13544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(24,797)</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39,981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30,556</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(65)</w:t>
            </w: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48,357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56,028</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Loss on sale of assets</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Pro rata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from unconsolidated joint ventures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CCEEFF"/>
            </w:tcBorders>
          </w:tcPr>
          <w:p>
            <w:pPr>
              <w:spacing w:after="0"/>
              <w:rPr>
                <w:sz w:val="17"/>
                <w:szCs w:val="17"/>
                <w:color w:val="auto"/>
              </w:rPr>
            </w:pPr>
          </w:p>
        </w:tc>
      </w:tr>
      <w:tr>
        <w:trPr>
          <w:trHeight w:val="19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17"/>
                <w:szCs w:val="17"/>
                <w:i w:val="1"/>
                <w:iCs w:val="1"/>
                <w:color w:val="auto"/>
              </w:rPr>
              <w:t>re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150,974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62,213</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Preopening costs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3,786</w:t>
            </w:r>
          </w:p>
        </w:tc>
        <w:tc>
          <w:tcPr>
            <w:tcW w:w="120" w:type="dxa"/>
            <w:vAlign w:val="bottom"/>
          </w:tcPr>
          <w:p>
            <w:pPr>
              <w:spacing w:after="0"/>
              <w:rPr>
                <w:sz w:val="17"/>
                <w:szCs w:val="17"/>
                <w:color w:val="auto"/>
              </w:rPr>
            </w:pPr>
          </w:p>
        </w:tc>
      </w:tr>
      <w:tr>
        <w:trPr>
          <w:trHeight w:val="203"/>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income on Gaylord National bonds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1,340</w:t>
            </w:r>
          </w:p>
        </w:tc>
        <w:tc>
          <w:tcPr>
            <w:tcW w:w="120" w:type="dxa"/>
            <w:vAlign w:val="bottom"/>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Transaction costs of acquisitions</w:t>
            </w:r>
          </w:p>
        </w:tc>
        <w:tc>
          <w:tcPr>
            <w:tcW w:w="2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20" w:type="dxa"/>
            <w:vAlign w:val="bottom"/>
          </w:tcPr>
          <w:p>
            <w:pPr>
              <w:spacing w:after="0"/>
              <w:rPr>
                <w:sz w:val="17"/>
                <w:szCs w:val="17"/>
                <w:color w:val="auto"/>
              </w:rPr>
            </w:pPr>
          </w:p>
        </w:tc>
      </w:tr>
      <w:tr>
        <w:trPr>
          <w:trHeight w:val="196"/>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157,675</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xml:space="preserve"> of noncontrolling interest in consolidated joint venture</w:t>
            </w:r>
          </w:p>
        </w:tc>
        <w:tc>
          <w:tcPr>
            <w:tcW w:w="20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(4,296)</w:t>
            </w:r>
          </w:p>
        </w:tc>
        <w:tc>
          <w:tcPr>
            <w:tcW w:w="20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excluding noncontrolling interest in consolidated joint venture</w:t>
            </w: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153,379</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68,994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our consolidated GAAP net income (loss) to FFO and Adjusted FFO for the three months ended March 31, 2023 and 2022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65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Noncontrolling interest in consolidated joint venture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available to common stockholders and unit holders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(24,797)</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55,997</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(1,580)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 rata adjustments from joint ventures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CCEEFF"/>
            </w:tcBorders>
          </w:tcPr>
          <w:p>
            <w:pPr>
              <w:spacing w:after="0"/>
              <w:rPr>
                <w:sz w:val="18"/>
                <w:szCs w:val="18"/>
                <w:color w:val="auto"/>
              </w:rPr>
            </w:pPr>
          </w:p>
        </w:tc>
      </w:tr>
      <w:tr>
        <w:trPr>
          <w:trHeight w:val="20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FFO available to common stockholders and unit holders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108,526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31,222</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expense</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other assets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240" w:type="dxa"/>
            <w:vAlign w:val="bottom"/>
            <w:shd w:val="clear" w:color="auto" w:fill="CCEEFF"/>
          </w:tcPr>
          <w:p>
            <w:pPr>
              <w:spacing w:after="0"/>
              <w:rPr>
                <w:sz w:val="18"/>
                <w:szCs w:val="18"/>
                <w:color w:val="auto"/>
              </w:rPr>
            </w:pP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discounts and premiums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for noncontrolling interest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 costs of acquisitions</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18"/>
                <w:szCs w:val="18"/>
                <w:color w:val="auto"/>
              </w:rPr>
            </w:pPr>
          </w:p>
        </w:tc>
      </w:tr>
      <w:tr>
        <w:trPr>
          <w:trHeight w:val="216"/>
        </w:trPr>
        <w:tc>
          <w:tcPr>
            <w:tcW w:w="6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provision (benefit)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(415)</w:t>
            </w:r>
          </w:p>
        </w:tc>
      </w:tr>
      <w:tr>
        <w:trPr>
          <w:trHeight w:val="21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FFO available to common stockholders and unit 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113,593</w:t>
            </w: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34,814</w:t>
            </w:r>
          </w:p>
        </w:tc>
        <w:tc>
          <w:tcPr>
            <w:tcW w:w="24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r>
        <w:rPr>
          <w:rFonts w:ascii="Times New Roman" w:cs="Times New Roman" w:eastAsia="Times New Roman" w:hAnsi="Times New Roman"/>
          <w:sz w:val="18"/>
          <w:szCs w:val="18"/>
          <w:color w:val="auto"/>
        </w:rPr>
        <w:t>. Historically, cash flow from operating activities has been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source of cash used to fund our operating expenses, interest payments on debt, maintenance capital expenditures, and dividends to stockholders. During the three months ended March 31, 2023, our net cash flows provided by operating activities were $31.7 million, primarily reflecting our net income before depreciation expense, amortization expense and other non-cash charges of $119.3 million, partially offset by unfavorable changes in working capital of $87.6 million. The unfavorable changes in working capital primarily resulted from a decrease in accounts payable and accrued liabilities primarily related to compensation and property tax accruals and an increase in accounts receivable due to a seasonal increase in group business, partially offset by an increase in advanced ticket sales at our OEG venues and an increase in advanced deposits at our Gaylord Hotels properties.</w:t>
      </w:r>
    </w:p>
    <w:p>
      <w:pPr>
        <w:spacing w:after="0" w:line="15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our net cash flows used in operating activities were $4.2 million, primarily reflecting our net loss before depreciation expense, amortization expense and other non-cash charges of $39.5 million, offset by unfavorable changes in working capital of $43.6 million. The unfavorable changes in working capital primarily resulted from a decrease in accounts payable and accrued liabilities related to compensation accruals and accruals associated with our December holiday programming, as well as an increase in accounts receivable due to an increase in group business at our Gaylord Hotels properties.</w:t>
      </w:r>
    </w:p>
    <w:p>
      <w:pPr>
        <w:spacing w:after="0" w:line="145"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During the three months ended March 31, 2023, our primary uses of funds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investing activities were purchases of property and equipment, which totaled $36.8 million, and consisted primarily of enhancements to the offerings at Block 21, the construction of Ole Red Las Vegas, enhancements at Gaylord Rockies to better position the property for our group customers, and ongoing maintenance capital expenditures for each of our existing properties.</w:t>
      </w:r>
    </w:p>
    <w:p>
      <w:pPr>
        <w:spacing w:after="0" w:line="158"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our primary use of funds for investing activities were purchases of property and equipment, which totaled $9.7 million, and consisted primarily of a re-concepting of the food and beverage options at Gaylord National and ongoing maintenance capital expenditures for each of our existing properties.</w:t>
      </w:r>
    </w:p>
    <w:p>
      <w:pPr>
        <w:spacing w:after="0" w:line="133" w:lineRule="exact"/>
        <w:rPr>
          <w:sz w:val="20"/>
          <w:szCs w:val="20"/>
          <w:color w:val="auto"/>
        </w:rPr>
      </w:pPr>
    </w:p>
    <w:p>
      <w:pPr>
        <w:ind w:left="60" w:right="139"/>
        <w:spacing w:after="0" w:line="284" w:lineRule="auto"/>
        <w:rPr>
          <w:sz w:val="20"/>
          <w:szCs w:val="20"/>
          <w:color w:val="auto"/>
        </w:rPr>
      </w:pPr>
      <w:r>
        <w:rPr>
          <w:rFonts w:ascii="Times New Roman" w:cs="Times New Roman" w:eastAsia="Times New Roman" w:hAnsi="Times New Roman"/>
          <w:sz w:val="18"/>
          <w:szCs w:val="18"/>
          <w:i w:val="1"/>
          <w:iCs w:val="1"/>
          <w:color w:val="auto"/>
        </w:rPr>
        <w:t>Cash Flows Used In Financing Activities</w:t>
      </w:r>
      <w:r>
        <w:rPr>
          <w:rFonts w:ascii="Times New Roman" w:cs="Times New Roman" w:eastAsia="Times New Roman" w:hAnsi="Times New Roman"/>
          <w:sz w:val="18"/>
          <w:szCs w:val="18"/>
          <w:color w:val="auto"/>
        </w:rPr>
        <w:t>. Our cash flows from financing activities primarily reflect the incurrence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repayment of long-term debt, and the payment of cash dividends. During the three months ended March 31,</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2023, our net cash flows used in financing activities were $13.9 million, primarily reflecting the payment of $14.0 million in cash dividends.</w:t>
      </w:r>
    </w:p>
    <w:p>
      <w:pPr>
        <w:spacing w:after="0" w:line="135" w:lineRule="exact"/>
        <w:rPr>
          <w:sz w:val="20"/>
          <w:szCs w:val="20"/>
          <w:color w:val="auto"/>
        </w:rPr>
      </w:pPr>
    </w:p>
    <w:p>
      <w:pPr>
        <w:ind w:left="60" w:right="799"/>
        <w:spacing w:after="0" w:line="453" w:lineRule="auto"/>
        <w:rPr>
          <w:sz w:val="20"/>
          <w:szCs w:val="20"/>
          <w:color w:val="auto"/>
        </w:rPr>
      </w:pPr>
      <w:r>
        <w:rPr>
          <w:rFonts w:ascii="Times New Roman" w:cs="Times New Roman" w:eastAsia="Times New Roman" w:hAnsi="Times New Roman"/>
          <w:sz w:val="18"/>
          <w:szCs w:val="18"/>
          <w:color w:val="auto"/>
        </w:rPr>
        <w:t xml:space="preserve">During the three months ended March 31, 2022, our net cash flows used in financing activities were $5.4 million. </w:t>
      </w:r>
      <w:r>
        <w:rPr>
          <w:rFonts w:ascii="Times New Roman" w:cs="Times New Roman" w:eastAsia="Times New Roman" w:hAnsi="Times New Roman"/>
          <w:sz w:val="18"/>
          <w:szCs w:val="18"/>
          <w:i w:val="1"/>
          <w:iCs w:val="1"/>
          <w:color w:val="auto"/>
        </w:rPr>
        <w:t>Liquidity</w:t>
      </w:r>
    </w:p>
    <w:p>
      <w:pPr>
        <w:spacing w:after="0" w:line="2"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At March 31, 2023, we had $318.5 million in unrestricted cash and $743.4 million available for borrowing in the aggregate under our revolving credit facility and the OEG revolving credit facility. During the three months ended March 31, 2023, we incurred capital expenditures of $36.8 million and paid $14.0 million in cash dividends. These changes, partially offset by the cash flows provided by operations discussed above, were the primary factors in the decrease in our cash balance from December 31, 2022 to March 31, 2023.</w:t>
      </w:r>
    </w:p>
    <w:p>
      <w:pPr>
        <w:spacing w:after="0" w:line="15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anticipate investing in our operations during the remainder of 2023 by spending between approximately $175 million and $215 million in capital expenditures, which primarily includes enhancements at Gaylord Rockies to better position the property for our group customers, enhancements to the offerings at Block 21, the construction of Ole Red Las Vegas, and ongoing maintenance capital for each of our existing properties. In addition, we intend to contribute up to an additional $8.2 million in capital to the Circle joint venture for working capital needs. Further, our dividend policy provides that we will make minimum dividends of 100% of REIT taxable income annually. Future dividends are subject to our board of directors’ future determinations as to amount and timing. We currently have no debt maturities until July 2023. We believe we will be able to refinance our debt agreements prior to their maturities, including extension options.</w:t>
      </w:r>
    </w:p>
    <w:p>
      <w:pPr>
        <w:spacing w:after="0" w:line="151"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We believe that our cash on hand and cash flow from operations, together with amounts available for borrowing under each of our revolving credit facility and the OEG revolving credit facility, will be adequate to fund our general short-term commitments, as well as: (i) current operating expenses, (ii) interest expense on long-term debt obligations, (iii) financing lease and operating lease obligations, (iv) declared dividends and (v) the capital expenditures described above. Our ability to draw on our credit facility and the OEG revolving credit facility is subject to the satisfaction of provisions of the credit facility, as amended, and the OEG revolving credit facility, as applicable.</w:t>
      </w:r>
    </w:p>
    <w:p>
      <w:pPr>
        <w:spacing w:after="0" w:line="147" w:lineRule="exact"/>
        <w:rPr>
          <w:sz w:val="20"/>
          <w:szCs w:val="20"/>
          <w:color w:val="auto"/>
        </w:rPr>
      </w:pPr>
    </w:p>
    <w:p>
      <w:pPr>
        <w:ind w:left="60" w:right="559"/>
        <w:spacing w:after="0" w:line="282" w:lineRule="auto"/>
        <w:rPr>
          <w:sz w:val="20"/>
          <w:szCs w:val="20"/>
          <w:color w:val="auto"/>
        </w:rPr>
      </w:pPr>
      <w:r>
        <w:rPr>
          <w:rFonts w:ascii="Times New Roman" w:cs="Times New Roman" w:eastAsia="Times New Roman" w:hAnsi="Times New Roman"/>
          <w:sz w:val="18"/>
          <w:szCs w:val="18"/>
          <w:color w:val="auto"/>
        </w:rPr>
        <w:t>Our outstanding principal debt agreements are described below. At March 31, 2023, there were no defaults under the covenants related to our outstanding debt.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Principal Debt Agreements</w:t>
      </w:r>
    </w:p>
    <w:p>
      <w:pPr>
        <w:spacing w:after="0" w:line="185"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On October 31, 2019, we entered into a Sixth Amended and Restated Credit Agreement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prior to its repayment on June 16, 2022, a $300.0 million senior secured term loan A (the “Term Loan A”), and a $500.0 million senior secured term loan B (the “Term Loan B”).</w:t>
      </w:r>
    </w:p>
    <w:p>
      <w:pPr>
        <w:spacing w:after="0" w:line="144"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Each of the Revolver and Term Loan B is guaranteed by us, each of our subsidiaries that own the Gaylord Hotels properties, other than Gaylord Rockies, and certain of our other subsidiaries. Each is secured by (i) a first mortgage lien on the real property of each of our Gaylord Hotels properties, excluding Gaylord Rockies, (ii) pledges of equity interests in our subsidiaries that own the Gaylord Hotels properties, excluding Gaylord Rockies, (iii) pledges of equity interests in the Operating Partnership, our subsidiaries that guarantee the Credit Agreement, and certain other of our subsidiaries, (iv) our personal property and the personal property of the Operating Partnership and our guarantor subsidiaries and (v) all proceeds and products from our Gaylord Hotels properties, excluding Gaylord Rockies. Advances are subject to a 55% borrowing base, based on the appraisal value of the Gaylord Hotels properties (reduced to 50% in the event one of the Gaylord Hotels properties is sold), excluding Gaylord Rockies. Assets of Gaylord Rockies are not subject to the liens of our credit facility.</w:t>
      </w:r>
    </w:p>
    <w:p>
      <w:pPr>
        <w:spacing w:after="0" w:line="167"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Each of the Revolver and Term Loan B contains certain covenants which, among other things, limit the incurrence of additional indebtedness, investments, dividends, transactions with affiliates, asset sales, acquisitions, mergers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consolidations, liens and encumbrances and other matters customarily restricted in such agreements. The material financial covenants, ratios or tests contained in the Credit Agreement are as follows:</w:t>
      </w:r>
    </w:p>
    <w:p>
      <w:pPr>
        <w:spacing w:after="0" w:line="135" w:lineRule="exact"/>
        <w:rPr>
          <w:sz w:val="20"/>
          <w:szCs w:val="20"/>
          <w:color w:val="auto"/>
        </w:rPr>
      </w:pPr>
    </w:p>
    <w:p>
      <w:pPr>
        <w:ind w:left="720" w:right="45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funded indebtedness to total asset value ratio as of the end of each calendar quarter of not more than .65 to 1.0.</w:t>
      </w:r>
    </w:p>
    <w:p>
      <w:pPr>
        <w:spacing w:after="0" w:line="12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 consolidated fixed charge coverage ratio (as defined in the Credit Agreement) of not less than 1.50 to 1.00.</w:t>
      </w:r>
    </w:p>
    <w:p>
      <w:pPr>
        <w:spacing w:after="0" w:line="121" w:lineRule="exact"/>
        <w:rPr>
          <w:rFonts w:ascii="Times New Roman" w:cs="Times New Roman" w:eastAsia="Times New Roman" w:hAnsi="Times New Roman"/>
          <w:sz w:val="18"/>
          <w:szCs w:val="18"/>
          <w:color w:val="auto"/>
        </w:rPr>
      </w:pPr>
    </w:p>
    <w:p>
      <w:pPr>
        <w:ind w:left="720" w:right="259" w:hanging="319"/>
        <w:spacing w:after="0" w:line="266"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9"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The Credit Agreement was amended effective on the closing of the OEG Transaction to exclude OEG from negative covenants and certain restrictions related to certain equity issuances, investments, acquisitions, dispositions and indebtedness.</w:t>
      </w:r>
    </w:p>
    <w:p>
      <w:pPr>
        <w:spacing w:after="0" w:line="135"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33" w:lineRule="exact"/>
        <w:rPr>
          <w:sz w:val="20"/>
          <w:szCs w:val="20"/>
          <w:color w:val="auto"/>
        </w:rPr>
      </w:pPr>
    </w:p>
    <w:p>
      <w:pPr>
        <w:ind w:left="60" w:right="259"/>
        <w:spacing w:after="0" w:line="277" w:lineRule="auto"/>
        <w:rPr>
          <w:sz w:val="20"/>
          <w:szCs w:val="20"/>
          <w:color w:val="auto"/>
        </w:rPr>
      </w:pPr>
      <w:r>
        <w:rPr>
          <w:rFonts w:ascii="Times New Roman" w:cs="Times New Roman" w:eastAsia="Times New Roman" w:hAnsi="Times New Roman"/>
          <w:sz w:val="17"/>
          <w:szCs w:val="17"/>
          <w:i w:val="1"/>
          <w:iCs w:val="1"/>
          <w:color w:val="auto"/>
        </w:rPr>
        <w:t>Revolving Credit Facility</w:t>
      </w:r>
      <w:r>
        <w:rPr>
          <w:rFonts w:ascii="Times New Roman" w:cs="Times New Roman" w:eastAsia="Times New Roman" w:hAnsi="Times New Roman"/>
          <w:sz w:val="17"/>
          <w:szCs w:val="17"/>
          <w:color w:val="auto"/>
        </w:rPr>
        <w:t>. The maturity date of the Revolver is March 31, 2024, with two additional six-month extension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options, at our election. Borrowings under the Revolver bear interest at an annual rate equal to, at our option, either</w:t>
      </w:r>
    </w:p>
    <w:p>
      <w:pPr>
        <w:spacing w:after="0" w:line="1" w:lineRule="exact"/>
        <w:rPr>
          <w:sz w:val="20"/>
          <w:szCs w:val="20"/>
          <w:color w:val="auto"/>
        </w:rPr>
      </w:pPr>
    </w:p>
    <w:p>
      <w:pPr>
        <w:jc w:val="both"/>
        <w:ind w:left="60" w:right="99" w:hanging="10"/>
        <w:spacing w:after="0" w:line="277" w:lineRule="auto"/>
        <w:tabs>
          <w:tab w:leader="none" w:pos="27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LIBOR plus the applicable margin ranging from 1.40% to 1.95%, dependent upon our funded debt to total asset value ratio (as defined in the Credit Agreement) or (ii) a base rate as set forth in the Credit Agreement. At March 31, 2023, the interest rate on LIBOR-based borrowings under the Revolver is LIBOR plus 1.50%. Principal is payable in full at maturity.</w:t>
      </w:r>
    </w:p>
    <w:p>
      <w:pPr>
        <w:spacing w:after="0" w:line="142"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At March 31, 2023, no amounts were outstanding under the Revolver, and the lending banks had issued $14.6 million of letters of credit under the Credit Agreement, which left $685.4 million of availability under the Revolver (subject to the satisfaction of debt incurrence tests under the indentures governing our $600 million in aggregate principal amount of senior notes due 2029 (the “$600 Million 4.50% Senior Notes”) and our $700 million in aggregate principal amount of senior notes due 2027 (the “$700 Million 4.75% Senior Notes”), which we met at March 31, 2023).</w:t>
      </w:r>
    </w:p>
    <w:p>
      <w:pPr>
        <w:spacing w:after="0" w:line="141"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Term Loan B Facility. </w:t>
      </w:r>
      <w:r>
        <w:rPr>
          <w:rFonts w:ascii="Times New Roman" w:cs="Times New Roman" w:eastAsia="Times New Roman" w:hAnsi="Times New Roman"/>
          <w:sz w:val="18"/>
          <w:szCs w:val="18"/>
          <w:color w:val="auto"/>
        </w:rPr>
        <w:t>The Term Loan B has a maturity date of May 11, 2024. The applicable interest rate margins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the Term Loan B are, at our option, either (i) LIBOR plus 2.00% or (ii) a base rate as set forth in the Credit Agreement. At March 31, 2023,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5"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fiscal year, there is Excess Cash Flow (as defined in the Credit Agreement), an additional principal amount is required. Amounts borrowed under the Term Loan B that are repaid or prepaid may not be reborrowed. At March 31, 2023, $370.0 million in borrowings were outstanding under the Term Loan B.</w:t>
      </w:r>
    </w:p>
    <w:p>
      <w:pPr>
        <w:spacing w:after="0" w:line="143"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$700 Million 4.75% Senior Notes. </w:t>
      </w:r>
      <w:r>
        <w:rPr>
          <w:rFonts w:ascii="Times New Roman" w:cs="Times New Roman" w:eastAsia="Times New Roman" w:hAnsi="Times New Roman"/>
          <w:sz w:val="18"/>
          <w:szCs w:val="18"/>
          <w:color w:val="auto"/>
        </w:rPr>
        <w:t>In September 2019, the Operating Partnership and Finco completed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of $500.0 million in aggregate principal amount of senior notes due 2027 (the “$500 Million 4.75% Senior Notes”), which are guaranteed by the Company and its subsidiaries that guarantee the Credit Agreement. The $500 Million 4.75% Senior Notes and 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The $500 Million 4.75% Senior Notes are general unsecured and unsubordinated obligations of the issuing subsidiaries and rank equal in right of payment with such subsidiaries’ existing and future senior unsecured indebtedness, including the $600 Million 4.50% Senior Notes, and senior in right of payment to future subordinated indebtedness, if any. The $500 Million 4.75% Senior Notes are effectively subordinated to the issuing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60" w:lineRule="exact"/>
        <w:rPr>
          <w:sz w:val="20"/>
          <w:szCs w:val="20"/>
          <w:color w:val="auto"/>
        </w:rPr>
      </w:pPr>
    </w:p>
    <w:p>
      <w:pPr>
        <w:ind w:left="60" w:right="159"/>
        <w:spacing w:after="0" w:line="270" w:lineRule="auto"/>
        <w:rPr>
          <w:sz w:val="20"/>
          <w:szCs w:val="20"/>
          <w:color w:val="auto"/>
        </w:rPr>
      </w:pPr>
      <w:r>
        <w:rPr>
          <w:rFonts w:ascii="Times New Roman" w:cs="Times New Roman" w:eastAsia="Times New Roman" w:hAnsi="Times New Roman"/>
          <w:sz w:val="17"/>
          <w:szCs w:val="17"/>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3" w:lineRule="exact"/>
        <w:rPr>
          <w:sz w:val="20"/>
          <w:szCs w:val="20"/>
          <w:color w:val="auto"/>
        </w:rPr>
      </w:pPr>
    </w:p>
    <w:p>
      <w:pPr>
        <w:ind w:left="60" w:right="179"/>
        <w:spacing w:after="0" w:line="260" w:lineRule="auto"/>
        <w:rPr>
          <w:sz w:val="20"/>
          <w:szCs w:val="20"/>
          <w:color w:val="auto"/>
        </w:rPr>
      </w:pPr>
      <w:r>
        <w:rPr>
          <w:rFonts w:ascii="Times New Roman" w:cs="Times New Roman" w:eastAsia="Times New Roman" w:hAnsi="Times New Roman"/>
          <w:sz w:val="18"/>
          <w:szCs w:val="18"/>
          <w:color w:val="auto"/>
        </w:rPr>
        <w:t>4.75% Senior Notes”). All other terms and conditions of the additional 2027 notes are identical to the $500 Million 4.75% Senior Notes.</w:t>
      </w:r>
    </w:p>
    <w:p>
      <w:pPr>
        <w:spacing w:after="0" w:line="181" w:lineRule="exact"/>
        <w:rPr>
          <w:sz w:val="20"/>
          <w:szCs w:val="20"/>
          <w:color w:val="auto"/>
        </w:rPr>
      </w:pPr>
    </w:p>
    <w:p>
      <w:pPr>
        <w:jc w:val="both"/>
        <w:ind w:left="60" w:right="319"/>
        <w:spacing w:after="0" w:line="261" w:lineRule="auto"/>
        <w:rPr>
          <w:sz w:val="20"/>
          <w:szCs w:val="20"/>
          <w:color w:val="auto"/>
        </w:rPr>
      </w:pPr>
      <w:r>
        <w:rPr>
          <w:rFonts w:ascii="Times New Roman" w:cs="Times New Roman" w:eastAsia="Times New Roman" w:hAnsi="Times New Roman"/>
          <w:sz w:val="18"/>
          <w:szCs w:val="18"/>
          <w:color w:val="auto"/>
        </w:rPr>
        <w:t>The $700 Million 4.75% Senior Notes are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3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completed a registered offer to exchange the $700 Million 4.75% Senior Notes for registered notes with substantially identical terms as the $700 Million 4.75% Senior Notes in July 2020.</w:t>
      </w:r>
    </w:p>
    <w:p>
      <w:pPr>
        <w:spacing w:after="0" w:line="119" w:lineRule="exact"/>
        <w:rPr>
          <w:sz w:val="20"/>
          <w:szCs w:val="20"/>
          <w:color w:val="auto"/>
        </w:rPr>
      </w:pPr>
    </w:p>
    <w:p>
      <w:pPr>
        <w:ind w:left="60" w:right="219"/>
        <w:spacing w:after="0" w:line="269" w:lineRule="auto"/>
        <w:rPr>
          <w:sz w:val="20"/>
          <w:szCs w:val="20"/>
          <w:color w:val="auto"/>
        </w:rPr>
      </w:pPr>
      <w:r>
        <w:rPr>
          <w:rFonts w:ascii="Times New Roman" w:cs="Times New Roman" w:eastAsia="Times New Roman" w:hAnsi="Times New Roman"/>
          <w:sz w:val="17"/>
          <w:szCs w:val="17"/>
          <w:i w:val="1"/>
          <w:iCs w:val="1"/>
          <w:color w:val="auto"/>
        </w:rPr>
        <w:t>$600 Million 4.50% Senior Notes</w:t>
      </w:r>
      <w:r>
        <w:rPr>
          <w:rFonts w:ascii="Times New Roman" w:cs="Times New Roman" w:eastAsia="Times New Roman" w:hAnsi="Times New Roman"/>
          <w:sz w:val="17"/>
          <w:szCs w:val="17"/>
          <w:color w:val="auto"/>
        </w:rPr>
        <w:t>. On February 17, 2021, the Operating Partnership and Finco completed the private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placement of $600.0 million in aggregate principal amount of 4.50% senior notes due 2029, which are guaranteed by the Company and its subsidiaries that guarantee the Credit Agreement. The $600 Million 4.50% Senior Notes and guarantees were issued pursuant to an indenture by and among the issuing subsidiaries and the guarantors and U.S. Bank National Association as trustee. The $600 Million 5% Senior Notes have a maturity date of February 15, 2029 and bear interest at 4.50% per annum, payable semi-annually in cash in arrears on February 15 and August 15 each year. The $600 Million</w:t>
      </w:r>
    </w:p>
    <w:p>
      <w:pPr>
        <w:spacing w:after="0" w:line="2" w:lineRule="exact"/>
        <w:rPr>
          <w:sz w:val="20"/>
          <w:szCs w:val="20"/>
          <w:color w:val="auto"/>
        </w:rPr>
      </w:pPr>
    </w:p>
    <w:p>
      <w:pPr>
        <w:ind w:left="60" w:right="399"/>
        <w:spacing w:after="0" w:line="265" w:lineRule="auto"/>
        <w:rPr>
          <w:sz w:val="20"/>
          <w:szCs w:val="20"/>
          <w:color w:val="auto"/>
        </w:rPr>
      </w:pPr>
      <w:r>
        <w:rPr>
          <w:rFonts w:ascii="Times New Roman" w:cs="Times New Roman" w:eastAsia="Times New Roman" w:hAnsi="Times New Roman"/>
          <w:sz w:val="17"/>
          <w:szCs w:val="17"/>
          <w:color w:val="auto"/>
        </w:rPr>
        <w:t>4.50% Senior Notes are general unsecured and unsubordinated obligations of the issuing subsidiaries and rank equal in right of payment with such subsidiaries’ existing and future senior unsecured indebtedness, including the $700 Million</w:t>
      </w:r>
    </w:p>
    <w:p>
      <w:pPr>
        <w:ind w:left="60" w:right="99"/>
        <w:spacing w:after="0" w:line="269" w:lineRule="auto"/>
        <w:rPr>
          <w:sz w:val="20"/>
          <w:szCs w:val="20"/>
          <w:color w:val="auto"/>
        </w:rPr>
      </w:pPr>
      <w:r>
        <w:rPr>
          <w:rFonts w:ascii="Times New Roman" w:cs="Times New Roman" w:eastAsia="Times New Roman" w:hAnsi="Times New Roman"/>
          <w:sz w:val="17"/>
          <w:szCs w:val="17"/>
          <w:color w:val="auto"/>
        </w:rPr>
        <w:t>4.75% Senior Notes, and senior in right of payment to future subordinated indebtedness, if any. The $600 Million 4.50%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$600 Million 4.50%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$600 Million 4.50% Senior Notes.</w:t>
      </w:r>
    </w:p>
    <w:p>
      <w:pPr>
        <w:spacing w:after="0" w:line="14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$600 Million 4.50% Senior Notes are redeemable before February 15, 2024, in whole or in part, at 100.00%, plus accrued and unpaid interest thereon to, but not including, the redemption date, plus a make-whole premium. The $600 Million 4.50% Senior Notes will be redeemable, in whole or in part, at any time on or after February 15, 2024 at a redemption price expressed as a percentage of the principal amount thereof, which percentage is 102.250%, 101.500%, 100.750%, and 100.000% beginning on February 15 of 2024, 2025, 2026, and 2027, respectively, plus accrued and unpaid interest thereon to, but not including, the redemption date.</w:t>
      </w:r>
    </w:p>
    <w:p>
      <w:pPr>
        <w:spacing w:after="0" w:line="145"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i w:val="1"/>
          <w:iCs w:val="1"/>
          <w:color w:val="auto"/>
        </w:rPr>
        <w:t>$800 Million Term Loan (Gaylord Rockies)</w:t>
      </w:r>
      <w:r>
        <w:rPr>
          <w:rFonts w:ascii="Times New Roman" w:cs="Times New Roman" w:eastAsia="Times New Roman" w:hAnsi="Times New Roman"/>
          <w:sz w:val="18"/>
          <w:szCs w:val="18"/>
          <w:color w:val="auto"/>
        </w:rPr>
        <w:t>. On July 2, 2019, Aurora Convention Center Hotel, LLC (“Hotel Owner”)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Aurora Convention Center Hotel Lessee, LLC (“Tenant” and collectively, with Hotel Owner, the “Loan Parties”), subsidiaries of the entities that comprised the joint venture that owned Gaylord Rockies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matures July 2, 2023 with three, one-year extension options, subject to certain requirements in the Gaylord Rockies Loan. We have fulfilled the necessary requirements to exercise the first of these extension options. The Gaylord Rockies Loan bears interest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LIBOR plus 2.50% and, simultaneous with closing, the Gaylord Rockies joint venture entered into an interest rate swap to fix the LIBOR portion of the interest rate at 1.65% for the first three years of the loan. Additionally, we have entered into an additional interest rate swap to fix the LIBOR portion of the interest rate at 3.3410% for the fourth year of the loan. We have designated these interest rate swaps as effective cash flow hedges.</w:t>
      </w:r>
    </w:p>
    <w:p>
      <w:pPr>
        <w:spacing w:after="0" w:line="180"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Gaylord Rockies Loan is secured by a deed of trust lien on the Gaylord Rockies real estate and related assets. We have entered into limited repayment and carry guaranties that, in the aggregate, guarantee repayment of 10% of the principal debt, together with interest and operating expenses, which are to be released once Gaylord Rockies achieves a certain debt service coverage threshold as defined in the Gaylord Rockies Loan. Generally, the Gaylord Rockies Loan is non-recourse to the Company, subject to (i) those limited guaranties and (ii) customary non-recourse carve-outs.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Loan Amendment modified the Gaylord Rockies Loan to (i) provide for the ability to use cash for certain purposes, even during a Cash Sweep Period (as defined in the Loan Agreement) and (ii) provide favorable changes to the debt service coverage ratio provisions.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Loan Amendment includes restrictions on distributions to our subsidiaries that own Gaylord Rockies.</w:t>
      </w:r>
    </w:p>
    <w:p>
      <w:pPr>
        <w:spacing w:after="0" w:line="223"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i w:val="1"/>
          <w:iCs w:val="1"/>
          <w:color w:val="auto"/>
        </w:rPr>
        <w:t>OEG Credit Agreement</w:t>
      </w:r>
      <w:r>
        <w:rPr>
          <w:rFonts w:ascii="Times New Roman" w:cs="Times New Roman" w:eastAsia="Times New Roman" w:hAnsi="Times New Roman"/>
          <w:sz w:val="18"/>
          <w:szCs w:val="18"/>
          <w:color w:val="auto"/>
        </w:rPr>
        <w:t>. On June 16, 2022, OEG Borrower, LLC (“OEG Borrower”) and OEG Finance, LLC (“OEG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each a wholly owned direct or indirect subsidiary of OEG, entered into a credit agreement (the “OEG Credit Agreement”) among OEG Borrower, as borrower, OEG Finance, certain subsidiaries of OEG Borrower from time to time party thereto as guarantors, the lenders party thereto and JPMorgan Chase Bank, N.A., as administrative agent. The OEG Credit Agreement provides for (i) a senior secured term loan facility in the aggregate principal amount of $300.0 million (the “OEG Term Loan”) and (ii) a senior secured revolving credit facility in an aggregate principal amount not to exceed $65.0 million (the “OEG Revolver”). The OEG Term Loan matures on June 16, 2029 and the OEG Revolver matures on June 16, 2027. The OEG Term Loan bears interest at a rate equal to either, at OEG Borrower’s election, (i) the Alternate Base Rate plus 4.00% or (b) Adjusted Term SOFR plus 5.00% (all as specifically more described in the OEG Credit Agreement). The OEG Revolver bears interest at a rate equal to either, at OEG Borrower’s election, (i) the Alternate Base Rate plus 3.75% or (b) Adjusted Term SOFR plus 4.75%, which shall be subject to reduction in the applicable margin based upon OEG’s First Lien Leverage Ratio (all as specifically more described in the OEG Credit Agreement). The OEG Term Loan and OEG Revolver are each secured by substantially all of the assets of OEG Finance and each of its subsidiaries (other than Block 21 and Circle, as more specifically described in the OEG Credit Agreement) and include customary financial covenants and restrictions. The net proceeds we received from the OEG Term Loan were used to repay the outstanding balance of our former $300 million Term Loan A. At March 31, 2023, $7.0 million was outstanding under the OEG Revolver.</w:t>
      </w:r>
    </w:p>
    <w:p>
      <w:pPr>
        <w:spacing w:after="0" w:line="193" w:lineRule="exact"/>
        <w:rPr>
          <w:sz w:val="20"/>
          <w:szCs w:val="20"/>
          <w:color w:val="auto"/>
        </w:rPr>
      </w:pPr>
    </w:p>
    <w:p>
      <w:pPr>
        <w:ind w:left="60" w:right="439"/>
        <w:spacing w:after="0" w:line="261" w:lineRule="auto"/>
        <w:rPr>
          <w:sz w:val="20"/>
          <w:szCs w:val="20"/>
          <w:color w:val="auto"/>
        </w:rPr>
      </w:pPr>
      <w:r>
        <w:rPr>
          <w:rFonts w:ascii="Times New Roman" w:cs="Times New Roman" w:eastAsia="Times New Roman" w:hAnsi="Times New Roman"/>
          <w:sz w:val="18"/>
          <w:szCs w:val="18"/>
          <w:i w:val="1"/>
          <w:iCs w:val="1"/>
          <w:color w:val="auto"/>
        </w:rPr>
        <w:t>Block 21 CMBS Loan</w:t>
      </w:r>
      <w:r>
        <w:rPr>
          <w:rFonts w:ascii="Times New Roman" w:cs="Times New Roman" w:eastAsia="Times New Roman" w:hAnsi="Times New Roman"/>
          <w:sz w:val="18"/>
          <w:szCs w:val="18"/>
          <w:color w:val="auto"/>
        </w:rPr>
        <w:t>. At the closing of the purchase of Block 21 on May 31, 2022, a subsidiary of the Company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assumed the $136 million, ten-year, non-recourse term loan secured by a mortgage on Block 21 (the “Block 21 CMBS Loan”). The Block 21 CMBS Loan has a fixed interest rate of 5.58% per annum, payable monthly, matures January 5, 2026, and payments are due monthly based on a 30-year amortization.</w:t>
      </w:r>
    </w:p>
    <w:p>
      <w:pPr>
        <w:spacing w:after="0" w:line="155"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Block 21 CMBS Loan contains customary financial covenants and other restrictions, including sponsor net worth and liquidity requirements, and debt service coverage ratio targets that Block 21 must meet in order to avoid a “Trigger Period,” the occurrence of which does not constitute a default. During a Trigger Period, any cash generated in excess of amounts necessary to fund loan obligations, budgeted operating expenses and specified reserves will not be distributed to Block 21. Block 21 was in a Trigger Period as of our purchase date but exited the Trigger Period in the first quarter of 2023.</w:t>
      </w:r>
    </w:p>
    <w:p>
      <w:pPr>
        <w:spacing w:after="0" w:line="185" w:lineRule="exact"/>
        <w:rPr>
          <w:sz w:val="20"/>
          <w:szCs w:val="20"/>
          <w:color w:val="auto"/>
        </w:rPr>
      </w:pPr>
    </w:p>
    <w:p>
      <w:pPr>
        <w:ind w:left="60" w:right="79"/>
        <w:spacing w:after="0" w:line="284" w:lineRule="auto"/>
        <w:rPr>
          <w:sz w:val="20"/>
          <w:szCs w:val="20"/>
          <w:color w:val="auto"/>
        </w:rPr>
      </w:pPr>
      <w:r>
        <w:rPr>
          <w:rFonts w:ascii="Times New Roman" w:cs="Times New Roman" w:eastAsia="Times New Roman" w:hAnsi="Times New Roman"/>
          <w:sz w:val="18"/>
          <w:szCs w:val="18"/>
          <w:i w:val="1"/>
          <w:iCs w:val="1"/>
          <w:color w:val="auto"/>
        </w:rPr>
        <w:t>Additional Debt Limitations</w:t>
      </w:r>
      <w:r>
        <w:rPr>
          <w:rFonts w:ascii="Times New Roman" w:cs="Times New Roman" w:eastAsia="Times New Roman" w:hAnsi="Times New Roman"/>
          <w:sz w:val="18"/>
          <w:szCs w:val="18"/>
          <w:color w:val="auto"/>
        </w:rPr>
        <w:t>. Pursuant to the terms of the management agreements and pooling agreement with Marriott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Gaylord Hotels properties, excluding Gaylord Rockies, we are subject to certain debt limitations described below.</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management agreements provide for the following limitations on indebtedness encumbering a hotel:</w:t>
      </w:r>
    </w:p>
    <w:p>
      <w:pPr>
        <w:spacing w:after="0" w:line="198" w:lineRule="exact"/>
        <w:rPr>
          <w:sz w:val="20"/>
          <w:szCs w:val="20"/>
          <w:color w:val="auto"/>
        </w:rPr>
      </w:pPr>
    </w:p>
    <w:p>
      <w:pPr>
        <w:ind w:left="720" w:right="359" w:hanging="319"/>
        <w:spacing w:after="0" w:line="282"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encumbering the hotel shall be no greater than 75% of the fair market value of the hotel; and</w:t>
      </w:r>
    </w:p>
    <w:p>
      <w:pPr>
        <w:spacing w:after="0" w:line="121"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pooled limitations on Secured Debt (as defined in the pooling agreement) are as follows:</w:t>
      </w:r>
    </w:p>
    <w:p>
      <w:pPr>
        <w:spacing w:after="0" w:line="198" w:lineRule="exact"/>
        <w:rPr>
          <w:sz w:val="20"/>
          <w:szCs w:val="20"/>
          <w:color w:val="auto"/>
        </w:rPr>
      </w:pPr>
    </w:p>
    <w:p>
      <w:pPr>
        <w:ind w:left="720" w:right="19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balance of all mortgage and mezzanine debt on Pooled Hotels (as defined in the pooling agreement), shall be no more than 75% of the fair market value of Pooled Hotels.</w:t>
      </w:r>
    </w:p>
    <w:p>
      <w:pPr>
        <w:spacing w:after="0" w:line="12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(a) aggregate Operating Profit (as defined in the pooling agreement) of Pooled Hotels in the</w:t>
      </w:r>
    </w:p>
    <w:p>
      <w:pPr>
        <w:spacing w:after="0" w:line="27" w:lineRule="exact"/>
        <w:rPr>
          <w:rFonts w:ascii="Times New Roman" w:cs="Times New Roman" w:eastAsia="Times New Roman" w:hAnsi="Times New Roman"/>
          <w:sz w:val="18"/>
          <w:szCs w:val="18"/>
          <w:color w:val="auto"/>
        </w:rPr>
      </w:pPr>
    </w:p>
    <w:p>
      <w:pPr>
        <w:ind w:left="720" w:right="27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prior to closing on any mortgage or mezzanine debt to (b) annual debt service for the Pooled Hotels, shall equal or exceed 1.2:1.</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Gaylord Rockies is not a Pooled Hotel for this purpose.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Estimated Interest on Principal Debt Agreements</w:t>
      </w:r>
    </w:p>
    <w:p>
      <w:pPr>
        <w:spacing w:after="0" w:line="187" w:lineRule="exact"/>
        <w:rPr>
          <w:sz w:val="20"/>
          <w:szCs w:val="20"/>
          <w:color w:val="auto"/>
        </w:rPr>
      </w:pPr>
    </w:p>
    <w:p>
      <w:pPr>
        <w:jc w:val="both"/>
        <w:ind w:left="60" w:right="199"/>
        <w:spacing w:after="0" w:line="270" w:lineRule="auto"/>
        <w:rPr>
          <w:sz w:val="20"/>
          <w:szCs w:val="20"/>
          <w:color w:val="auto"/>
        </w:rPr>
      </w:pPr>
      <w:r>
        <w:rPr>
          <w:rFonts w:ascii="Times New Roman" w:cs="Times New Roman" w:eastAsia="Times New Roman" w:hAnsi="Times New Roman"/>
          <w:sz w:val="17"/>
          <w:szCs w:val="17"/>
          <w:color w:val="auto"/>
        </w:rPr>
        <w:t>Based on the stated interest rates on our fixed-rate debt and the rates in effect at March 31, 2023 for our variable-rate debt after considering interest rate swaps, our estimated interest obligations through 2027 are $474.7 million. These estimated obligations are $100.6 million for the remainder of 2023, $106.6 million in 2024, $96.7 million in 2025, $89.2 million in 2026, and $81.6 million in 2027. Variable rates, as well as outstanding principal balances, could change in future periods.</w:t>
      </w:r>
    </w:p>
    <w:p>
      <w:pPr>
        <w:spacing w:after="0" w:line="3"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See “Principal Debt Agreements” above for a discussion of our outstanding long-term debt. See “Supplemental Cash Flow Information” in Note 1 to the consolidated financial statements included in our Annual Report on Form 10-K for the year ended December 31, 2022 for a discussion of the interest we paid during 2022, 2021 and 2020.</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00"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Inflation has had a more meaningful impact on our business during recent periods than in historical periods. However, favorable occupancy, ADR and outside-the-room spend in our Hospitality segment and business levels in our Entertainment segment have reduced the impact of increased operating costs, including increased wages and food and beverage costs, on our financial position and results of operations. We continue to monitor inflationary pressures and may need to consider potential mitigation actions in future periods. A prolonged inflationary environment could adversely affect our operating costs, customer spending and bookings, and our financial results.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Guarantor Financial Information</w:t>
      </w:r>
    </w:p>
    <w:p>
      <w:pPr>
        <w:spacing w:after="0" w:line="187"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Company’s $600 Million 4.50% Senior Notes and $700 Million 4.75% Senior Notes were each issued by the Operating Partnership and RHP Finance Corporation, a Delaware corporation (collectively, the “Issuers”), and are guaranteed on a senior unsecured basis by the Company (as the parent company), each of the Operating Partnership’s subsidiaries that own the Gaylord Hotels properties, excluding Gaylord Rockies, and certain other of the Company’s subsidiaries, each of which also guarantees the Operating Partnership’s Credit Agreement, as amended (such subsidiary guarantors, together with the Company, the “Guarantors”). The Guarantors are 100% owned by the Operating Partnership or the Company, and the guarantees are full and unconditional and joint and several. The guarantees rank equally in right of payment with each Guarantor’s existing and future senior unsecured indebtedness and senior in right of payment to all future subordinated indebtedness, if any, of such Guarantor. Not all of the Company’s subsidiaries have guaranteed the Company’s $600 Million 4.50% Senior Notes and $700 Million 4.75% Senior Notes, and the guarantees are structurally subordinated to all indebtedness and other obligations of such subsidiaries that have not guaranteed the Company’s $600 Million 4.50% Senior Notes and $700 Million 4.75% Senior Notes.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the Issuers and the Guarantors on a combined basis. The intercompany balances and transactions between these parties, as well as any investments in or equity in earnings from non-guarantor subsidiaries, have been eliminated (amounts in thousands).</w:t>
      </w:r>
    </w:p>
    <w:p>
      <w:pPr>
        <w:spacing w:after="0" w:line="14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receivables due from non-guarantor subsidiaries</w:t>
            </w:r>
          </w:p>
        </w:tc>
        <w:tc>
          <w:tcPr>
            <w:tcW w:w="9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1,655,854</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assets</w:t>
            </w: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1,677,215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gridSpan w:val="4"/>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1,835,480</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Total noncontrolling interest</w:t>
            </w:r>
          </w:p>
        </w:tc>
        <w:tc>
          <w:tcPr>
            <w:tcW w:w="9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non-guarantor subsidiaries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106,475</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(excluding expenses to non-guarantor subsidiaries)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 to non-guarantor subsidiaries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72,308</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from non-guarantor subsidiaries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52,922</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53,515</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credit losses on financial assets, depreciation and amortization, income taxes,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2022. There were no newly identified critical accounting policies in the first three months of 2023, nor were there any material changes to the critical accounting policies and estimates discussed in our Annual Report on Form 10-K for the year ended December 31, 2022.</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market risks since December 31, 2022. For a discussion of the Company’s exposure to market risk, refer to the Company’s market risk disclosures set forth in Part II, Item 7A. “Quantitative and Qualitative Disclosures About Market Risk” of the Company’s Annual Report on Form 10-K for the year ended December 31, 2022.</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49" w:lineRule="exact"/>
        <w:rPr>
          <w:sz w:val="20"/>
          <w:szCs w:val="20"/>
          <w:color w:val="auto"/>
        </w:rPr>
      </w:pPr>
    </w:p>
    <w:p>
      <w:pPr>
        <w:ind w:left="60" w:right="319"/>
        <w:spacing w:after="0" w:line="312"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is a party to certain litigation in the ordinary course, as described in Note 14, “Commitments and Contingencies,” to our condensed consolidated financial statements included herein and which our management deems will not have a material effect on our financial statements.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Part I, Item 1A, “Risk Factors,” of our Annual Report on Form 10-K for the fiscal year ended December 31, 2022.</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Rule 10b5-1 Selling Plan</w:t>
      </w:r>
    </w:p>
    <w:p>
      <w:pPr>
        <w:spacing w:after="0" w:line="187" w:lineRule="exact"/>
        <w:rPr>
          <w:sz w:val="20"/>
          <w:szCs w:val="20"/>
          <w:color w:val="auto"/>
        </w:rPr>
      </w:pPr>
    </w:p>
    <w:p>
      <w:pPr>
        <w:ind w:left="60" w:right="279"/>
        <w:spacing w:after="0" w:line="255" w:lineRule="auto"/>
        <w:rPr>
          <w:sz w:val="20"/>
          <w:szCs w:val="20"/>
          <w:color w:val="auto"/>
        </w:rPr>
      </w:pPr>
      <w:r>
        <w:rPr>
          <w:rFonts w:ascii="Times New Roman" w:cs="Times New Roman" w:eastAsia="Times New Roman" w:hAnsi="Times New Roman"/>
          <w:sz w:val="18"/>
          <w:szCs w:val="18"/>
          <w:color w:val="auto"/>
        </w:rPr>
        <w:t>Colin V. Reed, Executive Chairman of the Board of Directors, entered into a pre-arranged stock selling plan on March 1, 2023. Mr. Reed’s plan provides for the sale of up to 109,089 shares of the Company’s common stock between May 30, 2023 and December 5, 2023. Sales of the shares of the Company’s common stock set forth in Mr. Reed’s trading plan, if any, will be made at or above a specified market price, which price is in excess of the market price of the Company’s common stock immediately prior to this filing. Mr. Reed’s trading plan was entered into during an open insider trading window and is intended to satisfy Rule 10b5-1(c) under the Exchange Act and the Company’s policies regarding insider transactions.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9"/>
          </w:tcPr>
          <w:p>
            <w:pPr>
              <w:ind w:left="2020"/>
              <w:spacing w:after="0"/>
              <w:rPr>
                <w:sz w:val="20"/>
                <w:szCs w:val="20"/>
                <w:color w:val="auto"/>
              </w:rPr>
            </w:pPr>
            <w:r>
              <w:rPr>
                <w:rFonts w:ascii="Times New Roman" w:cs="Times New Roman" w:eastAsia="Times New Roman" w:hAnsi="Times New Roman"/>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Amended and Restated Certificate of Incorporation of Ryman Hospitality Properties, Inc.</w:t>
              </w:r>
            </w:hyperlink>
          </w:p>
        </w:tc>
        <w:tc>
          <w:tcPr>
            <w:tcW w:w="100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1"/>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October 1, 2012).</w:t>
              </w:r>
            </w:hyperlink>
          </w:p>
        </w:tc>
        <w:tc>
          <w:tcPr>
            <w:tcW w:w="5460" w:type="dxa"/>
            <w:vAlign w:val="bottom"/>
            <w:tcBorders>
              <w:top w:val="single" w:sz="8" w:color="0000EE"/>
            </w:tcBorders>
            <w:gridSpan w:val="4"/>
          </w:tcPr>
          <w:p>
            <w:pPr>
              <w:spacing w:after="0"/>
              <w:rPr>
                <w:sz w:val="17"/>
                <w:szCs w:val="17"/>
                <w:color w:val="auto"/>
              </w:rPr>
            </w:pPr>
          </w:p>
        </w:tc>
        <w:tc>
          <w:tcPr>
            <w:tcW w:w="700" w:type="dxa"/>
            <w:vAlign w:val="bottom"/>
            <w:gridSpan w:val="5"/>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68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Second Amended and Restated Bylaws of Ryman Hospitality Properties, Inc. (incorporated by</w:t>
              </w:r>
            </w:hyperlink>
          </w:p>
        </w:tc>
        <w:tc>
          <w:tcPr>
            <w:tcW w:w="620" w:type="dxa"/>
            <w:vAlign w:val="bottom"/>
            <w:gridSpan w:val="4"/>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reference to Exhibit 3.2 to the Company’s Annual Report on Form 10-K filed February 24, 2023).</w:t>
              </w:r>
            </w:hyperlink>
          </w:p>
        </w:tc>
        <w:tc>
          <w:tcPr>
            <w:tcW w:w="380" w:type="dxa"/>
            <w:vAlign w:val="bottom"/>
            <w:gridSpan w:val="3"/>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72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with respect to time-based vesting restricted stock</w:t>
            </w:r>
          </w:p>
        </w:tc>
        <w:tc>
          <w:tcPr>
            <w:tcW w:w="240" w:type="dxa"/>
            <w:vAlign w:val="bottom"/>
            <w:gridSpan w:val="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units granted pursuant to the Company’s 2016 Omnibus Incentive Plan.</w:t>
            </w:r>
          </w:p>
        </w:tc>
        <w:tc>
          <w:tcPr>
            <w:tcW w:w="2280" w:type="dxa"/>
            <w:vAlign w:val="bottom"/>
            <w:gridSpan w:val="8"/>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73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with respect to performance-based vesting restricted</w:t>
            </w:r>
          </w:p>
        </w:tc>
        <w:tc>
          <w:tcPr>
            <w:tcW w:w="80" w:type="dxa"/>
            <w:vAlign w:val="bottom"/>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stock units granted pursuant to the Company’s 2016 Omnibus Incentive Plan.</w:t>
            </w:r>
          </w:p>
        </w:tc>
        <w:tc>
          <w:tcPr>
            <w:tcW w:w="1860" w:type="dxa"/>
            <w:vAlign w:val="bottom"/>
            <w:gridSpan w:val="7"/>
          </w:tcPr>
          <w:p>
            <w:pPr>
              <w:spacing w:after="0"/>
              <w:rPr>
                <w:sz w:val="17"/>
                <w:szCs w:val="17"/>
                <w:color w:val="auto"/>
              </w:rPr>
            </w:pPr>
          </w:p>
        </w:tc>
      </w:tr>
    </w:tbl>
    <w:p>
      <w:pPr>
        <w:spacing w:after="0" w:line="225" w:lineRule="exact"/>
        <w:rPr>
          <w:sz w:val="20"/>
          <w:szCs w:val="20"/>
          <w:color w:val="auto"/>
        </w:rPr>
      </w:pPr>
    </w:p>
    <w:p>
      <w:pPr>
        <w:ind w:left="1520" w:right="299" w:hanging="978"/>
        <w:spacing w:after="0" w:line="312" w:lineRule="auto"/>
        <w:tabs>
          <w:tab w:leader="none" w:pos="1520" w:val="left"/>
        </w:tabs>
        <w:numPr>
          <w:ilvl w:val="0"/>
          <w:numId w:val="19"/>
        </w:numPr>
        <w:rPr>
          <w:rFonts w:ascii="Times New Roman" w:cs="Times New Roman" w:eastAsia="Times New Roman" w:hAnsi="Times New Roman"/>
          <w:sz w:val="17"/>
          <w:szCs w:val="17"/>
          <w:u w:val="single" w:color="auto"/>
          <w:color w:val="0000EE"/>
        </w:rPr>
      </w:pPr>
      <w:hyperlink r:id="rId53">
        <w:r>
          <w:rPr>
            <w:rFonts w:ascii="Times New Roman" w:cs="Times New Roman" w:eastAsia="Times New Roman" w:hAnsi="Times New Roman"/>
            <w:sz w:val="17"/>
            <w:szCs w:val="17"/>
            <w:u w:val="single" w:color="auto"/>
            <w:color w:val="0000EE"/>
          </w:rPr>
          <w:t>List of Parent and Subsidiary Guarantors (incorporated by reference to Exhibit 22 to the Company’s</w:t>
        </w:r>
      </w:hyperlink>
      <w:r>
        <w:rPr>
          <w:rFonts w:ascii="Times New Roman" w:cs="Times New Roman" w:eastAsia="Times New Roman" w:hAnsi="Times New Roman"/>
          <w:sz w:val="17"/>
          <w:szCs w:val="17"/>
          <w:u w:val="single" w:color="auto"/>
          <w:color w:val="0000EE"/>
        </w:rPr>
        <w:t xml:space="preserve"> </w:t>
      </w:r>
      <w:hyperlink r:id="rId53">
        <w:r>
          <w:rPr>
            <w:rFonts w:ascii="Times New Roman" w:cs="Times New Roman" w:eastAsia="Times New Roman" w:hAnsi="Times New Roman"/>
            <w:sz w:val="17"/>
            <w:szCs w:val="17"/>
            <w:u w:val="single" w:color="auto"/>
            <w:color w:val="0000EE"/>
          </w:rPr>
          <w:t>Annual Report on Form 10-K for the year ended December 31, 2022, filed February 24, 2023).</w:t>
        </w:r>
      </w:hyperlink>
    </w:p>
    <w:p>
      <w:pPr>
        <w:spacing w:after="0" w:line="127" w:lineRule="exact"/>
        <w:rPr>
          <w:rFonts w:ascii="Times New Roman" w:cs="Times New Roman" w:eastAsia="Times New Roman" w:hAnsi="Times New Roman"/>
          <w:sz w:val="17"/>
          <w:szCs w:val="17"/>
          <w:color w:val="auto"/>
        </w:rPr>
      </w:pPr>
    </w:p>
    <w:tbl>
      <w:tblPr>
        <w:tblLayout w:type="fixed"/>
        <w:tblInd w:w="54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Mark Fioravanti pursuant to Section 302 of Sarbanes-Oxley Act of 2002.</w:t>
            </w:r>
          </w:p>
        </w:tc>
        <w:tc>
          <w:tcPr>
            <w:tcW w:w="980" w:type="dxa"/>
            <w:vAlign w:val="bottom"/>
            <w:gridSpan w:val="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Jennifer Hutcheson pursuant to Section 302 of Sarbanes-Oxley Act of 2002.</w:t>
            </w:r>
          </w:p>
        </w:tc>
        <w:tc>
          <w:tcPr>
            <w:tcW w:w="76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of Mark Fioravanti and Jennifer Hutcheson pursuant to 18 U.S.C. Section 1350, as</w:t>
            </w:r>
          </w:p>
        </w:tc>
      </w:tr>
      <w:tr>
        <w:trPr>
          <w:trHeight w:val="196"/>
        </w:trPr>
        <w:tc>
          <w:tcPr>
            <w:tcW w:w="980" w:type="dxa"/>
            <w:vAlign w:val="bottom"/>
          </w:tcPr>
          <w:p>
            <w:pPr>
              <w:spacing w:after="0"/>
              <w:rPr>
                <w:sz w:val="17"/>
                <w:szCs w:val="17"/>
                <w:color w:val="auto"/>
              </w:rPr>
            </w:pPr>
          </w:p>
        </w:tc>
        <w:tc>
          <w:tcPr>
            <w:tcW w:w="690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Sarbanes-Oxley Act of 2002.</w:t>
            </w:r>
          </w:p>
        </w:tc>
        <w:tc>
          <w:tcPr>
            <w:tcW w:w="50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46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r>
      <w:tr>
        <w:trPr>
          <w:trHeight w:val="4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following materials from Ryman Hospitality Properties, Inc.’s Quarterly Report on Form 10-Q for</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quarterly period ended March 31, 2023, formatted in Inline XBRL (eXtensible Business Reporting</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Language): (i) Condensed Consolidated Balance Sheets (unaudited) at March 31, 2023 and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 (ii) Condensed Consolidated Statements of Operations and Comprehensive</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Income (Loss) (unaudited) for the three months ended March 31, 2023 and 2022, (iii) Condensed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Consolidated Statements of Cash Flows (unaudited) for the three months ended March 31, 2023 and</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2022, (iv) Condensed Consolidated Statements of Equity (Deficit) (unaudited) for the three months</w:t>
            </w:r>
          </w:p>
        </w:tc>
      </w:tr>
      <w:tr>
        <w:trPr>
          <w:trHeight w:val="216"/>
        </w:trPr>
        <w:tc>
          <w:tcPr>
            <w:tcW w:w="980" w:type="dxa"/>
            <w:vAlign w:val="bottom"/>
          </w:tcPr>
          <w:p>
            <w:pPr>
              <w:spacing w:after="0"/>
              <w:rPr>
                <w:sz w:val="18"/>
                <w:szCs w:val="18"/>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ended March 31, 2023 and 2022, and (v) Notes to Condensed Consolidated Financial Statements</w:t>
            </w:r>
          </w:p>
        </w:tc>
      </w:tr>
      <w:tr>
        <w:trPr>
          <w:trHeight w:val="234"/>
        </w:trPr>
        <w:tc>
          <w:tcPr>
            <w:tcW w:w="980" w:type="dxa"/>
            <w:vAlign w:val="bottom"/>
          </w:tcPr>
          <w:p>
            <w:pPr>
              <w:spacing w:after="0"/>
              <w:rPr>
                <w:sz w:val="20"/>
                <w:szCs w:val="20"/>
                <w:color w:val="auto"/>
              </w:rPr>
            </w:pP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(unaudited).</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rFonts w:ascii="Times New Roman" w:cs="Times New Roman" w:eastAsia="Times New Roman" w:hAnsi="Times New Roman"/>
          <w:sz w:val="17"/>
          <w:szCs w:val="17"/>
          <w:color w:val="auto"/>
        </w:rPr>
      </w:pPr>
    </w:p>
    <w:p>
      <w:pPr>
        <w:ind w:left="360" w:hanging="310"/>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7"/>
          <w:szCs w:val="17"/>
          <w:color w:val="auto"/>
        </w:rPr>
      </w:pPr>
    </w:p>
    <w:p>
      <w:pPr>
        <w:ind w:left="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7"/>
          <w:szCs w:val="17"/>
          <w:color w:val="auto"/>
        </w:rPr>
      </w:pPr>
    </w:p>
    <w:p>
      <w:pPr>
        <w:ind w:left="380" w:hanging="330"/>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rFonts w:ascii="Times New Roman" w:cs="Times New Roman" w:eastAsia="Times New Roman" w:hAnsi="Times New Roman"/>
          <w:sz w:val="17"/>
          <w:szCs w:val="17"/>
          <w:color w:val="auto"/>
        </w:rPr>
      </w:pPr>
    </w:p>
    <w:p>
      <w:pPr>
        <w:jc w:val="both"/>
        <w:ind w:left="380" w:right="359" w:hanging="330"/>
        <w:spacing w:after="0" w:line="290" w:lineRule="auto"/>
        <w:tabs>
          <w:tab w:leader="none" w:pos="3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similar attachments have been omitted in reliance on Item 601(a)(5) of Regulation S-K. The Company will provide, on a supplemental basis, a copy of any omitted schedule or attachment to the Securities and</w:t>
      </w:r>
    </w:p>
    <w:p>
      <w:pPr>
        <w:spacing w:after="0" w:line="157" w:lineRule="exact"/>
        <w:rPr>
          <w:rFonts w:ascii="Times New Roman" w:cs="Times New Roman" w:eastAsia="Times New Roman" w:hAnsi="Times New Roman"/>
          <w:sz w:val="17"/>
          <w:szCs w:val="17"/>
          <w:color w:val="auto"/>
        </w:rPr>
      </w:pPr>
    </w:p>
    <w:p>
      <w:pPr>
        <w:jc w:val="both"/>
        <w:ind w:left="380" w:right="359" w:hanging="330"/>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in reliance on Item 601(a)(5) of Regulation S-K. The Company will provide, on a supplemental basis, a copy of any omitted schedule or attachment to the Securities and Exchange Commission or its staff upon request.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RYMAN HOSPITALITY PROPERTIES, INC.</w:t>
            </w:r>
          </w:p>
        </w:tc>
      </w:tr>
      <w:tr>
        <w:trPr>
          <w:trHeight w:val="432"/>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2023</w:t>
            </w: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Mark Fioravanti</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Mark Fioravanti</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2940" w:type="dxa"/>
            <w:vAlign w:val="bottom"/>
          </w:tcPr>
          <w:p>
            <w:pPr>
              <w:spacing w:after="0"/>
              <w:rPr>
                <w:sz w:val="24"/>
                <w:szCs w:val="24"/>
                <w:color w:val="auto"/>
              </w:rPr>
            </w:pPr>
          </w:p>
        </w:tc>
        <w:tc>
          <w:tcPr>
            <w:tcW w:w="596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By:/s/ Jennifer Hutcheson</w:t>
            </w:r>
          </w:p>
        </w:tc>
      </w:tr>
      <w:tr>
        <w:trPr>
          <w:trHeight w:val="191"/>
        </w:trPr>
        <w:tc>
          <w:tcPr>
            <w:tcW w:w="29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rPr>
              <w:t>Jennifer Hutcheson</w:t>
            </w:r>
          </w:p>
        </w:tc>
      </w:tr>
      <w:tr>
        <w:trPr>
          <w:trHeight w:val="216"/>
        </w:trPr>
        <w:tc>
          <w:tcPr>
            <w:tcW w:w="29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34"/>
        </w:trPr>
        <w:tc>
          <w:tcPr>
            <w:tcW w:w="29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22"/>
          <w:szCs w:val="22"/>
          <w:b w:val="1"/>
          <w:bCs w:val="1"/>
          <w:color w:val="auto"/>
        </w:rPr>
        <w:t>FORM OF TIME-BASED RESTRICTED STOCK UNIT AWARD AGREEMENT</w:t>
      </w:r>
    </w:p>
    <w:p>
      <w:pPr>
        <w:spacing w:after="0" w:line="166"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NOTICE OF TIME-BASED RESTRICTED STOCK UNIT AWARD</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 Name: ###PARTICIPANT_NAME###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Name: ###GRANT_NAME###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Date: ###GRANT_DATE###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Type: ###DICTIONARY_AWARD_NAME###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Quantity: ###TOTAL_AWARDS###</w:t>
      </w:r>
    </w:p>
    <w:p>
      <w:pPr>
        <w:spacing w:after="0" w:line="212" w:lineRule="exact"/>
        <w:rPr>
          <w:sz w:val="20"/>
          <w:szCs w:val="20"/>
          <w:color w:val="auto"/>
        </w:rPr>
      </w:pPr>
    </w:p>
    <w:p>
      <w:pPr>
        <w:ind w:left="200"/>
        <w:spacing w:after="0"/>
        <w:tabs>
          <w:tab w:leader="none" w:pos="2140" w:val="left"/>
        </w:tabs>
        <w:rPr>
          <w:sz w:val="20"/>
          <w:szCs w:val="20"/>
          <w:color w:val="auto"/>
        </w:rPr>
      </w:pPr>
      <w:r>
        <w:rPr>
          <w:rFonts w:ascii="Arial" w:cs="Arial" w:eastAsia="Arial" w:hAnsi="Arial"/>
          <w:sz w:val="18"/>
          <w:szCs w:val="18"/>
          <w:b w:val="1"/>
          <w:bCs w:val="1"/>
          <w:color w:val="auto"/>
        </w:rPr>
        <w:t>Vest Schedule:</w:t>
      </w:r>
      <w:r>
        <w:rPr>
          <w:sz w:val="20"/>
          <w:szCs w:val="20"/>
          <w:color w:val="auto"/>
        </w:rPr>
        <w:tab/>
      </w:r>
      <w:r>
        <w:rPr>
          <w:rFonts w:ascii="Arial" w:cs="Arial" w:eastAsia="Arial" w:hAnsi="Arial"/>
          <w:sz w:val="17"/>
          <w:szCs w:val="17"/>
          <w:b w:val="1"/>
          <w:bCs w:val="1"/>
          <w:color w:val="auto"/>
        </w:rPr>
        <w:t>###VEST_SCHEDULE_TABLE###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54521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right="819"/>
        <w:spacing w:after="0" w:line="325" w:lineRule="auto"/>
        <w:rPr>
          <w:sz w:val="20"/>
          <w:szCs w:val="20"/>
          <w:color w:val="auto"/>
        </w:rPr>
      </w:pPr>
      <w:r>
        <w:rPr>
          <w:rFonts w:ascii="Arial" w:cs="Arial" w:eastAsia="Arial" w:hAnsi="Arial"/>
          <w:sz w:val="17"/>
          <w:szCs w:val="17"/>
          <w:b w:val="1"/>
          <w:bCs w:val="1"/>
          <w:i w:val="1"/>
          <w:iCs w:val="1"/>
          <w:color w:val="auto"/>
        </w:rPr>
        <w:t>By accepting this Restricted Stock Unit Award, by means of execution and delivery of the accompanying Restricted Stock Unit Award Agreement (the “Award Agreement”) you hereby:</w:t>
      </w:r>
    </w:p>
    <w:p>
      <w:pPr>
        <w:spacing w:after="0" w:line="119" w:lineRule="exact"/>
        <w:rPr>
          <w:sz w:val="20"/>
          <w:szCs w:val="20"/>
          <w:color w:val="auto"/>
        </w:rPr>
      </w:pPr>
    </w:p>
    <w:p>
      <w:pPr>
        <w:ind w:left="200" w:right="279" w:firstLine="9"/>
        <w:spacing w:after="0" w:line="280" w:lineRule="auto"/>
        <w:tabs>
          <w:tab w:leader="none" w:pos="848"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Acknowledge that you have received a copy of (1) Ryman Hospitality Properties, Inc.’s Code of Business Conduct and Ethics (attached as </w:t>
      </w:r>
      <w:r>
        <w:rPr>
          <w:rFonts w:ascii="Arial" w:cs="Arial" w:eastAsia="Arial" w:hAnsi="Arial"/>
          <w:sz w:val="18"/>
          <w:szCs w:val="18"/>
          <w:b w:val="1"/>
          <w:bCs w:val="1"/>
          <w:i w:val="1"/>
          <w:iCs w:val="1"/>
          <w:u w:val="single" w:color="auto"/>
          <w:color w:val="auto"/>
        </w:rPr>
        <w:t>Exhibit A</w:t>
      </w:r>
      <w:r>
        <w:rPr>
          <w:rFonts w:ascii="Arial" w:cs="Arial" w:eastAsia="Arial" w:hAnsi="Arial"/>
          <w:sz w:val="18"/>
          <w:szCs w:val="18"/>
          <w:b w:val="1"/>
          <w:bCs w:val="1"/>
          <w:i w:val="1"/>
          <w:iCs w:val="1"/>
          <w:color w:val="auto"/>
        </w:rPr>
        <w:t xml:space="preserve"> to the Award Agreement), (2) Ryman’s Statement of Company Policy Regarding Insider Trading (attached as </w:t>
      </w:r>
      <w:r>
        <w:rPr>
          <w:rFonts w:ascii="Arial" w:cs="Arial" w:eastAsia="Arial" w:hAnsi="Arial"/>
          <w:sz w:val="18"/>
          <w:szCs w:val="18"/>
          <w:b w:val="1"/>
          <w:bCs w:val="1"/>
          <w:i w:val="1"/>
          <w:iCs w:val="1"/>
          <w:u w:val="single" w:color="auto"/>
          <w:color w:val="auto"/>
        </w:rPr>
        <w:t>Exhibit B</w:t>
      </w:r>
      <w:r>
        <w:rPr>
          <w:rFonts w:ascii="Arial" w:cs="Arial" w:eastAsia="Arial" w:hAnsi="Arial"/>
          <w:sz w:val="18"/>
          <w:szCs w:val="18"/>
          <w:b w:val="1"/>
          <w:bCs w:val="1"/>
          <w:i w:val="1"/>
          <w:iCs w:val="1"/>
          <w:color w:val="auto"/>
        </w:rPr>
        <w:t xml:space="preserve"> to the Award Agreement), and (3) if applicable to you, Ryman’s Statement of Company Policy Regarding Special Trading Procedures (attached as </w:t>
      </w:r>
      <w:r>
        <w:rPr>
          <w:rFonts w:ascii="Arial" w:cs="Arial" w:eastAsia="Arial" w:hAnsi="Arial"/>
          <w:sz w:val="18"/>
          <w:szCs w:val="18"/>
          <w:b w:val="1"/>
          <w:bCs w:val="1"/>
          <w:i w:val="1"/>
          <w:iCs w:val="1"/>
          <w:u w:val="single" w:color="auto"/>
          <w:color w:val="auto"/>
        </w:rPr>
        <w:t>Exhibit C</w:t>
      </w:r>
      <w:r>
        <w:rPr>
          <w:rFonts w:ascii="Arial" w:cs="Arial" w:eastAsia="Arial" w:hAnsi="Arial"/>
          <w:sz w:val="18"/>
          <w:szCs w:val="18"/>
          <w:b w:val="1"/>
          <w:bCs w:val="1"/>
          <w:i w:val="1"/>
          <w:iCs w:val="1"/>
          <w:color w:val="auto"/>
        </w:rPr>
        <w:t xml:space="preserve"> to the Award Agreement); and</w:t>
      </w:r>
    </w:p>
    <w:p>
      <w:pPr>
        <w:spacing w:after="0" w:line="169" w:lineRule="exact"/>
        <w:rPr>
          <w:rFonts w:ascii="Arial" w:cs="Arial" w:eastAsia="Arial" w:hAnsi="Arial"/>
          <w:sz w:val="18"/>
          <w:szCs w:val="18"/>
          <w:b w:val="1"/>
          <w:bCs w:val="1"/>
          <w:i w:val="1"/>
          <w:iCs w:val="1"/>
          <w:color w:val="auto"/>
        </w:rPr>
      </w:pPr>
    </w:p>
    <w:p>
      <w:pPr>
        <w:ind w:left="200" w:right="319" w:firstLine="9"/>
        <w:spacing w:after="0" w:line="288" w:lineRule="auto"/>
        <w:tabs>
          <w:tab w:leader="none" w:pos="848"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Certify that you have read, understand and will comply with the policies and procedures set forth in such documents, and acknowledge your understanding that your failure to comply with these policies can be a basis for termination of your employment with Ryman.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[Award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788035</wp:posOffset>
            </wp:positionV>
            <wp:extent cx="545211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jc w:val="center"/>
        <w:ind w:left="1760" w:right="100"/>
        <w:spacing w:after="0" w:line="432" w:lineRule="auto"/>
        <w:rPr>
          <w:sz w:val="20"/>
          <w:szCs w:val="20"/>
          <w:color w:val="auto"/>
        </w:rPr>
      </w:pPr>
      <w:r>
        <w:rPr>
          <w:rFonts w:ascii="Arial" w:cs="Arial" w:eastAsia="Arial" w:hAnsi="Arial"/>
          <w:sz w:val="25"/>
          <w:szCs w:val="25"/>
          <w:b w:val="1"/>
          <w:bCs w:val="1"/>
          <w:color w:val="auto"/>
        </w:rPr>
        <w:t>Ryman Hospitality Properties, Inc. - 2016 Omnibus Incentive Plan 2023 TIME-BASED RESTRICTED STOCK UNIT AWARD AGREEMENT</w:t>
      </w:r>
    </w:p>
    <w:p>
      <w:pPr>
        <w:spacing w:after="0" w:line="1" w:lineRule="exact"/>
        <w:rPr>
          <w:sz w:val="20"/>
          <w:szCs w:val="20"/>
          <w:color w:val="auto"/>
        </w:rPr>
      </w:pPr>
    </w:p>
    <w:p>
      <w:pPr>
        <w:ind w:left="200" w:right="379"/>
        <w:spacing w:after="0" w:line="275" w:lineRule="auto"/>
        <w:rPr>
          <w:sz w:val="20"/>
          <w:szCs w:val="20"/>
          <w:color w:val="auto"/>
        </w:rPr>
      </w:pPr>
      <w:r>
        <w:rPr>
          <w:rFonts w:ascii="Arial" w:cs="Arial" w:eastAsia="Arial" w:hAnsi="Arial"/>
          <w:sz w:val="16"/>
          <w:szCs w:val="16"/>
          <w:color w:val="auto"/>
        </w:rPr>
        <w:t>This Time-Based Restricted Stock Unit Award Agreement (the “Agreement”) is made as of ###GRANT_DATE### (the “Grant Date”), between Ryman Hospitality Properties, Inc. (the “Company”) and ###PARTICIPANT_NAME### (“Grantee”).</w:t>
      </w:r>
    </w:p>
    <w:p>
      <w:pPr>
        <w:spacing w:after="0" w:line="137" w:lineRule="exact"/>
        <w:rPr>
          <w:sz w:val="20"/>
          <w:szCs w:val="20"/>
          <w:color w:val="auto"/>
        </w:rPr>
      </w:pPr>
    </w:p>
    <w:p>
      <w:pPr>
        <w:ind w:left="840" w:hanging="631"/>
        <w:spacing w:after="0"/>
        <w:tabs>
          <w:tab w:leader="none" w:pos="840" w:val="left"/>
        </w:tabs>
        <w:numPr>
          <w:ilvl w:val="0"/>
          <w:numId w:val="25"/>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w:t>
      </w:r>
    </w:p>
    <w:p>
      <w:pPr>
        <w:spacing w:after="0" w:line="208" w:lineRule="exact"/>
        <w:rPr>
          <w:sz w:val="20"/>
          <w:szCs w:val="20"/>
          <w:color w:val="auto"/>
        </w:rPr>
      </w:pPr>
    </w:p>
    <w:p>
      <w:pPr>
        <w:ind w:left="200" w:right="359" w:firstLine="9"/>
        <w:spacing w:after="0" w:line="265" w:lineRule="auto"/>
        <w:tabs>
          <w:tab w:leader="none" w:pos="803"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Pursuant to the Company’s 2016 Omnibus Incentive Plan (the “Plan”), upon acceptance by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will receive an award (the “Award”) of ###TOTAL_AWARDS### Restricted Stock Units, subject to the terms and conditions set forth in this Agreement and the Plan. A bookkeeping account will be maintained by the Company to keep track of the Restricted Stock Units and any dividend equivalent rights that may accrue as provided in Section 4.</w:t>
      </w:r>
    </w:p>
    <w:p>
      <w:pPr>
        <w:spacing w:after="0" w:line="145" w:lineRule="exact"/>
        <w:rPr>
          <w:rFonts w:ascii="Arial" w:cs="Arial" w:eastAsia="Arial" w:hAnsi="Arial"/>
          <w:sz w:val="16"/>
          <w:szCs w:val="16"/>
          <w:color w:val="auto"/>
        </w:rPr>
      </w:pPr>
    </w:p>
    <w:p>
      <w:pPr>
        <w:jc w:val="both"/>
        <w:ind w:left="200" w:right="699" w:firstLine="9"/>
        <w:spacing w:after="0" w:line="275" w:lineRule="auto"/>
        <w:tabs>
          <w:tab w:leader="none" w:pos="893"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Acceptance of Award</w:t>
      </w:r>
      <w:r>
        <w:rPr>
          <w:rFonts w:ascii="Arial" w:cs="Arial" w:eastAsia="Arial" w:hAnsi="Arial"/>
          <w:sz w:val="16"/>
          <w:szCs w:val="16"/>
          <w:color w:val="auto"/>
        </w:rPr>
        <w:t>. Grantee shall execute and deliver to the Company a copy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accept the Award, which may be by means of electronic signature or by means of the Company’s equity incentive management plan software portal.</w:t>
      </w:r>
    </w:p>
    <w:p>
      <w:pPr>
        <w:spacing w:after="0" w:line="137" w:lineRule="exact"/>
        <w:rPr>
          <w:rFonts w:ascii="Arial" w:cs="Arial" w:eastAsia="Arial" w:hAnsi="Arial"/>
          <w:sz w:val="16"/>
          <w:szCs w:val="16"/>
          <w:color w:val="auto"/>
        </w:rPr>
      </w:pPr>
    </w:p>
    <w:p>
      <w:pPr>
        <w:jc w:val="both"/>
        <w:ind w:left="200" w:right="339" w:firstLine="9"/>
        <w:spacing w:after="0" w:line="259" w:lineRule="auto"/>
        <w:tabs>
          <w:tab w:leader="none" w:pos="88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Plan Incorporated</w:t>
      </w:r>
      <w:r>
        <w:rPr>
          <w:rFonts w:ascii="Arial" w:cs="Arial" w:eastAsia="Arial" w:hAnsi="Arial"/>
          <w:sz w:val="16"/>
          <w:szCs w:val="16"/>
          <w:color w:val="auto"/>
        </w:rPr>
        <w:t>. Grantee acknowledges receipt of a copy of the Plan and agrees that this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governed by all of the terms and conditions set forth in the Plan, including future amendments thereto, if any, pursuant to the terms thereof, which Plan is incorporated herein by reference as a part of this Agreement.</w:t>
      </w:r>
    </w:p>
    <w:p>
      <w:pPr>
        <w:ind w:left="200" w:right="899"/>
        <w:spacing w:after="0" w:line="265" w:lineRule="auto"/>
        <w:rPr>
          <w:rFonts w:ascii="Arial" w:cs="Arial" w:eastAsia="Arial" w:hAnsi="Arial"/>
          <w:sz w:val="16"/>
          <w:szCs w:val="16"/>
          <w:color w:val="auto"/>
        </w:rPr>
      </w:pPr>
      <w:r>
        <w:rPr>
          <w:rFonts w:ascii="Arial" w:cs="Arial" w:eastAsia="Arial" w:hAnsi="Arial"/>
          <w:sz w:val="16"/>
          <w:szCs w:val="16"/>
          <w:color w:val="auto"/>
        </w:rPr>
        <w:t>Capitalized terms in this Agreement shall have the meaning specified in the Plan, unless a different meaning is specified herein.</w:t>
      </w:r>
    </w:p>
    <w:p>
      <w:pPr>
        <w:spacing w:after="0" w:line="158" w:lineRule="exact"/>
        <w:rPr>
          <w:rFonts w:ascii="Arial" w:cs="Arial" w:eastAsia="Arial" w:hAnsi="Arial"/>
          <w:sz w:val="16"/>
          <w:szCs w:val="16"/>
          <w:color w:val="auto"/>
        </w:rPr>
      </w:pPr>
    </w:p>
    <w:p>
      <w:pPr>
        <w:ind w:left="200" w:right="339" w:firstLine="9"/>
        <w:spacing w:after="0" w:line="260" w:lineRule="auto"/>
        <w:tabs>
          <w:tab w:leader="none" w:pos="848"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Forfeiture; Transferability</w:t>
      </w:r>
      <w:r>
        <w:rPr>
          <w:rFonts w:ascii="Arial" w:cs="Arial" w:eastAsia="Arial" w:hAnsi="Arial"/>
          <w:sz w:val="16"/>
          <w:szCs w:val="16"/>
          <w:color w:val="auto"/>
        </w:rPr>
        <w:t>. Grantee’s rights with respect to any unvested portion of the Award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forfeitable at all times prior to the dates on which the Restricted Period (as defined below) of such portion of the Award shall expire or terminate in accordance with Section 2. This Award may not be assigned, alienated, pledged, attached, sold or otherwise transferred or encumbered by Grantee other than by will or the laws of descent and distribution or as otherwise permitted by the Plan.</w:t>
      </w:r>
    </w:p>
    <w:p>
      <w:pPr>
        <w:spacing w:after="0" w:line="164" w:lineRule="exact"/>
        <w:rPr>
          <w:sz w:val="20"/>
          <w:szCs w:val="20"/>
          <w:color w:val="auto"/>
        </w:rPr>
      </w:pPr>
    </w:p>
    <w:p>
      <w:pPr>
        <w:ind w:left="860" w:hanging="651"/>
        <w:spacing w:after="0"/>
        <w:tabs>
          <w:tab w:leader="none" w:pos="8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the Award</w:t>
      </w:r>
      <w:r>
        <w:rPr>
          <w:rFonts w:ascii="Arial" w:cs="Arial" w:eastAsia="Arial" w:hAnsi="Arial"/>
          <w:sz w:val="16"/>
          <w:szCs w:val="16"/>
          <w:b w:val="1"/>
          <w:bCs w:val="1"/>
          <w:color w:val="auto"/>
        </w:rPr>
        <w:t>.</w:t>
      </w:r>
    </w:p>
    <w:p>
      <w:pPr>
        <w:spacing w:after="0" w:line="194" w:lineRule="exact"/>
        <w:rPr>
          <w:sz w:val="20"/>
          <w:szCs w:val="20"/>
          <w:color w:val="auto"/>
        </w:rPr>
      </w:pPr>
    </w:p>
    <w:p>
      <w:pPr>
        <w:ind w:left="200" w:right="359" w:firstLine="9"/>
        <w:spacing w:after="0" w:line="265" w:lineRule="auto"/>
        <w:tabs>
          <w:tab w:leader="none" w:pos="848"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herein and subject to such other exceptions as may be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Committee in its sole discretion (subject to Section 7.5 of the Plan), the “Restricted Period” with respect to each Restricted Stock Unit contained in the Award means the period beginning on the Grant Date and expiring with respect to each such Restricted Stock Unit as follows:</w:t>
      </w:r>
    </w:p>
    <w:p>
      <w:pPr>
        <w:spacing w:after="0" w:line="14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###VEST_SCHEDULE_TABLE###</w:t>
      </w:r>
    </w:p>
    <w:p>
      <w:pPr>
        <w:spacing w:after="0" w:line="208" w:lineRule="exact"/>
        <w:rPr>
          <w:sz w:val="20"/>
          <w:szCs w:val="20"/>
          <w:color w:val="auto"/>
        </w:rPr>
      </w:pPr>
    </w:p>
    <w:p>
      <w:pPr>
        <w:ind w:left="200" w:right="359" w:firstLine="9"/>
        <w:spacing w:after="0" w:line="257" w:lineRule="auto"/>
        <w:tabs>
          <w:tab w:leader="none" w:pos="84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w:t>
      </w:r>
      <w:r>
        <w:rPr>
          <w:rFonts w:ascii="Arial" w:cs="Arial" w:eastAsia="Arial" w:hAnsi="Arial"/>
          <w:sz w:val="16"/>
          <w:szCs w:val="16"/>
          <w:color w:val="auto"/>
        </w:rPr>
        <w:t>Except as otherwise determined by the Committee in its sole</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 at or after the grant of the Award hereunder (subject to Section 7.5 of the Plan), in the event that Grantee’s employment with the Company or its Subsidiaries or Affiliates is terminated (other than by reason of death, Disability or an approved retirement of such Grantee (as determined by the Committee in its sole discretion) prior to the expiration or termination of the Restricted Period applicable to any Restricted Stock Units (including dividend equivalent rights related thereto that have accrued pursuant to Section 4) granted hereby, Grantee shall forfeit such Restricted Stock Units as to which the Restricted Period has not expired, and all of Grantee’s rights with respect thereto shall cease.</w:t>
      </w:r>
    </w:p>
    <w:p>
      <w:pPr>
        <w:spacing w:after="0" w:line="348" w:lineRule="exact"/>
        <w:rPr>
          <w:rFonts w:ascii="Arial" w:cs="Arial" w:eastAsia="Arial" w:hAnsi="Arial"/>
          <w:sz w:val="16"/>
          <w:szCs w:val="16"/>
          <w:color w:val="auto"/>
        </w:rPr>
      </w:pPr>
    </w:p>
    <w:p>
      <w:pPr>
        <w:ind w:left="200" w:right="339" w:firstLine="9"/>
        <w:spacing w:after="0" w:line="259" w:lineRule="auto"/>
        <w:tabs>
          <w:tab w:leader="none" w:pos="84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Due to Death, Disability or Approved Retirement. </w:t>
      </w:r>
      <w:r>
        <w:rPr>
          <w:rFonts w:ascii="Arial" w:cs="Arial" w:eastAsia="Arial" w:hAnsi="Arial"/>
          <w:sz w:val="16"/>
          <w:szCs w:val="16"/>
          <w:color w:val="auto"/>
        </w:rPr>
        <w:t>If Grantee’s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or Affiliates is terminated because of death, Disability or an approved retirement of such Grantee (as determined by the Committee in its sole discretion), the Restricted Period shall automatically terminate as to all Restricted Stock Units (including all dividend equivalent rights related thereto that have accrued pursuant to Section 4) awarded hereunder (as to which such Restricted Period has not previously terminated) and the Shares shall thereafter be issued to Grantee (or to Grantee’s transferee pursuant to Section 1(d) as the case may be) in accordance with Section 3.</w:t>
      </w:r>
    </w:p>
    <w:p>
      <w:pPr>
        <w:spacing w:after="0" w:line="149" w:lineRule="exact"/>
        <w:rPr>
          <w:rFonts w:ascii="Arial" w:cs="Arial" w:eastAsia="Arial" w:hAnsi="Arial"/>
          <w:sz w:val="16"/>
          <w:szCs w:val="16"/>
          <w:color w:val="auto"/>
        </w:rPr>
      </w:pPr>
    </w:p>
    <w:p>
      <w:pPr>
        <w:ind w:left="200" w:right="399" w:firstLine="9"/>
        <w:spacing w:after="0" w:line="275" w:lineRule="auto"/>
        <w:tabs>
          <w:tab w:leader="none" w:pos="848"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Vesting on Change of Control. </w:t>
      </w:r>
      <w:r>
        <w:rPr>
          <w:rFonts w:ascii="Arial" w:cs="Arial" w:eastAsia="Arial" w:hAnsi="Arial"/>
          <w:sz w:val="16"/>
          <w:szCs w:val="16"/>
          <w:color w:val="auto"/>
        </w:rPr>
        <w:t>Notwithstanding anything contained herein to the contrary,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occurrence of a Change in Control (as defined in the Plan) the Restricted Period shall automatically terminate as to all Restricted Stock Units (including all dividend equivalent rights related thereto that have accrued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318770</wp:posOffset>
            </wp:positionV>
            <wp:extent cx="54521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46" w:name="page47"/>
    <w:bookmarkEnd w:id="46"/>
    <w:p>
      <w:pPr>
        <w:ind w:left="200" w:right="399"/>
        <w:spacing w:after="0" w:line="275" w:lineRule="auto"/>
        <w:rPr>
          <w:sz w:val="20"/>
          <w:szCs w:val="20"/>
          <w:color w:val="auto"/>
        </w:rPr>
      </w:pPr>
      <w:r>
        <w:rPr>
          <w:rFonts w:ascii="Arial" w:cs="Arial" w:eastAsia="Arial" w:hAnsi="Arial"/>
          <w:sz w:val="16"/>
          <w:szCs w:val="16"/>
          <w:color w:val="auto"/>
        </w:rPr>
        <w:t>Section 4) awarded hereunder (as to which such Restricted Period has not previously terminated) and the Shares shall thereafter be issued to Grantee (or to Grantee’s transferee pursuant to Section 1(d) as the case may be) in accordance with Section 3.</w:t>
      </w:r>
    </w:p>
    <w:p>
      <w:pPr>
        <w:spacing w:after="0" w:line="137" w:lineRule="exact"/>
        <w:rPr>
          <w:sz w:val="20"/>
          <w:szCs w:val="20"/>
          <w:color w:val="auto"/>
        </w:rPr>
      </w:pPr>
    </w:p>
    <w:p>
      <w:pPr>
        <w:ind w:left="200" w:right="359" w:firstLine="9"/>
        <w:spacing w:after="0" w:line="259" w:lineRule="auto"/>
        <w:tabs>
          <w:tab w:leader="none" w:pos="848"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Vested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be entitled to receive one Share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with respect to which the Restricted Period expires pursuant to Section 2 or otherwise terminates. Subject to the provisions of the Plan and Section 8(a) hereof, such payment shall be made through the issuance to Grantee, as promptly as practicable thereafter (or to the executors or administrators of Grantee’s estate, as promptly as practicable after the Company’s receipt of notification of Grantee’s death, as the case may be), of a number of Shares equal to the number of such Restricted Stock Units with respect to which the Restricted Period shall have expired or terminated.</w:t>
      </w:r>
    </w:p>
    <w:p>
      <w:pPr>
        <w:spacing w:after="0" w:line="149" w:lineRule="exact"/>
        <w:rPr>
          <w:rFonts w:ascii="Arial" w:cs="Arial" w:eastAsia="Arial" w:hAnsi="Arial"/>
          <w:sz w:val="16"/>
          <w:szCs w:val="16"/>
          <w:b w:val="1"/>
          <w:bCs w:val="1"/>
          <w:color w:val="auto"/>
        </w:rPr>
      </w:pPr>
    </w:p>
    <w:p>
      <w:pPr>
        <w:ind w:left="860" w:hanging="651"/>
        <w:spacing w:after="0"/>
        <w:tabs>
          <w:tab w:leader="none" w:pos="86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w:t>
      </w:r>
      <w:r>
        <w:rPr>
          <w:rFonts w:ascii="Arial" w:cs="Arial" w:eastAsia="Arial" w:hAnsi="Arial"/>
          <w:sz w:val="16"/>
          <w:szCs w:val="16"/>
          <w:b w:val="1"/>
          <w:bCs w:val="1"/>
          <w:color w:val="auto"/>
        </w:rPr>
        <w:t>.</w:t>
      </w:r>
    </w:p>
    <w:p>
      <w:pPr>
        <w:spacing w:after="0" w:line="221" w:lineRule="exact"/>
        <w:rPr>
          <w:sz w:val="20"/>
          <w:szCs w:val="20"/>
          <w:color w:val="auto"/>
        </w:rPr>
      </w:pPr>
    </w:p>
    <w:p>
      <w:pPr>
        <w:ind w:left="200" w:right="339" w:firstLine="9"/>
        <w:spacing w:after="0" w:line="255"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Dividend Equivalent Rights; Committee Determination</w:t>
      </w:r>
      <w:r>
        <w:rPr>
          <w:rFonts w:ascii="Arial" w:cs="Arial" w:eastAsia="Arial" w:hAnsi="Arial"/>
          <w:sz w:val="16"/>
          <w:szCs w:val="16"/>
          <w:color w:val="auto"/>
        </w:rPr>
        <w:t>. Grantee shall receive dividend equivalent rights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the Restricted Stock Units granted pursuant to this Agreement as of the record date for any dividends payable to stockholders on Shares; provided that unless otherwise determined by the Committee, dividend equivalent rights in respect of any dividend payable to stockholders in cash shall be granted in the form of cash accruals, and dividend equivalent rights in respect of any dividend payable to stockholders in the form of Shares or other property shall be granted in the form of additional Restricted Stock Units (such additional Restricted Stock Units, “Dividend Equivalent Units”). For the avoidance of doubt, no dividend equivalent rights shall accrue under this Section 4(a) with respect to a distribution in the event that the Committee provides for dividend equivalent rights or other adjustments pursuant to Section 6 with respect to such distribution.</w:t>
      </w:r>
    </w:p>
    <w:p>
      <w:pPr>
        <w:spacing w:after="0" w:line="184" w:lineRule="exact"/>
        <w:rPr>
          <w:rFonts w:ascii="Arial" w:cs="Arial" w:eastAsia="Arial" w:hAnsi="Arial"/>
          <w:sz w:val="16"/>
          <w:szCs w:val="16"/>
          <w:color w:val="auto"/>
        </w:rPr>
      </w:pPr>
    </w:p>
    <w:p>
      <w:pPr>
        <w:ind w:left="200" w:right="359" w:firstLine="9"/>
        <w:spacing w:after="0" w:line="254"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Dividend Equivalents Accrued in Cash. </w:t>
      </w:r>
      <w:r>
        <w:rPr>
          <w:rFonts w:ascii="Arial" w:cs="Arial" w:eastAsia="Arial" w:hAnsi="Arial"/>
          <w:sz w:val="16"/>
          <w:szCs w:val="16"/>
          <w:color w:val="auto"/>
        </w:rPr>
        <w:t>With respect to any dividend equivalent rights in respect of a</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 payable to stockholders in cash that are granted in the form of a cash accrual, at the time any dividend is paid to stockholders on Shares in the form of cash, each Restricted Stock Unit (and each previously granted Dividend Equivalent Unit) granted pursuant to this Agreement and outstanding on the applicable dividend record date will be credited with an amount of cash equal to the cash dividend payable per Share paid to a stockholder as of such time. With respect to any dividend equivalent rights in respect of a dividend payable to stockholders in the form of Shares or other property that are granted in the form of a cash accrual, at the time any dividend is paid to stockholders on Shares in the form of Shares or other property, each Restricted Stock Unit (and each previously accrued Dividend Equivalent Unit) granted pursuant to this Agreement and outstanding on the applicable dividend record date will be credited with an amount of cash equal to the Fair Market Value of the Shares, or of such other property, payable per Share to a stockholder as of such time.</w:t>
      </w:r>
    </w:p>
    <w:p>
      <w:pPr>
        <w:spacing w:after="0" w:line="180" w:lineRule="exact"/>
        <w:rPr>
          <w:rFonts w:ascii="Arial" w:cs="Arial" w:eastAsia="Arial" w:hAnsi="Arial"/>
          <w:sz w:val="16"/>
          <w:szCs w:val="16"/>
          <w:color w:val="auto"/>
        </w:rPr>
      </w:pPr>
    </w:p>
    <w:p>
      <w:pPr>
        <w:ind w:left="200" w:right="359" w:firstLine="9"/>
        <w:spacing w:after="0" w:line="254"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Dividend Equivalent Units. </w:t>
      </w:r>
      <w:r>
        <w:rPr>
          <w:rFonts w:ascii="Arial" w:cs="Arial" w:eastAsia="Arial" w:hAnsi="Arial"/>
          <w:sz w:val="16"/>
          <w:szCs w:val="16"/>
          <w:color w:val="auto"/>
        </w:rPr>
        <w:t>With respect to any dividend equivalent rights that are granted as Dividend</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Units in respect of a dividend payable to stockholders in cash or property other than Shares, at the time any dividend is paid to stockholders on Shares in the form of cash or property other than Shares, the Restricted Stock Units (and previously accrued Dividend Equivalent Units) granted pursuant to this Agreement and outstanding on the applicable dividend record date will be credited with a number of Dividend Equivalent Units equal to the quotient of (A) the amount of cash (or the value of such other property) that is payable per Share held by a stockholder, multiplied by the number of such Restricted Stock Units and previously accrued Dividend Equivalent Units outstanding hereunder, divided by (B) the Fair Market Value of a Share, in each case, determined as of the dividend record date. With respect to any dividend equivalent rights in respect of a dividend that are granted as Dividend Equivalent Units in respect of a dividend payable in Shares, at the time any dividend is paid to stockholders on Shares in the form of Shares, each Restricted Stock Unit (and each previously accrued Dividend Equivalent Unit) granted pursuant to this Agreement and outstanding on the applicable dividend record date will be credited with a number of Dividend Equivalent Units equal to the number of Shares distributable per Share held by a stockholder as of such time. The number of Dividend Equivalent Units granted pursuant to this Section 4(c) in connection with any dividend shall be rounded down to the nearest whole Share (or such other convention may be applied as determined by the Committee in its sole discretion).</w:t>
      </w:r>
    </w:p>
    <w:p>
      <w:pPr>
        <w:spacing w:after="0" w:line="170" w:lineRule="exact"/>
        <w:rPr>
          <w:rFonts w:ascii="Arial" w:cs="Arial" w:eastAsia="Arial" w:hAnsi="Arial"/>
          <w:sz w:val="16"/>
          <w:szCs w:val="16"/>
          <w:color w:val="auto"/>
        </w:rPr>
      </w:pPr>
    </w:p>
    <w:p>
      <w:pPr>
        <w:ind w:left="200" w:right="339" w:firstLine="9"/>
        <w:spacing w:after="0" w:line="259"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Vesting and Payment</w:t>
      </w:r>
      <w:r>
        <w:rPr>
          <w:rFonts w:ascii="Arial" w:cs="Arial" w:eastAsia="Arial" w:hAnsi="Arial"/>
          <w:sz w:val="16"/>
          <w:szCs w:val="16"/>
          <w:color w:val="auto"/>
        </w:rPr>
        <w:t>. Cash dividend equivalent rights and Dividend Equivalent Units credited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4 shall vest and be settled or paid at the same time as, and only to the extent that, the Restricted Stock Units to which such dividend equivalent rights relate shall vest and settle. In the event any such Restricted Stock Units are forfeited by the Grantee, then any dividend equivalent rights associated with such forfeited Restricted Stock Units shall immediately thereupon be forfeited and Grantee shall have no further rights with respect thereto. Unless otherwise provided by the Committee, dividend equivalent rights granted with respect to Restricted Stock Units subject to this Agreement shall not accrue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455295</wp:posOffset>
            </wp:positionV>
            <wp:extent cx="545211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200" w:right="419" w:firstLine="9"/>
        <w:spacing w:after="0" w:line="275" w:lineRule="auto"/>
        <w:tabs>
          <w:tab w:leader="none" w:pos="84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above, Grantee shall not have voting or any other rights as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with respect to Restricted Stock Units. Grantee will obtain full voting and other rights as a stockholder of the Company upon the settlement of Restricted Stock Units in Shares.</w:t>
      </w:r>
    </w:p>
    <w:p>
      <w:pPr>
        <w:spacing w:after="0" w:line="150" w:lineRule="exact"/>
        <w:rPr>
          <w:rFonts w:ascii="Arial" w:cs="Arial" w:eastAsia="Arial" w:hAnsi="Arial"/>
          <w:sz w:val="16"/>
          <w:szCs w:val="16"/>
          <w:b w:val="1"/>
          <w:bCs w:val="1"/>
          <w:color w:val="auto"/>
        </w:rPr>
      </w:pPr>
    </w:p>
    <w:p>
      <w:pPr>
        <w:ind w:left="200" w:right="439" w:firstLine="9"/>
        <w:spacing w:after="0" w:line="255" w:lineRule="auto"/>
        <w:tabs>
          <w:tab w:leader="none" w:pos="84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make appropriate adjustments in the terms and conditions of,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included in, this Award in recognition of unusual or nonrecurring events affecting the Company or any Subsidiary or Affiliate, or the financial statements of the Company or any Subsidiary or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Upon the occurrence of any of the events described in Section 4.2 of the Plan, the Committee shall make the adjustments described in this Section 6. Any such adjustments shall be made in a manner provided in Section 4.2 of the Plan and in a manner that does not result in a discretionary increase in the amounts payable under the Award.</w:t>
      </w:r>
    </w:p>
    <w:p>
      <w:pPr>
        <w:spacing w:after="0" w:line="171" w:lineRule="exact"/>
        <w:rPr>
          <w:rFonts w:ascii="Arial" w:cs="Arial" w:eastAsia="Arial" w:hAnsi="Arial"/>
          <w:sz w:val="16"/>
          <w:szCs w:val="16"/>
          <w:b w:val="1"/>
          <w:bCs w:val="1"/>
          <w:color w:val="auto"/>
        </w:rPr>
      </w:pPr>
    </w:p>
    <w:p>
      <w:pPr>
        <w:ind w:left="200" w:right="379" w:firstLine="9"/>
        <w:spacing w:after="0" w:line="260" w:lineRule="auto"/>
        <w:tabs>
          <w:tab w:leader="none" w:pos="84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to Award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restrictions contained in the Plan, the Committee may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Grantee or any holder or beneficiary of the Award shall not to that extent be effective without the consent of Grantee, holder or beneficiary affected.</w:t>
      </w:r>
    </w:p>
    <w:p>
      <w:pPr>
        <w:spacing w:after="0" w:line="150" w:lineRule="exact"/>
        <w:rPr>
          <w:rFonts w:ascii="Arial" w:cs="Arial" w:eastAsia="Arial" w:hAnsi="Arial"/>
          <w:sz w:val="16"/>
          <w:szCs w:val="16"/>
          <w:b w:val="1"/>
          <w:bCs w:val="1"/>
          <w:color w:val="auto"/>
        </w:rPr>
      </w:pPr>
    </w:p>
    <w:p>
      <w:pPr>
        <w:ind w:left="860" w:hanging="651"/>
        <w:spacing w:after="0"/>
        <w:tabs>
          <w:tab w:leader="none" w:pos="8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Section 409A</w:t>
      </w:r>
      <w:r>
        <w:rPr>
          <w:rFonts w:ascii="Arial" w:cs="Arial" w:eastAsia="Arial" w:hAnsi="Arial"/>
          <w:sz w:val="16"/>
          <w:szCs w:val="16"/>
          <w:b w:val="1"/>
          <w:bCs w:val="1"/>
          <w:color w:val="auto"/>
        </w:rPr>
        <w:t>.</w:t>
      </w:r>
    </w:p>
    <w:p>
      <w:pPr>
        <w:spacing w:after="0" w:line="207" w:lineRule="exact"/>
        <w:rPr>
          <w:rFonts w:ascii="Arial" w:cs="Arial" w:eastAsia="Arial" w:hAnsi="Arial"/>
          <w:sz w:val="16"/>
          <w:szCs w:val="16"/>
          <w:b w:val="1"/>
          <w:bCs w:val="1"/>
          <w:color w:val="auto"/>
        </w:rPr>
      </w:pPr>
    </w:p>
    <w:p>
      <w:pPr>
        <w:ind w:left="200" w:right="319" w:firstLine="657"/>
        <w:spacing w:after="0" w:line="253" w:lineRule="auto"/>
        <w:tabs>
          <w:tab w:leader="none" w:pos="1496"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As a condition to the Company’s issuance of any Shares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in settlement of this Award, Grantee shall pay to the Company the minimum amount necessary to satisfy any Withholding Tax Obligations (as defined below) applicable with respect to the grant, vesting or settlement of this Award or any portion thereof at such times as are required by law. The payment shall be in cash or at the election of Grantee by means of: (i) the delivery of Shares previously owned by Grantee, subject to applicable legal requirements, and held for the requisite period of time as may be required to avoid the Company incurring any adverse accounting charge; (ii) a reduction in the number of Shares otherwise deliverable upon vesting or other amounts otherwise payable to Grantee pursuant to this Agreement; or (iii) a combination of (i) and/or (ii). The value of any Shares delivered or withheld as payment in respect of the Withholding Tax Obligation shall be determined by reference to the Fair Market Value of such Shares as of the date of such withholding or delivery. For purposes hereof, the “Withholding Tax Obligation” means the minimum amount necessary to satisfy U.S. federal, state, local or non-U.S. withholding employment tax and similar requirements, if any, in connection with the vesting or settlement of all or a portion of the Award; provided, however, that, in the sole discretion of the Company, the Company may allow Grantee to have an additional amount or additional number of Shares withheld to satisfy an additional amount of withholding taxes up to the maximum individual statutory rate in the applicable jurisdiction, but only if such additional withholding, or the discretion to elect such additional withholding, does not result in adverse accounting treatment of this Award to the Company.</w:t>
      </w:r>
    </w:p>
    <w:p>
      <w:pPr>
        <w:spacing w:after="0" w:line="366" w:lineRule="exact"/>
        <w:rPr>
          <w:rFonts w:ascii="Arial" w:cs="Arial" w:eastAsia="Arial" w:hAnsi="Arial"/>
          <w:sz w:val="16"/>
          <w:szCs w:val="16"/>
          <w:color w:val="auto"/>
        </w:rPr>
      </w:pPr>
    </w:p>
    <w:p>
      <w:pPr>
        <w:ind w:left="200" w:right="319" w:firstLine="657"/>
        <w:spacing w:after="0" w:line="254" w:lineRule="auto"/>
        <w:tabs>
          <w:tab w:leader="none" w:pos="1415" w:val="left"/>
        </w:tabs>
        <w:numPr>
          <w:ilvl w:val="1"/>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Tax Treatment of Settlement. </w:t>
      </w:r>
      <w:r>
        <w:rPr>
          <w:rFonts w:ascii="Arial" w:cs="Arial" w:eastAsia="Arial" w:hAnsi="Arial"/>
          <w:sz w:val="16"/>
          <w:szCs w:val="16"/>
          <w:color w:val="auto"/>
        </w:rPr>
        <w:t>Notwithstanding anything herein to the contrary, to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settlement of the Restricted Stock Units (including any dividend equivalent rights) to be made to Grantee pursuant to this agreement is intended of quality as a “short-term deferral” pursuant to Section 1.409A-1(b)(4) of the Regulations, and this Agreement shall be interpreted consistently therewith. However, under certain circumstances, including where Grantee has elected to defer settlement of this Award, settlement of the Restricted Stock Units or any dividend equivalent rights may not so qualify, and in that case, the Committee shall administer the grant and settlement of such Restricted Stock Units and any dividend equivalent rights in strict compliance with Section 409A of the Code, including but not limited to delaying, if required, the issuance of Shares contemplated hereunder. Each payment of Restricted Stock Units (and dividend equivalent rights related thereto that have accrued pursuant to Section 4) constitutes a “separate payment” for purposes of Section 409A of the Code.</w:t>
      </w:r>
    </w:p>
    <w:p>
      <w:pPr>
        <w:spacing w:after="0" w:line="185" w:lineRule="exact"/>
        <w:rPr>
          <w:rFonts w:ascii="Arial" w:cs="Arial" w:eastAsia="Arial" w:hAnsi="Arial"/>
          <w:sz w:val="16"/>
          <w:szCs w:val="16"/>
          <w:color w:val="auto"/>
        </w:rPr>
      </w:pPr>
    </w:p>
    <w:p>
      <w:pPr>
        <w:ind w:left="200" w:right="619" w:firstLine="9"/>
        <w:spacing w:after="0" w:line="260" w:lineRule="auto"/>
        <w:tabs>
          <w:tab w:leader="none" w:pos="84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 to Continued Employment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or the Plan shall be interpreted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confer upon Grantee any right to continued employment by the Company or any of its Subsidiaries or Affiliates, nor shall this Agreement or the Plan interfere in any way with the right of the Company or any of its Subsidiaries or Affiliates to terminate Grantee’s employment at any time for any reason whatsoever, whether or not with cause.</w:t>
      </w:r>
    </w:p>
    <w:p>
      <w:pPr>
        <w:spacing w:after="0" w:line="150" w:lineRule="exact"/>
        <w:rPr>
          <w:rFonts w:ascii="Arial" w:cs="Arial" w:eastAsia="Arial" w:hAnsi="Arial"/>
          <w:sz w:val="16"/>
          <w:szCs w:val="16"/>
          <w:b w:val="1"/>
          <w:bCs w:val="1"/>
          <w:color w:val="auto"/>
        </w:rPr>
      </w:pPr>
    </w:p>
    <w:p>
      <w:pPr>
        <w:ind w:left="200" w:right="399" w:firstLine="9"/>
        <w:spacing w:after="0" w:line="304" w:lineRule="auto"/>
        <w:tabs>
          <w:tab w:leader="none" w:pos="84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hereby acknowledges receipt of a copy of the Plan and agrees to be bound by all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thereof. The terms of this Agreement are governed by the terms of the Plan, and in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304800</wp:posOffset>
            </wp:positionV>
            <wp:extent cx="545211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200" w:right="839"/>
        <w:spacing w:after="0" w:line="286" w:lineRule="auto"/>
        <w:rPr>
          <w:sz w:val="20"/>
          <w:szCs w:val="20"/>
          <w:color w:val="auto"/>
        </w:rPr>
      </w:pPr>
      <w:r>
        <w:rPr>
          <w:rFonts w:ascii="Arial" w:cs="Arial" w:eastAsia="Arial" w:hAnsi="Arial"/>
          <w:sz w:val="16"/>
          <w:szCs w:val="16"/>
          <w:color w:val="auto"/>
        </w:rPr>
        <w:t>of any inconsistency between the terms of this Agreement and the terms of the Plan, the terms of the Plan shall govern.</w:t>
      </w:r>
    </w:p>
    <w:p>
      <w:pPr>
        <w:spacing w:after="0" w:line="142" w:lineRule="exact"/>
        <w:rPr>
          <w:sz w:val="20"/>
          <w:szCs w:val="20"/>
          <w:color w:val="auto"/>
        </w:rPr>
      </w:pPr>
    </w:p>
    <w:p>
      <w:pPr>
        <w:ind w:left="200" w:right="419" w:firstLine="9"/>
        <w:spacing w:after="0" w:line="258" w:lineRule="auto"/>
        <w:tabs>
          <w:tab w:leader="none" w:pos="84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or becomes, or is deemed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63" w:lineRule="exact"/>
        <w:rPr>
          <w:rFonts w:ascii="Arial" w:cs="Arial" w:eastAsia="Arial" w:hAnsi="Arial"/>
          <w:sz w:val="16"/>
          <w:szCs w:val="16"/>
          <w:b w:val="1"/>
          <w:bCs w:val="1"/>
          <w:color w:val="auto"/>
        </w:rPr>
      </w:pPr>
    </w:p>
    <w:p>
      <w:pPr>
        <w:ind w:left="860" w:hanging="651"/>
        <w:spacing w:after="0"/>
        <w:tabs>
          <w:tab w:leader="none" w:pos="860"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required to be given under this Agreement shall be deemed to be received if delivered or</w:t>
      </w:r>
    </w:p>
    <w:p>
      <w:pPr>
        <w:spacing w:after="0" w:line="21" w:lineRule="exact"/>
        <w:rPr>
          <w:rFonts w:ascii="Arial" w:cs="Arial" w:eastAsia="Arial" w:hAnsi="Arial"/>
          <w:sz w:val="16"/>
          <w:szCs w:val="16"/>
          <w:b w:val="1"/>
          <w:bCs w:val="1"/>
          <w:color w:val="auto"/>
        </w:rPr>
      </w:pPr>
    </w:p>
    <w:p>
      <w:pPr>
        <w:ind w:left="200" w:right="359"/>
        <w:spacing w:after="0" w:line="265" w:lineRule="auto"/>
        <w:rPr>
          <w:rFonts w:ascii="Arial" w:cs="Arial" w:eastAsia="Arial" w:hAnsi="Arial"/>
          <w:sz w:val="16"/>
          <w:szCs w:val="16"/>
          <w:b w:val="1"/>
          <w:bCs w:val="1"/>
          <w:color w:val="auto"/>
        </w:rPr>
      </w:pPr>
      <w:r>
        <w:rPr>
          <w:rFonts w:ascii="Arial" w:cs="Arial" w:eastAsia="Arial" w:hAnsi="Arial"/>
          <w:sz w:val="16"/>
          <w:szCs w:val="16"/>
          <w:color w:val="auto"/>
        </w:rPr>
        <w:t>mailed: (1) to Company, at One Gaylord Drive, Nashville TN 37214; and (2) to Grantee, at the address currently on file with the Company, or to such other address as either party may provide in writing from time to time.</w:t>
      </w:r>
    </w:p>
    <w:p>
      <w:pPr>
        <w:spacing w:after="0" w:line="158" w:lineRule="exact"/>
        <w:rPr>
          <w:rFonts w:ascii="Arial" w:cs="Arial" w:eastAsia="Arial" w:hAnsi="Arial"/>
          <w:sz w:val="16"/>
          <w:szCs w:val="16"/>
          <w:b w:val="1"/>
          <w:bCs w:val="1"/>
          <w:color w:val="auto"/>
        </w:rPr>
      </w:pPr>
    </w:p>
    <w:p>
      <w:pPr>
        <w:ind w:left="200" w:right="579" w:firstLine="9"/>
        <w:spacing w:after="0" w:line="286" w:lineRule="auto"/>
        <w:tabs>
          <w:tab w:leader="none" w:pos="84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construction and effect of this Agreement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laws of the State of Delaware without giving effect to conflicts of laws principles.</w:t>
      </w:r>
    </w:p>
    <w:p>
      <w:pPr>
        <w:spacing w:after="0" w:line="142" w:lineRule="exact"/>
        <w:rPr>
          <w:rFonts w:ascii="Arial" w:cs="Arial" w:eastAsia="Arial" w:hAnsi="Arial"/>
          <w:sz w:val="16"/>
          <w:szCs w:val="16"/>
          <w:b w:val="1"/>
          <w:bCs w:val="1"/>
          <w:color w:val="auto"/>
        </w:rPr>
      </w:pPr>
    </w:p>
    <w:p>
      <w:pPr>
        <w:ind w:left="200" w:right="499" w:firstLine="9"/>
        <w:spacing w:after="0" w:line="259" w:lineRule="auto"/>
        <w:tabs>
          <w:tab w:leader="none" w:pos="84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binding upon any successor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This Agreement shall inure to the benefit of Grantee’s legal representatives. All obligations imposed upon Grantee and all rights granted to the Company under this Agreement shall be binding upon Grantee’s heirs, executors, administrators and successors.</w:t>
      </w:r>
    </w:p>
    <w:p>
      <w:pPr>
        <w:spacing w:after="0" w:line="164" w:lineRule="exact"/>
        <w:rPr>
          <w:rFonts w:ascii="Arial" w:cs="Arial" w:eastAsia="Arial" w:hAnsi="Arial"/>
          <w:sz w:val="16"/>
          <w:szCs w:val="16"/>
          <w:b w:val="1"/>
          <w:bCs w:val="1"/>
          <w:color w:val="auto"/>
        </w:rPr>
      </w:pPr>
    </w:p>
    <w:p>
      <w:pPr>
        <w:ind w:left="200" w:right="359" w:firstLine="9"/>
        <w:spacing w:after="0" w:line="266" w:lineRule="auto"/>
        <w:tabs>
          <w:tab w:leader="none" w:pos="84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or disagreement which may arise under, or as a result of, or in any way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interpretation, construction or application of this Agreement shall be determined by the Committee. Any determination made hereunder shall be final, binding and conclusive on Grantee and the Company for all purposes.</w:t>
      </w:r>
    </w:p>
    <w:p>
      <w:pPr>
        <w:spacing w:after="0" w:line="157" w:lineRule="exact"/>
        <w:rPr>
          <w:rFonts w:ascii="Arial" w:cs="Arial" w:eastAsia="Arial" w:hAnsi="Arial"/>
          <w:sz w:val="16"/>
          <w:szCs w:val="16"/>
          <w:b w:val="1"/>
          <w:bCs w:val="1"/>
          <w:color w:val="auto"/>
        </w:rPr>
      </w:pPr>
    </w:p>
    <w:p>
      <w:pPr>
        <w:ind w:left="200" w:right="379" w:firstLine="9"/>
        <w:spacing w:after="0" w:line="254" w:lineRule="auto"/>
        <w:tabs>
          <w:tab w:leader="none" w:pos="84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granted to Grantee pursuant to this Agreement, and any prior awards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under the Plan, including any amounts paid or property received in settlement or satisfaction thereof, shall be subject to forfeiture, repayment, reimbursement or other recoupment (i) to the extent that Grantee in the future becomes subject to any recoupment or clawback policy hereafter adopted by the Company, including any such policy adopted by the Company to comply with the requirements of any applicable laws, rules or regulations, including pursuant to final SEC rules and/or New York Stock Exchange listing standards with respect to recoupment adopted in connection with the Dodd-Frank Wall Street Reform and Consumer Protection Act (such final rules and New York Stock Exchange listing standards, the “Dodd-Frank Clawback Requirements”) (such policy referenced in clause (i), as amended from time to time, the “Policy”), and (ii) to the extent provided under any applicable laws and/or listing standards which impose mandatory recoupment, under circumstances set forth in such applicable laws and listing standards, including pursuant to the Dodd-Frank Clawback Requirements and the Sarbanes-Oxley Act of 2002. The Company may utilize any method of recovery specified in the Policy in connection with any recoupment pursuant to the terms of the Policy.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[remainder of page intentionally blank]</w:t>
      </w:r>
    </w:p>
    <w:p>
      <w:pPr>
        <w:spacing w:after="0" w:line="21" w:lineRule="exact"/>
        <w:rPr>
          <w:sz w:val="20"/>
          <w:szCs w:val="20"/>
          <w:color w:val="auto"/>
        </w:rPr>
      </w:pPr>
    </w:p>
    <w:p>
      <w:pPr>
        <w:ind w:left="200" w:right="499" w:firstLine="9"/>
        <w:spacing w:after="0" w:line="255" w:lineRule="auto"/>
        <w:tabs>
          <w:tab w:leader="none" w:pos="84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of Code of Conduct and Insider Trading Policy(ies)</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this Award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means of execution and delivery of this Agreement, Grantee acknowledges that Grantee has been provided with the opportunity to review, and Grantee accepts the provisions of, the following policies of the Company: (i) Code of Conduct and Business Ethics,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(ii) Insider Trading Policy,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(iii) if applicable to Grantee, Special Insider Trading Policy,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54" w:lineRule="exact"/>
        <w:rPr>
          <w:sz w:val="20"/>
          <w:szCs w:val="20"/>
          <w:color w:val="auto"/>
        </w:rPr>
      </w:pPr>
    </w:p>
    <w:p>
      <w:pPr>
        <w:ind w:left="200" w:right="499"/>
        <w:spacing w:after="0" w:line="304" w:lineRule="auto"/>
        <w:rPr>
          <w:sz w:val="20"/>
          <w:szCs w:val="20"/>
          <w:color w:val="auto"/>
        </w:rPr>
      </w:pPr>
      <w:r>
        <w:rPr>
          <w:rFonts w:ascii="Arial" w:cs="Arial" w:eastAsia="Arial" w:hAnsi="Arial"/>
          <w:sz w:val="16"/>
          <w:szCs w:val="16"/>
          <w:color w:val="auto"/>
        </w:rPr>
        <w:t>IN WITNESS WHEREOF, the Company has caused this Agreement to be duly executed by an officer thereunto duly authorized, and Grantee has executed this Agreement, all as of the date first above written.</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Ryman Hospitality Properties, Inc.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 Scott Lynn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Scott Lynn, EVP &amp; General Counsel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DATE ACCEPTED BY GRANTEE: ###ACCEPTANCE_DATE###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Exhibits to Award Agreement follow</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0" w:name="page51"/>
    <w:bookmarkEnd w:id="50"/>
    <w:p>
      <w:pPr>
        <w:ind w:left="4100"/>
        <w:spacing w:after="0"/>
        <w:rPr>
          <w:sz w:val="20"/>
          <w:szCs w:val="20"/>
          <w:color w:val="auto"/>
        </w:rPr>
      </w:pPr>
      <w:r>
        <w:rPr>
          <w:rFonts w:ascii="Arial" w:cs="Arial" w:eastAsia="Arial" w:hAnsi="Arial"/>
          <w:sz w:val="16"/>
          <w:szCs w:val="16"/>
          <w:b w:val="1"/>
          <w:bCs w:val="1"/>
          <w:u w:val="single" w:color="auto"/>
          <w:color w:val="auto"/>
        </w:rPr>
        <w:t>EXHIBIT B</w:t>
      </w:r>
    </w:p>
    <w:p>
      <w:pPr>
        <w:spacing w:after="0" w:line="12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621030</wp:posOffset>
            </wp:positionV>
            <wp:extent cx="54521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51" w:name="page52"/>
    <w:bookmarkEnd w:id="51"/>
    <w:p>
      <w:pPr>
        <w:ind w:left="4100"/>
        <w:spacing w:after="0"/>
        <w:rPr>
          <w:sz w:val="20"/>
          <w:szCs w:val="20"/>
          <w:color w:val="auto"/>
        </w:rPr>
      </w:pPr>
      <w:r>
        <w:rPr>
          <w:rFonts w:ascii="Arial" w:cs="Arial" w:eastAsia="Arial" w:hAnsi="Arial"/>
          <w:sz w:val="16"/>
          <w:szCs w:val="16"/>
          <w:b w:val="1"/>
          <w:bCs w:val="1"/>
          <w:u w:val="single" w:color="auto"/>
          <w:color w:val="auto"/>
        </w:rPr>
        <w:t>EXHIBIT C</w:t>
      </w:r>
    </w:p>
    <w:p>
      <w:pPr>
        <w:spacing w:after="0" w:line="127" w:lineRule="exact"/>
        <w:rPr>
          <w:sz w:val="20"/>
          <w:szCs w:val="20"/>
          <w:color w:val="auto"/>
        </w:rPr>
      </w:pPr>
    </w:p>
    <w:p>
      <w:pPr>
        <w:ind w:left="4060"/>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jc w:val="right"/>
        <w:ind w:right="219"/>
        <w:spacing w:after="0"/>
        <w:rPr>
          <w:sz w:val="20"/>
          <w:szCs w:val="20"/>
          <w:color w:val="auto"/>
        </w:rPr>
      </w:pPr>
      <w:r>
        <w:rPr>
          <w:rFonts w:ascii="Arial" w:cs="Arial" w:eastAsia="Arial" w:hAnsi="Arial"/>
          <w:sz w:val="22"/>
          <w:szCs w:val="22"/>
          <w:b w:val="1"/>
          <w:bCs w:val="1"/>
          <w:color w:val="auto"/>
        </w:rPr>
        <w:t>Exhibit 10.2</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FORM OF PERFORMANCE-BASED RESTRICTED STOCK UNIT AWARD</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NOTICE OF PERFORMANCE-BASED RESTRICTED STOCK UNIT AWARD</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 Name: ###PARTICIPANT_NAME###</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Name: ###GRANT_NAME###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Date: ###GRANT_DATE###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Grant Type: ###DICTIONARY_AWARD_NAME###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Quantity: ###TOTAL_AWARDS###</w:t>
      </w:r>
    </w:p>
    <w:p>
      <w:pPr>
        <w:spacing w:after="0" w:line="212" w:lineRule="exact"/>
        <w:rPr>
          <w:sz w:val="20"/>
          <w:szCs w:val="20"/>
          <w:color w:val="auto"/>
        </w:rPr>
      </w:pPr>
    </w:p>
    <w:p>
      <w:pPr>
        <w:ind w:left="200"/>
        <w:spacing w:after="0"/>
        <w:tabs>
          <w:tab w:leader="none" w:pos="2140" w:val="left"/>
        </w:tabs>
        <w:rPr>
          <w:sz w:val="20"/>
          <w:szCs w:val="20"/>
          <w:color w:val="auto"/>
        </w:rPr>
      </w:pPr>
      <w:r>
        <w:rPr>
          <w:rFonts w:ascii="Arial" w:cs="Arial" w:eastAsia="Arial" w:hAnsi="Arial"/>
          <w:sz w:val="18"/>
          <w:szCs w:val="18"/>
          <w:b w:val="1"/>
          <w:bCs w:val="1"/>
          <w:color w:val="auto"/>
        </w:rPr>
        <w:t>Vest Schedule:</w:t>
      </w:r>
      <w:r>
        <w:rPr>
          <w:sz w:val="20"/>
          <w:szCs w:val="20"/>
          <w:color w:val="auto"/>
        </w:rPr>
        <w:tab/>
      </w:r>
      <w:r>
        <w:rPr>
          <w:rFonts w:ascii="Arial" w:cs="Arial" w:eastAsia="Arial" w:hAnsi="Arial"/>
          <w:sz w:val="17"/>
          <w:szCs w:val="17"/>
          <w:b w:val="1"/>
          <w:bCs w:val="1"/>
          <w:color w:val="auto"/>
        </w:rPr>
        <w:t>###VEST_SCHEDULE_TABLE###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248920</wp:posOffset>
            </wp:positionV>
            <wp:extent cx="545211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200" w:right="819"/>
        <w:spacing w:after="0" w:line="325" w:lineRule="auto"/>
        <w:rPr>
          <w:sz w:val="20"/>
          <w:szCs w:val="20"/>
          <w:color w:val="auto"/>
        </w:rPr>
      </w:pPr>
      <w:r>
        <w:rPr>
          <w:rFonts w:ascii="Arial" w:cs="Arial" w:eastAsia="Arial" w:hAnsi="Arial"/>
          <w:sz w:val="17"/>
          <w:szCs w:val="17"/>
          <w:b w:val="1"/>
          <w:bCs w:val="1"/>
          <w:i w:val="1"/>
          <w:iCs w:val="1"/>
          <w:color w:val="auto"/>
        </w:rPr>
        <w:t>By accepting this Restricted Stock Unit Award, by means of execution and delivery of the accompanying Restricted Stock Unit Award Agreement (the “Award Agreement”) you hereby:</w:t>
      </w:r>
    </w:p>
    <w:p>
      <w:pPr>
        <w:spacing w:after="0" w:line="119" w:lineRule="exact"/>
        <w:rPr>
          <w:sz w:val="20"/>
          <w:szCs w:val="20"/>
          <w:color w:val="auto"/>
        </w:rPr>
      </w:pPr>
    </w:p>
    <w:p>
      <w:pPr>
        <w:ind w:left="200" w:right="279" w:firstLine="9"/>
        <w:spacing w:after="0" w:line="280" w:lineRule="auto"/>
        <w:tabs>
          <w:tab w:leader="none" w:pos="848"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Acknowledge that you have received a copy of (1) Ryman Hospitality Properties, Inc.’s Code of Business Conduct and Ethics (attached as </w:t>
      </w:r>
      <w:r>
        <w:rPr>
          <w:rFonts w:ascii="Arial" w:cs="Arial" w:eastAsia="Arial" w:hAnsi="Arial"/>
          <w:sz w:val="18"/>
          <w:szCs w:val="18"/>
          <w:b w:val="1"/>
          <w:bCs w:val="1"/>
          <w:i w:val="1"/>
          <w:iCs w:val="1"/>
          <w:u w:val="single" w:color="auto"/>
          <w:color w:val="auto"/>
        </w:rPr>
        <w:t>Exhibit A</w:t>
      </w:r>
      <w:r>
        <w:rPr>
          <w:rFonts w:ascii="Arial" w:cs="Arial" w:eastAsia="Arial" w:hAnsi="Arial"/>
          <w:sz w:val="18"/>
          <w:szCs w:val="18"/>
          <w:b w:val="1"/>
          <w:bCs w:val="1"/>
          <w:i w:val="1"/>
          <w:iCs w:val="1"/>
          <w:color w:val="auto"/>
        </w:rPr>
        <w:t xml:space="preserve"> to the Award Agreement), (2) Ryman’s Statement of Company Policy Regarding Insider Trading (attached as </w:t>
      </w:r>
      <w:r>
        <w:rPr>
          <w:rFonts w:ascii="Arial" w:cs="Arial" w:eastAsia="Arial" w:hAnsi="Arial"/>
          <w:sz w:val="18"/>
          <w:szCs w:val="18"/>
          <w:b w:val="1"/>
          <w:bCs w:val="1"/>
          <w:i w:val="1"/>
          <w:iCs w:val="1"/>
          <w:u w:val="single" w:color="auto"/>
          <w:color w:val="auto"/>
        </w:rPr>
        <w:t>Exhibit B</w:t>
      </w:r>
      <w:r>
        <w:rPr>
          <w:rFonts w:ascii="Arial" w:cs="Arial" w:eastAsia="Arial" w:hAnsi="Arial"/>
          <w:sz w:val="18"/>
          <w:szCs w:val="18"/>
          <w:b w:val="1"/>
          <w:bCs w:val="1"/>
          <w:i w:val="1"/>
          <w:iCs w:val="1"/>
          <w:color w:val="auto"/>
        </w:rPr>
        <w:t xml:space="preserve"> to the Award Agreement), and (3) if applicable to you, Ryman’s Statement of Company Policy Regarding Special Trading Procedures (attached as </w:t>
      </w:r>
      <w:r>
        <w:rPr>
          <w:rFonts w:ascii="Arial" w:cs="Arial" w:eastAsia="Arial" w:hAnsi="Arial"/>
          <w:sz w:val="18"/>
          <w:szCs w:val="18"/>
          <w:b w:val="1"/>
          <w:bCs w:val="1"/>
          <w:i w:val="1"/>
          <w:iCs w:val="1"/>
          <w:u w:val="single" w:color="auto"/>
          <w:color w:val="auto"/>
        </w:rPr>
        <w:t>Exhibit C</w:t>
      </w:r>
      <w:r>
        <w:rPr>
          <w:rFonts w:ascii="Arial" w:cs="Arial" w:eastAsia="Arial" w:hAnsi="Arial"/>
          <w:sz w:val="18"/>
          <w:szCs w:val="18"/>
          <w:b w:val="1"/>
          <w:bCs w:val="1"/>
          <w:i w:val="1"/>
          <w:iCs w:val="1"/>
          <w:color w:val="auto"/>
        </w:rPr>
        <w:t xml:space="preserve"> to the Award Agreement); and</w:t>
      </w:r>
    </w:p>
    <w:p>
      <w:pPr>
        <w:spacing w:after="0" w:line="169" w:lineRule="exact"/>
        <w:rPr>
          <w:rFonts w:ascii="Arial" w:cs="Arial" w:eastAsia="Arial" w:hAnsi="Arial"/>
          <w:sz w:val="18"/>
          <w:szCs w:val="18"/>
          <w:b w:val="1"/>
          <w:bCs w:val="1"/>
          <w:i w:val="1"/>
          <w:iCs w:val="1"/>
          <w:color w:val="auto"/>
        </w:rPr>
      </w:pPr>
    </w:p>
    <w:p>
      <w:pPr>
        <w:ind w:left="200" w:right="319" w:firstLine="9"/>
        <w:spacing w:after="0" w:line="288" w:lineRule="auto"/>
        <w:tabs>
          <w:tab w:leader="none" w:pos="848"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Certify that you have read, understand and will comply with the policies and procedures set forth in such documents, and acknowledge your understanding that your failure to comply with these policies can be a basis for termination of your employment with Ryman.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[Award Agreement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788035</wp:posOffset>
            </wp:positionV>
            <wp:extent cx="545211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600"/>
        <w:spacing w:after="0"/>
        <w:rPr>
          <w:sz w:val="20"/>
          <w:szCs w:val="20"/>
          <w:color w:val="auto"/>
        </w:rPr>
      </w:pPr>
      <w:r>
        <w:rPr>
          <w:rFonts w:ascii="Arial" w:cs="Arial" w:eastAsia="Arial" w:hAnsi="Arial"/>
          <w:sz w:val="25"/>
          <w:szCs w:val="25"/>
          <w:b w:val="1"/>
          <w:bCs w:val="1"/>
          <w:color w:val="auto"/>
        </w:rPr>
        <w:t>Ryman Hospitality Properties, Inc. - 2016 Omnibus Incentive Plan</w:t>
      </w:r>
    </w:p>
    <w:p>
      <w:pPr>
        <w:spacing w:after="0" w:line="226" w:lineRule="exact"/>
        <w:rPr>
          <w:sz w:val="20"/>
          <w:szCs w:val="20"/>
          <w:color w:val="auto"/>
        </w:rPr>
      </w:pPr>
    </w:p>
    <w:p>
      <w:pPr>
        <w:ind w:left="3040"/>
        <w:spacing w:after="0"/>
        <w:rPr>
          <w:sz w:val="20"/>
          <w:szCs w:val="20"/>
          <w:color w:val="auto"/>
        </w:rPr>
      </w:pPr>
      <w:r>
        <w:rPr>
          <w:rFonts w:ascii="Arial" w:cs="Arial" w:eastAsia="Arial" w:hAnsi="Arial"/>
          <w:sz w:val="25"/>
          <w:szCs w:val="25"/>
          <w:b w:val="1"/>
          <w:bCs w:val="1"/>
          <w:color w:val="auto"/>
        </w:rPr>
        <w:t>PERFORMANCE-BASED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RESTRICTED STOCK UNIT AWARD AGREEMENT</w:t>
      </w:r>
    </w:p>
    <w:p>
      <w:pPr>
        <w:spacing w:after="0" w:line="223" w:lineRule="exact"/>
        <w:rPr>
          <w:sz w:val="20"/>
          <w:szCs w:val="20"/>
          <w:color w:val="auto"/>
        </w:rPr>
      </w:pPr>
    </w:p>
    <w:p>
      <w:pPr>
        <w:ind w:left="200" w:right="1139"/>
        <w:spacing w:after="0" w:line="266" w:lineRule="auto"/>
        <w:rPr>
          <w:sz w:val="20"/>
          <w:szCs w:val="20"/>
          <w:color w:val="auto"/>
        </w:rPr>
      </w:pPr>
      <w:r>
        <w:rPr>
          <w:rFonts w:ascii="Arial" w:cs="Arial" w:eastAsia="Arial" w:hAnsi="Arial"/>
          <w:sz w:val="16"/>
          <w:szCs w:val="16"/>
          <w:color w:val="auto"/>
        </w:rPr>
        <w:t>This Performance-Based Restricted Stock Unit Award Agreement (the “Agreement”) is made as of ###GRANT_DATE### (the “Grant Date”), between Ryman Hospitality Properties, Inc. (the “Company”) and ###PARTICIPANT_NAME### (“Grantee”).</w:t>
      </w:r>
    </w:p>
    <w:p>
      <w:pPr>
        <w:spacing w:after="0" w:line="158" w:lineRule="exact"/>
        <w:rPr>
          <w:sz w:val="20"/>
          <w:szCs w:val="20"/>
          <w:color w:val="auto"/>
        </w:rPr>
      </w:pPr>
    </w:p>
    <w:p>
      <w:pPr>
        <w:ind w:left="840" w:hanging="631"/>
        <w:spacing w:after="0"/>
        <w:tabs>
          <w:tab w:leader="none" w:pos="840"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Award</w:t>
      </w:r>
      <w:r>
        <w:rPr>
          <w:rFonts w:ascii="Arial" w:cs="Arial" w:eastAsia="Arial" w:hAnsi="Arial"/>
          <w:sz w:val="16"/>
          <w:szCs w:val="16"/>
          <w:color w:val="auto"/>
        </w:rPr>
        <w:t>.</w:t>
      </w:r>
    </w:p>
    <w:p>
      <w:pPr>
        <w:spacing w:after="0" w:line="194" w:lineRule="exact"/>
        <w:rPr>
          <w:sz w:val="20"/>
          <w:szCs w:val="20"/>
          <w:color w:val="auto"/>
        </w:rPr>
      </w:pPr>
    </w:p>
    <w:p>
      <w:pPr>
        <w:ind w:left="200" w:right="359" w:firstLine="9"/>
        <w:spacing w:after="0" w:line="265" w:lineRule="auto"/>
        <w:tabs>
          <w:tab w:leader="none" w:pos="803"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Pursuant to the Company’s 2016 Omnibus Incentive Plan (the “Plan”), upon acceptance by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will receive an award (the “Award”) of ###TOTAL_AWARDS### Restricted Stock Units, subject to the terms and conditions set forth in this Agreement and the Plan. A bookkeeping account will be maintained by the Company to keep track of the Restricted Stock Units and any dividend equivalent rights that may accrue as provided in Section 4.</w:t>
      </w:r>
    </w:p>
    <w:p>
      <w:pPr>
        <w:spacing w:after="0" w:line="145" w:lineRule="exact"/>
        <w:rPr>
          <w:rFonts w:ascii="Arial" w:cs="Arial" w:eastAsia="Arial" w:hAnsi="Arial"/>
          <w:sz w:val="16"/>
          <w:szCs w:val="16"/>
          <w:color w:val="auto"/>
        </w:rPr>
      </w:pPr>
    </w:p>
    <w:p>
      <w:pPr>
        <w:jc w:val="both"/>
        <w:ind w:left="200" w:right="699" w:firstLine="9"/>
        <w:spacing w:after="0" w:line="275" w:lineRule="auto"/>
        <w:tabs>
          <w:tab w:leader="none" w:pos="893"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Acceptance of Award</w:t>
      </w:r>
      <w:r>
        <w:rPr>
          <w:rFonts w:ascii="Arial" w:cs="Arial" w:eastAsia="Arial" w:hAnsi="Arial"/>
          <w:sz w:val="16"/>
          <w:szCs w:val="16"/>
          <w:color w:val="auto"/>
        </w:rPr>
        <w:t>. Grantee shall execute and deliver to the Company a copy of this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accept the Award, which may be by means of electronic signature or by means of the Company’s equity incentive management plan software portal.</w:t>
      </w:r>
    </w:p>
    <w:p>
      <w:pPr>
        <w:spacing w:after="0" w:line="150" w:lineRule="exact"/>
        <w:rPr>
          <w:rFonts w:ascii="Arial" w:cs="Arial" w:eastAsia="Arial" w:hAnsi="Arial"/>
          <w:sz w:val="16"/>
          <w:szCs w:val="16"/>
          <w:color w:val="auto"/>
        </w:rPr>
      </w:pPr>
    </w:p>
    <w:p>
      <w:pPr>
        <w:jc w:val="both"/>
        <w:ind w:left="200" w:right="339" w:firstLine="9"/>
        <w:spacing w:after="0" w:line="253" w:lineRule="auto"/>
        <w:tabs>
          <w:tab w:leader="none" w:pos="884"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Plan Incorporated</w:t>
      </w:r>
      <w:r>
        <w:rPr>
          <w:rFonts w:ascii="Arial" w:cs="Arial" w:eastAsia="Arial" w:hAnsi="Arial"/>
          <w:sz w:val="16"/>
          <w:szCs w:val="16"/>
          <w:color w:val="auto"/>
        </w:rPr>
        <w:t>. Grantee acknowledges receipt of a copy of the Plan and agrees that this Award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and governed by all of the terms and conditions set forth in the Plan, including future amendments thereto, if any, pursuant to the terms thereof, which Plan is incorporated herein by reference as a part of this Agreement.</w:t>
      </w:r>
    </w:p>
    <w:p>
      <w:pPr>
        <w:spacing w:after="0" w:line="1" w:lineRule="exact"/>
        <w:rPr>
          <w:rFonts w:ascii="Arial" w:cs="Arial" w:eastAsia="Arial" w:hAnsi="Arial"/>
          <w:sz w:val="16"/>
          <w:szCs w:val="16"/>
          <w:color w:val="auto"/>
        </w:rPr>
      </w:pPr>
    </w:p>
    <w:p>
      <w:pPr>
        <w:ind w:left="200" w:right="899"/>
        <w:spacing w:after="0" w:line="283" w:lineRule="auto"/>
        <w:rPr>
          <w:rFonts w:ascii="Arial" w:cs="Arial" w:eastAsia="Arial" w:hAnsi="Arial"/>
          <w:sz w:val="16"/>
          <w:szCs w:val="16"/>
          <w:color w:val="auto"/>
        </w:rPr>
      </w:pPr>
      <w:r>
        <w:rPr>
          <w:rFonts w:ascii="Arial" w:cs="Arial" w:eastAsia="Arial" w:hAnsi="Arial"/>
          <w:sz w:val="16"/>
          <w:szCs w:val="16"/>
          <w:color w:val="auto"/>
        </w:rPr>
        <w:t>Capitalized terms in this Agreement shall have the meaning specified in the Plan, unless a different meaning is specified herein.</w:t>
      </w:r>
    </w:p>
    <w:p>
      <w:pPr>
        <w:spacing w:after="0" w:line="130" w:lineRule="exact"/>
        <w:rPr>
          <w:rFonts w:ascii="Arial" w:cs="Arial" w:eastAsia="Arial" w:hAnsi="Arial"/>
          <w:sz w:val="16"/>
          <w:szCs w:val="16"/>
          <w:color w:val="auto"/>
        </w:rPr>
      </w:pPr>
    </w:p>
    <w:p>
      <w:pPr>
        <w:ind w:left="200" w:right="399" w:firstLine="9"/>
        <w:spacing w:after="0" w:line="260" w:lineRule="auto"/>
        <w:tabs>
          <w:tab w:leader="none" w:pos="848" w:val="left"/>
        </w:tabs>
        <w:numPr>
          <w:ilvl w:val="0"/>
          <w:numId w:val="37"/>
        </w:numPr>
        <w:rPr>
          <w:rFonts w:ascii="Arial" w:cs="Arial" w:eastAsia="Arial" w:hAnsi="Arial"/>
          <w:sz w:val="16"/>
          <w:szCs w:val="16"/>
          <w:color w:val="auto"/>
        </w:rPr>
      </w:pPr>
      <w:r>
        <w:rPr>
          <w:rFonts w:ascii="Arial" w:cs="Arial" w:eastAsia="Arial" w:hAnsi="Arial"/>
          <w:sz w:val="16"/>
          <w:szCs w:val="16"/>
          <w:b w:val="1"/>
          <w:bCs w:val="1"/>
          <w:color w:val="auto"/>
        </w:rPr>
        <w:t>Forfeiture; Transferability</w:t>
      </w:r>
      <w:r>
        <w:rPr>
          <w:rFonts w:ascii="Arial" w:cs="Arial" w:eastAsia="Arial" w:hAnsi="Arial"/>
          <w:sz w:val="16"/>
          <w:szCs w:val="16"/>
          <w:color w:val="auto"/>
        </w:rPr>
        <w:t>. Grantee’s rights with respect to any unvested portion of the Award shall remain</w:t>
      </w:r>
      <w:r>
        <w:rPr>
          <w:rFonts w:ascii="Arial" w:cs="Arial" w:eastAsia="Arial" w:hAnsi="Arial"/>
          <w:sz w:val="16"/>
          <w:szCs w:val="16"/>
          <w:b w:val="1"/>
          <w:bCs w:val="1"/>
          <w:color w:val="auto"/>
        </w:rPr>
        <w:t xml:space="preserve"> </w:t>
      </w:r>
      <w:r>
        <w:rPr>
          <w:rFonts w:ascii="Arial" w:cs="Arial" w:eastAsia="Arial" w:hAnsi="Arial"/>
          <w:sz w:val="16"/>
          <w:szCs w:val="16"/>
          <w:color w:val="auto"/>
        </w:rPr>
        <w:t>forfeitable at all times prior to the date(s) on which the Restricted Period (as defined below) of all or such portion of the Award shall expire or terminate in accordance with Section 2. This Award may not be assigned, alienated, pledged, attached, sold or otherwise transferred or encumbered by Grantee other than by will or the laws of descent and distribution or as otherwise permitted by the Plan.</w:t>
      </w:r>
    </w:p>
    <w:p>
      <w:pPr>
        <w:spacing w:after="0" w:line="164" w:lineRule="exact"/>
        <w:rPr>
          <w:sz w:val="20"/>
          <w:szCs w:val="20"/>
          <w:color w:val="auto"/>
        </w:rPr>
      </w:pPr>
    </w:p>
    <w:p>
      <w:pPr>
        <w:ind w:left="860" w:hanging="651"/>
        <w:spacing w:after="0"/>
        <w:tabs>
          <w:tab w:leader="none" w:pos="860"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Vesting of the Award</w:t>
      </w:r>
      <w:r>
        <w:rPr>
          <w:rFonts w:ascii="Arial" w:cs="Arial" w:eastAsia="Arial" w:hAnsi="Arial"/>
          <w:sz w:val="16"/>
          <w:szCs w:val="16"/>
          <w:b w:val="1"/>
          <w:bCs w:val="1"/>
          <w:color w:val="auto"/>
        </w:rPr>
        <w:t>.</w:t>
      </w:r>
    </w:p>
    <w:p>
      <w:pPr>
        <w:spacing w:after="0" w:line="208" w:lineRule="exact"/>
        <w:rPr>
          <w:sz w:val="20"/>
          <w:szCs w:val="20"/>
          <w:color w:val="auto"/>
        </w:rPr>
      </w:pPr>
    </w:p>
    <w:p>
      <w:pPr>
        <w:ind w:left="200" w:right="319" w:firstLine="9"/>
        <w:spacing w:after="0" w:line="260" w:lineRule="auto"/>
        <w:tabs>
          <w:tab w:leader="none" w:pos="848"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Vesting Schedule and Performance Targets. </w:t>
      </w:r>
      <w:r>
        <w:rPr>
          <w:rFonts w:ascii="Arial" w:cs="Arial" w:eastAsia="Arial" w:hAnsi="Arial"/>
          <w:sz w:val="16"/>
          <w:szCs w:val="16"/>
          <w:color w:val="auto"/>
        </w:rPr>
        <w:t>Except as provided herein and subject to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exceptions as may be determined by the Committee in its sole discretion (subject to Section 7.5 of the Plan), up to one hundred fifty percent (150%) of the Restricted Stock Units listed below will vest, based on and to the extent of the satisfaction of the performance targets set forth below, at the conclusion of the “Restricted Period”, which means the period beginning on the Grant Date and expiring with respect to each such Restricted Stock Unit as follows:</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###VEST_SCHEDULE_TABLE###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[Performance Target Omitted]</w:t>
      </w:r>
    </w:p>
    <w:p>
      <w:pPr>
        <w:spacing w:after="0" w:line="275" w:lineRule="exact"/>
        <w:rPr>
          <w:sz w:val="20"/>
          <w:szCs w:val="20"/>
          <w:color w:val="auto"/>
        </w:rPr>
      </w:pPr>
    </w:p>
    <w:p>
      <w:pPr>
        <w:ind w:left="200" w:right="419" w:firstLine="9"/>
        <w:spacing w:after="0" w:line="257" w:lineRule="auto"/>
        <w:tabs>
          <w:tab w:leader="none" w:pos="848"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of Employment. </w:t>
      </w:r>
      <w:r>
        <w:rPr>
          <w:rFonts w:ascii="Arial" w:cs="Arial" w:eastAsia="Arial" w:hAnsi="Arial"/>
          <w:sz w:val="16"/>
          <w:szCs w:val="16"/>
          <w:color w:val="auto"/>
        </w:rPr>
        <w:t>Except as otherwise determined by the Committee at or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grant of the Award hereunder (subject to Sections 7.5 and 8.2 of the Plan), in the event that Grantee’s employment with the Company or its Subsidiaries or Affiliates is terminated (other than by reason of death, Disability or an approved retirement of such Grantee (as determined by the Committee in its sole discretion)) prior to the Vested Date and prior to the occurrence of a Change in Control, Grantee shall forfeit such Restricted Stock Units (including Dividend Equivalent Units and other dividend equivalent rights related thereto that have accrued pursuant to Section 4), and all of Grantee’s rights with respect thereto shall cease. For the avoidance of doubt, Restricted Stock Units forfeited pursuant to this Section 2(b) shall no longer be eligible to vest pursuant to Section 2(a).</w:t>
      </w:r>
    </w:p>
    <w:p>
      <w:pPr>
        <w:spacing w:after="0" w:line="178" w:lineRule="exact"/>
        <w:rPr>
          <w:rFonts w:ascii="Arial" w:cs="Arial" w:eastAsia="Arial" w:hAnsi="Arial"/>
          <w:sz w:val="16"/>
          <w:szCs w:val="16"/>
          <w:color w:val="auto"/>
        </w:rPr>
      </w:pPr>
    </w:p>
    <w:p>
      <w:pPr>
        <w:ind w:left="200" w:right="339" w:firstLine="9"/>
        <w:spacing w:after="0" w:line="260" w:lineRule="auto"/>
        <w:tabs>
          <w:tab w:leader="none" w:pos="848"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Effect of Termination Due to Death, Disability or Approved Retirement. </w:t>
      </w:r>
      <w:r>
        <w:rPr>
          <w:rFonts w:ascii="Arial" w:cs="Arial" w:eastAsia="Arial" w:hAnsi="Arial"/>
          <w:sz w:val="16"/>
          <w:szCs w:val="16"/>
          <w:color w:val="auto"/>
        </w:rPr>
        <w:t>If Grantee’s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or its Subsidiaries or Affiliates is terminated because of death, Disability or an approved retirement of such Grantee (as determined by the Committee in its sole discretion) prior to the Vested Date and prior to the occurrence of a Change in Control, then Grantee will be entitled to a pro rata vesting of the Restricted Stock Units (including Dividend Equivalent Units and other dividend equivalent rights related thereto) awarded hereunder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545211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54" w:name="page55"/>
    <w:bookmarkEnd w:id="54"/>
    <w:p>
      <w:pPr>
        <w:ind w:left="200" w:right="339"/>
        <w:spacing w:after="0" w:line="255" w:lineRule="auto"/>
        <w:rPr>
          <w:sz w:val="20"/>
          <w:szCs w:val="20"/>
          <w:color w:val="auto"/>
        </w:rPr>
      </w:pPr>
      <w:r>
        <w:rPr>
          <w:rFonts w:ascii="Arial" w:cs="Arial" w:eastAsia="Arial" w:hAnsi="Arial"/>
          <w:sz w:val="16"/>
          <w:szCs w:val="16"/>
          <w:color w:val="auto"/>
        </w:rPr>
        <w:t>Vested Date (or any earlier date of vesting as a result of a Change in Control) (the proration of the Award that would have been earned had Grantee remained employed through the Vested Date or the Change in Control will be based on Grantee’s active service during the three-year period ending on the Vested Date in relation to the length of the total three-year period). In the event of a Change in Control prior to or on the Vested Date, such pro-rated number of Restricted Stock Units (including Dividend Equivalent Units and other dividend equivalent rights related thereto) will be paid as set forth in Section 2(d) below). Otherwise, such pro-rated number of Restricted Stock Units (including Dividend Equivalent Units and other dividend equivalent rights related thereto), as adjusted based on the extent to which the performance targets set forth in Section 2(a) have been satisfied, shall be paid at the time such Award would have been settled if Grantee had remained employed until the Vested Date.</w:t>
      </w:r>
    </w:p>
    <w:p>
      <w:pPr>
        <w:spacing w:after="0" w:line="185" w:lineRule="exact"/>
        <w:rPr>
          <w:sz w:val="20"/>
          <w:szCs w:val="20"/>
          <w:color w:val="auto"/>
        </w:rPr>
      </w:pPr>
    </w:p>
    <w:p>
      <w:pPr>
        <w:ind w:left="200" w:right="379" w:firstLine="9"/>
        <w:spacing w:after="0" w:line="254" w:lineRule="auto"/>
        <w:tabs>
          <w:tab w:leader="none" w:pos="848" w:val="left"/>
        </w:tabs>
        <w:numPr>
          <w:ilvl w:val="0"/>
          <w:numId w:val="41"/>
        </w:numPr>
        <w:rPr>
          <w:rFonts w:ascii="Arial" w:cs="Arial" w:eastAsia="Arial" w:hAnsi="Arial"/>
          <w:sz w:val="16"/>
          <w:szCs w:val="16"/>
          <w:color w:val="auto"/>
        </w:rPr>
      </w:pPr>
      <w:r>
        <w:rPr>
          <w:rFonts w:ascii="Arial" w:cs="Arial" w:eastAsia="Arial" w:hAnsi="Arial"/>
          <w:sz w:val="16"/>
          <w:szCs w:val="16"/>
          <w:b w:val="1"/>
          <w:bCs w:val="1"/>
          <w:color w:val="auto"/>
        </w:rPr>
        <w:t xml:space="preserve">Vesting on Change of Control. </w:t>
      </w:r>
      <w:r>
        <w:rPr>
          <w:rFonts w:ascii="Arial" w:cs="Arial" w:eastAsia="Arial" w:hAnsi="Arial"/>
          <w:sz w:val="16"/>
          <w:szCs w:val="16"/>
          <w:color w:val="auto"/>
        </w:rPr>
        <w:t>Assuming that Grantee remains employed by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or Affiliate thereof (or has previously terminated such employment as a result of Grantee’s approved retirement (determined by the Committee in its sole discretion) or his or her death or disability) upon the occurrence of a Change in Control (as defined in the Plan) occurring prior to or on the Vested Date, upon such a Change in Control, the Award shall vest (subject to any applicable proration pursuant to Section 2(c) above in the event of any previous termination of employment resulting from Grantee’s approved retirement or Grantee’s death or disability at the Target Amount (as defined in Section 2(a)), become immediately payable and all restrictions shall be lifted. Notwithstanding the foregoing, if a Change in Control is anticipated to occur, then immediately prior to such Change in Control, the Committee may review the relevant performance and the performance criteria for any completed and/or in process performance periods (the “Elapsed Period”) to determine whether in its reasonable belief the Award (or portion thereof) for such Elapsed Period would have vested at the end of the applicable performance period in the absence of a Change in Control and the Committee may vest such number of Restricted Stock Units (and cause the remainder to be forfeited) effective upon the Change in Control as it determines would have so vested.</w:t>
      </w:r>
    </w:p>
    <w:p>
      <w:pPr>
        <w:spacing w:after="0" w:line="182" w:lineRule="exact"/>
        <w:rPr>
          <w:sz w:val="20"/>
          <w:szCs w:val="20"/>
          <w:color w:val="auto"/>
        </w:rPr>
      </w:pPr>
    </w:p>
    <w:p>
      <w:pPr>
        <w:ind w:left="200" w:right="359" w:firstLine="9"/>
        <w:spacing w:after="0" w:line="256" w:lineRule="auto"/>
        <w:tabs>
          <w:tab w:leader="none" w:pos="8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 of Vested Restricted Stock Units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be entitled to receive one Share for each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Unit with respect to which the Restricted Period expires pursuant to Section 2 or otherwise terminates. Subject to the provisions of the Plan and Section 8(a) hereof, such payment shall be made through the issuance to Grantee, as promptly as practicable thereafter (or to the executors or administrators of Grantee’s estate, as promptly as practicable after the Company’s receipt of notification of Grantee’s death, as the case may be), of a number of Shares equal to the number of such Restricted Stock Units with respect to which the Restricted Period shall have expired or terminated.</w:t>
      </w:r>
    </w:p>
    <w:p>
      <w:pPr>
        <w:spacing w:after="0" w:line="178" w:lineRule="exact"/>
        <w:rPr>
          <w:rFonts w:ascii="Arial" w:cs="Arial" w:eastAsia="Arial" w:hAnsi="Arial"/>
          <w:sz w:val="16"/>
          <w:szCs w:val="16"/>
          <w:b w:val="1"/>
          <w:bCs w:val="1"/>
          <w:color w:val="auto"/>
        </w:rPr>
      </w:pPr>
    </w:p>
    <w:p>
      <w:pPr>
        <w:ind w:left="200" w:right="319" w:firstLine="9"/>
        <w:spacing w:after="0" w:line="254" w:lineRule="auto"/>
        <w:tabs>
          <w:tab w:leader="none" w:pos="8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 Equivalent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shall receive dividend equivalent rights in respect of the Restricted</w:t>
      </w:r>
      <w:r>
        <w:rPr>
          <w:rFonts w:ascii="Arial" w:cs="Arial" w:eastAsia="Arial" w:hAnsi="Arial"/>
          <w:sz w:val="16"/>
          <w:szCs w:val="16"/>
          <w:b w:val="1"/>
          <w:bCs w:val="1"/>
          <w:color w:val="auto"/>
        </w:rPr>
        <w:t xml:space="preserve"> </w:t>
      </w:r>
      <w:r>
        <w:rPr>
          <w:rFonts w:ascii="Arial" w:cs="Arial" w:eastAsia="Arial" w:hAnsi="Arial"/>
          <w:sz w:val="16"/>
          <w:szCs w:val="16"/>
          <w:color w:val="auto"/>
        </w:rPr>
        <w:t>Stock Units covered by this Agreement at the time of any payment of dividends to stockholders on Shares. The Restricted Stock Units will be credited with a cash amount equal to the cash dividend amount that would be payable to Grantee as a stockholder in respect of a number of Shares equal to the number of Restricted Stock Units outstanding and unpaid as of the dividend record date (rounded down to the nearest one cent (or such other convention as may be determined by the Committee in its sole discretion)). The Restricted Stock Units will be credited with additional Restricted Stock Units (“Dividend Equivalent Units”) for stock dividends paid on Shares by multiplying the stock dividend paid per Share by the number of Restricted Stock Units (and, if any, previously credited Dividend Equivalent Units) outstanding and unpaid on the dividend record date (rounded down to the nearest whole share (or such other convention as may be determined by the Committee in its sole discretion)). Each cash dividend equivalent right (and, if applicable, any Dividend Equivalent Unit) will vest and be settled or payable at the same time as, and to the extent of the vesting of, the Restricted Stock Units to which such dividend equivalent right (and, if applicable, any Dividend Equivalent Unit) relates.</w:t>
      </w:r>
    </w:p>
    <w:p>
      <w:pPr>
        <w:spacing w:after="0" w:line="182" w:lineRule="exact"/>
        <w:rPr>
          <w:rFonts w:ascii="Arial" w:cs="Arial" w:eastAsia="Arial" w:hAnsi="Arial"/>
          <w:sz w:val="16"/>
          <w:szCs w:val="16"/>
          <w:b w:val="1"/>
          <w:bCs w:val="1"/>
          <w:color w:val="auto"/>
        </w:rPr>
      </w:pPr>
    </w:p>
    <w:p>
      <w:pPr>
        <w:ind w:left="200" w:right="419" w:firstLine="9"/>
        <w:spacing w:after="0" w:line="266" w:lineRule="auto"/>
        <w:tabs>
          <w:tab w:leader="none" w:pos="8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as a Stockholder</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above, Grantee shall not have voting or any other rights as a</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of the Company with respect to Restricted Stock Units. Grantee will obtain full voting and other rights as a stockholder of the Company upon the settlement of Restricted Stock Units in Shares.</w:t>
      </w:r>
    </w:p>
    <w:p>
      <w:pPr>
        <w:spacing w:after="0" w:line="171" w:lineRule="exact"/>
        <w:rPr>
          <w:rFonts w:ascii="Arial" w:cs="Arial" w:eastAsia="Arial" w:hAnsi="Arial"/>
          <w:sz w:val="16"/>
          <w:szCs w:val="16"/>
          <w:b w:val="1"/>
          <w:bCs w:val="1"/>
          <w:color w:val="auto"/>
        </w:rPr>
      </w:pPr>
    </w:p>
    <w:p>
      <w:pPr>
        <w:ind w:left="200" w:right="439" w:firstLine="9"/>
        <w:spacing w:after="0" w:line="255" w:lineRule="auto"/>
        <w:tabs>
          <w:tab w:leader="none" w:pos="848"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Adjustments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Committee shall make appropriate adjustments in the terms and conditions of,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criteria included in, this Award in recognition of unusual or nonrecurring events affecting the Company or any Subsidiary or Affiliate, or the financial statements of the Company or any Subsidiary or Affiliate, or of changes in applicable laws, regulations, or accounting principles, whenever the Committee determines that such adjustments are appropriate in order to prevent dilution or enlargement of the benefits or potential benefits intended to be made available under the Plan. Upon the occurrence of any of the events described in Section 4.2 of the Plan, the Committee shall make the adjustments described in this Section 6. Any such adjustments shall be made in a manner provided in Section 4.2 of the Plan and in a manner that does not result in a discretionary increase in the amounts payable under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5" w:name="page56"/>
    <w:bookmarkEnd w:id="55"/>
    <w:p>
      <w:pPr>
        <w:ind w:left="200" w:right="379" w:firstLine="9"/>
        <w:spacing w:after="0" w:line="260" w:lineRule="auto"/>
        <w:tabs>
          <w:tab w:leader="none" w:pos="84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 to Award</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restrictions contained in the Plan, the Committee may waive any</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or rights under, amend any terms of, or alter, suspend, discontinue, cancel or terminate the Award, prospectively or retroactively; provided that any such waiver, amendment, alteration, suspension, discontinuance, cancellation or termination that would materially and adversely affect the rights of Grantee or any holder or beneficiary of the Award shall not to that extent be effective without the consent of Grantee, holder or beneficiary affected.</w:t>
      </w:r>
    </w:p>
    <w:p>
      <w:pPr>
        <w:spacing w:after="0" w:line="177" w:lineRule="exact"/>
        <w:rPr>
          <w:rFonts w:ascii="Arial" w:cs="Arial" w:eastAsia="Arial" w:hAnsi="Arial"/>
          <w:sz w:val="16"/>
          <w:szCs w:val="16"/>
          <w:b w:val="1"/>
          <w:bCs w:val="1"/>
          <w:color w:val="auto"/>
        </w:rPr>
      </w:pPr>
    </w:p>
    <w:p>
      <w:pPr>
        <w:ind w:left="860" w:hanging="651"/>
        <w:spacing w:after="0"/>
        <w:tabs>
          <w:tab w:leader="none" w:pos="8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Section 409A</w:t>
      </w:r>
      <w:r>
        <w:rPr>
          <w:rFonts w:ascii="Arial" w:cs="Arial" w:eastAsia="Arial" w:hAnsi="Arial"/>
          <w:sz w:val="16"/>
          <w:szCs w:val="16"/>
          <w:b w:val="1"/>
          <w:bCs w:val="1"/>
          <w:color w:val="auto"/>
        </w:rPr>
        <w:t>.</w:t>
      </w:r>
    </w:p>
    <w:p>
      <w:pPr>
        <w:spacing w:after="0" w:line="207" w:lineRule="exact"/>
        <w:rPr>
          <w:rFonts w:ascii="Arial" w:cs="Arial" w:eastAsia="Arial" w:hAnsi="Arial"/>
          <w:sz w:val="16"/>
          <w:szCs w:val="16"/>
          <w:b w:val="1"/>
          <w:bCs w:val="1"/>
          <w:color w:val="auto"/>
        </w:rPr>
      </w:pPr>
    </w:p>
    <w:p>
      <w:pPr>
        <w:ind w:left="200" w:right="319" w:firstLine="657"/>
        <w:spacing w:after="0" w:line="254" w:lineRule="auto"/>
        <w:tabs>
          <w:tab w:leader="none" w:pos="1496"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As a condition to the Company’s issuance of any Shares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in settlement of this Award, Grantee shall pay to the Company the minimum amount necessary to satisfy any Withholding Tax Obligations (as defined below) applicable with respect to the grant, vesting or settlement of this Award or any portion thereof at such times as are required by law. The payment shall be in cash or at the election of Grantee by means of: (i) the delivery of Shares previously owned by Grantee, subject to applicable legal requirements, and held for the requisite period of time as may be required to avoid the Company incurring any adverse accounting charge; (ii) a reduction in the number of Shares otherwise deliverable upon vesting or other amounts otherwise payable to Grantee pursuant to this Agreement; or (iii) a combination of (i) and/or (ii). The value of any Shares delivered or withheld as payment in respect of the Withholding Tax Obligation shall be determined by reference to the Fair Market Value of such Shares as of the date of such withholding or delivery. For purposes hereof, the “Withholding Tax Obligation” means the minimum amount necessary to satisfy U.S. federal, state, local or non-U.S. withholding employment tax and similar requirements, if any, in connection with the vesting or settlement of all or a portion of the Award; provided, however, that, in the sole discretion of the Company, the Company may allow Grantee to have an additional amount or additional number of Shares withheld to satisfy an additional amount of withholding taxes up to the maximum individual statutory rate in the applicable jurisdiction, but only if such additional withholding, or the discretion to elect such additional withholding, does not result in adverse accounting treatment of this Award to the Company.</w:t>
      </w:r>
    </w:p>
    <w:p>
      <w:pPr>
        <w:spacing w:after="0" w:line="367" w:lineRule="exact"/>
        <w:rPr>
          <w:rFonts w:ascii="Arial" w:cs="Arial" w:eastAsia="Arial" w:hAnsi="Arial"/>
          <w:sz w:val="16"/>
          <w:szCs w:val="16"/>
          <w:color w:val="auto"/>
        </w:rPr>
      </w:pPr>
    </w:p>
    <w:p>
      <w:pPr>
        <w:ind w:left="200" w:right="319" w:firstLine="657"/>
        <w:spacing w:after="0" w:line="256" w:lineRule="auto"/>
        <w:tabs>
          <w:tab w:leader="none" w:pos="1415" w:val="left"/>
        </w:tabs>
        <w:numPr>
          <w:ilvl w:val="1"/>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Tax Treatment of Settlement. </w:t>
      </w:r>
      <w:r>
        <w:rPr>
          <w:rFonts w:ascii="Arial" w:cs="Arial" w:eastAsia="Arial" w:hAnsi="Arial"/>
          <w:sz w:val="16"/>
          <w:szCs w:val="16"/>
          <w:color w:val="auto"/>
        </w:rPr>
        <w:t>Notwithstanding anything herein to the contrary, to the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permitted by applicable law, the settlement of the Restricted Stock Units (including any dividend equivalent rights) to be made to Grantee pursuant to this agreement is intended of quality as a “short-term deferral” pursuant to Section 1.409A-1(b)(4) of the Regulations, and this Agreement shall be interpreted consistently therewith. However, under certain circumstances, including where Grantee has elected to defer settlement of this Award, settlement of the Restricted Stock Units or any dividend equivalent rights may not so qualify, and in that case, the Committee shall administer the grant and settlement of such Restricted Stock Units and any dividend equivalent rights in strict compliance with Section 409A of the Code, including but not limited to delaying, if required, the issuance of Shares contemplated hereunder. Each payment of Restricted Stock Units (and dividend equivalent rights related thereto that have accrued pursuant to Section 4) constitutes a “separate payment” for purposes of Section 409A of the Code.</w:t>
      </w:r>
    </w:p>
    <w:p>
      <w:pPr>
        <w:spacing w:after="0" w:line="170" w:lineRule="exact"/>
        <w:rPr>
          <w:rFonts w:ascii="Arial" w:cs="Arial" w:eastAsia="Arial" w:hAnsi="Arial"/>
          <w:sz w:val="16"/>
          <w:szCs w:val="16"/>
          <w:color w:val="auto"/>
        </w:rPr>
      </w:pPr>
    </w:p>
    <w:p>
      <w:pPr>
        <w:ind w:left="200" w:right="619" w:firstLine="9"/>
        <w:spacing w:after="0" w:line="260" w:lineRule="auto"/>
        <w:tabs>
          <w:tab w:leader="none" w:pos="84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Right to Continued Employment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or the Plan shall be interpreted or</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to confer upon Grantee any right to continued employment by the Company or any of its Subsidiaries or Affiliates, nor shall this Agreement or the Plan interfere in any way with the right of the Company or any of its Subsidiaries or Affiliates to terminate Grantee’s employment at any time for any reason whatsoever, whether or not with cause.</w:t>
      </w:r>
    </w:p>
    <w:p>
      <w:pPr>
        <w:spacing w:after="0" w:line="177" w:lineRule="exact"/>
        <w:rPr>
          <w:rFonts w:ascii="Arial" w:cs="Arial" w:eastAsia="Arial" w:hAnsi="Arial"/>
          <w:sz w:val="16"/>
          <w:szCs w:val="16"/>
          <w:b w:val="1"/>
          <w:bCs w:val="1"/>
          <w:color w:val="auto"/>
        </w:rPr>
      </w:pPr>
    </w:p>
    <w:p>
      <w:pPr>
        <w:ind w:left="200" w:right="399" w:firstLine="9"/>
        <w:spacing w:after="0" w:line="266" w:lineRule="auto"/>
        <w:tabs>
          <w:tab w:leader="none" w:pos="84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Plan Governs</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hereby acknowledges receipt of a copy of the Plan and agrees to be bound by all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provisions thereof. The terms of this Agreement are governed by the terms of the Plan, and in the case of any inconsistency between the terms of this Agreement and the terms of the Plan, the terms of the Plan shall govern.</w:t>
      </w:r>
    </w:p>
    <w:p>
      <w:pPr>
        <w:spacing w:after="0" w:line="171" w:lineRule="exact"/>
        <w:rPr>
          <w:rFonts w:ascii="Arial" w:cs="Arial" w:eastAsia="Arial" w:hAnsi="Arial"/>
          <w:sz w:val="16"/>
          <w:szCs w:val="16"/>
          <w:b w:val="1"/>
          <w:bCs w:val="1"/>
          <w:color w:val="auto"/>
        </w:rPr>
      </w:pPr>
    </w:p>
    <w:p>
      <w:pPr>
        <w:ind w:left="200" w:right="419" w:firstLine="9"/>
        <w:spacing w:after="0" w:line="258" w:lineRule="auto"/>
        <w:tabs>
          <w:tab w:leader="none" w:pos="848"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provision of this Agreement is, or becomes, or is deemed to be invalid, illegal, or</w:t>
      </w:r>
      <w:r>
        <w:rPr>
          <w:rFonts w:ascii="Arial" w:cs="Arial" w:eastAsia="Arial" w:hAnsi="Arial"/>
          <w:sz w:val="16"/>
          <w:szCs w:val="16"/>
          <w:b w:val="1"/>
          <w:bCs w:val="1"/>
          <w:color w:val="auto"/>
        </w:rPr>
        <w:t xml:space="preserve"> </w:t>
      </w:r>
      <w:r>
        <w:rPr>
          <w:rFonts w:ascii="Arial" w:cs="Arial" w:eastAsia="Arial" w:hAnsi="Arial"/>
          <w:sz w:val="16"/>
          <w:szCs w:val="16"/>
          <w:color w:val="auto"/>
        </w:rPr>
        <w:t>unenforceable in any jurisdiction or as to any Person or the Award, or would disqualify the Plan or Award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Award, such provision shall be stricken as to such jurisdiction, Person or Award, and the remainder of the Plan and Award shall remain in full force and effect.</w:t>
      </w:r>
    </w:p>
    <w:p>
      <w:pPr>
        <w:spacing w:after="0" w:line="176" w:lineRule="exact"/>
        <w:rPr>
          <w:rFonts w:ascii="Arial" w:cs="Arial" w:eastAsia="Arial" w:hAnsi="Arial"/>
          <w:sz w:val="16"/>
          <w:szCs w:val="16"/>
          <w:b w:val="1"/>
          <w:bCs w:val="1"/>
          <w:color w:val="auto"/>
        </w:rPr>
      </w:pPr>
    </w:p>
    <w:p>
      <w:pPr>
        <w:ind w:left="860" w:hanging="651"/>
        <w:spacing w:after="0"/>
        <w:tabs>
          <w:tab w:leader="none" w:pos="86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required to be given under this Agreement shall be deemed to be received if delivered or</w:t>
      </w:r>
    </w:p>
    <w:p>
      <w:pPr>
        <w:spacing w:after="0" w:line="21" w:lineRule="exact"/>
        <w:rPr>
          <w:rFonts w:ascii="Arial" w:cs="Arial" w:eastAsia="Arial" w:hAnsi="Arial"/>
          <w:sz w:val="16"/>
          <w:szCs w:val="16"/>
          <w:b w:val="1"/>
          <w:bCs w:val="1"/>
          <w:color w:val="auto"/>
        </w:rPr>
      </w:pPr>
    </w:p>
    <w:p>
      <w:pPr>
        <w:ind w:left="200" w:right="359"/>
        <w:spacing w:after="0" w:line="283" w:lineRule="auto"/>
        <w:rPr>
          <w:rFonts w:ascii="Arial" w:cs="Arial" w:eastAsia="Arial" w:hAnsi="Arial"/>
          <w:sz w:val="16"/>
          <w:szCs w:val="16"/>
          <w:b w:val="1"/>
          <w:bCs w:val="1"/>
          <w:color w:val="auto"/>
        </w:rPr>
      </w:pPr>
      <w:r>
        <w:rPr>
          <w:rFonts w:ascii="Arial" w:cs="Arial" w:eastAsia="Arial" w:hAnsi="Arial"/>
          <w:sz w:val="16"/>
          <w:szCs w:val="16"/>
          <w:color w:val="auto"/>
        </w:rPr>
        <w:t>mailed: (1) to Company, at One Gaylord Drive, Nashville TN 37214; and (2) to Grantee, at the address currently on file with the Company, or to such other address as either party may provide in writing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434975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6" w:name="page57"/>
    <w:bookmarkEnd w:id="56"/>
    <w:p>
      <w:pPr>
        <w:ind w:left="200" w:right="579" w:firstLine="9"/>
        <w:spacing w:after="0" w:line="286" w:lineRule="auto"/>
        <w:tabs>
          <w:tab w:leader="none" w:pos="8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construction and effect of this Agreement shall be determined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laws of the State of Delaware without giving effect to conflicts of laws principles.</w:t>
      </w:r>
    </w:p>
    <w:p>
      <w:pPr>
        <w:spacing w:after="0" w:line="142" w:lineRule="exact"/>
        <w:rPr>
          <w:rFonts w:ascii="Arial" w:cs="Arial" w:eastAsia="Arial" w:hAnsi="Arial"/>
          <w:sz w:val="16"/>
          <w:szCs w:val="16"/>
          <w:b w:val="1"/>
          <w:bCs w:val="1"/>
          <w:color w:val="auto"/>
        </w:rPr>
      </w:pPr>
    </w:p>
    <w:p>
      <w:pPr>
        <w:ind w:left="200" w:right="499" w:firstLine="9"/>
        <w:spacing w:after="0" w:line="265" w:lineRule="auto"/>
        <w:tabs>
          <w:tab w:leader="none" w:pos="8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Successors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inure to the benefit of and be binding upon any successor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This Agreement shall inure to the benefit of Grantee’s legal representatives. All obligations imposed upon Grantee and all rights granted to the Company under this Agreement shall be binding upon Grantee’s heirs, executors, administrators and successors.</w:t>
      </w:r>
    </w:p>
    <w:p>
      <w:pPr>
        <w:spacing w:after="0" w:line="145" w:lineRule="exact"/>
        <w:rPr>
          <w:rFonts w:ascii="Arial" w:cs="Arial" w:eastAsia="Arial" w:hAnsi="Arial"/>
          <w:sz w:val="16"/>
          <w:szCs w:val="16"/>
          <w:b w:val="1"/>
          <w:bCs w:val="1"/>
          <w:color w:val="auto"/>
        </w:rPr>
      </w:pPr>
    </w:p>
    <w:p>
      <w:pPr>
        <w:ind w:left="200" w:right="359" w:firstLine="9"/>
        <w:spacing w:after="0" w:line="275" w:lineRule="auto"/>
        <w:tabs>
          <w:tab w:leader="none" w:pos="8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Resolution of Disputes</w:t>
      </w:r>
      <w:r>
        <w:rPr>
          <w:rFonts w:ascii="Arial" w:cs="Arial" w:eastAsia="Arial" w:hAnsi="Arial"/>
          <w:sz w:val="16"/>
          <w:szCs w:val="16"/>
          <w:b w:val="1"/>
          <w:bCs w:val="1"/>
          <w:color w:val="auto"/>
        </w:rPr>
        <w:t xml:space="preserve">. </w:t>
      </w:r>
      <w:r>
        <w:rPr>
          <w:rFonts w:ascii="Arial" w:cs="Arial" w:eastAsia="Arial" w:hAnsi="Arial"/>
          <w:sz w:val="16"/>
          <w:szCs w:val="16"/>
          <w:color w:val="auto"/>
        </w:rPr>
        <w:t>Any dispute or disagreement which may arise under, or as a result of, or in any way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interpretation, construction or application of this Agreement shall be determined by the Committee. Any determination made hereunder shall be final, binding and conclusive on Grantee and the Company for all purposes.</w:t>
      </w:r>
    </w:p>
    <w:p>
      <w:pPr>
        <w:spacing w:after="0" w:line="137" w:lineRule="exact"/>
        <w:rPr>
          <w:rFonts w:ascii="Arial" w:cs="Arial" w:eastAsia="Arial" w:hAnsi="Arial"/>
          <w:sz w:val="16"/>
          <w:szCs w:val="16"/>
          <w:b w:val="1"/>
          <w:bCs w:val="1"/>
          <w:color w:val="auto"/>
        </w:rPr>
      </w:pPr>
    </w:p>
    <w:p>
      <w:pPr>
        <w:ind w:left="200" w:right="379" w:firstLine="9"/>
        <w:spacing w:after="0" w:line="254" w:lineRule="auto"/>
        <w:tabs>
          <w:tab w:leader="none" w:pos="8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Recoupment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Award granted to Grantee pursuant to this Agreement, and any prior awards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under the Plan, including any amounts paid or property received in settlement or satisfaction thereof, shall be subject to forfeiture, repayment, reimbursement or other recoupment (i) to the extent that Grantee in the future becomes subject to any recoupment or clawback policy hereafter adopted by the Company, including any such policy adopted by the Company to comply with the requirements of any applicable laws, rules or regulations, including pursuant to final SEC rules and/or New York Stock Exchange listing standards with respect to recoupment adopted in connection with the Dodd-Frank Wall Street Reform and Consumer Protection Act (such final rules and New York Stock Exchange listing standards, the “Dodd-Frank Clawback Requirements”) (such policy referenced in clause (i), as amended from time to time, the “Policy”), and (ii) to the extent provided under any applicable laws and/or listing standards which impose mandatory recoupment, under circumstances set forth in such applicable laws and listing standards, including pursuant to the Dodd-Frank Clawback Requirements and the Sarbanes-Oxley Act of 2002. The Company may utilize any method of recovery specified in the Policy in connection with any recoupment pursuant to the terms of the Policy.</w:t>
      </w:r>
    </w:p>
    <w:p>
      <w:pPr>
        <w:spacing w:after="0" w:line="168" w:lineRule="exact"/>
        <w:rPr>
          <w:rFonts w:ascii="Arial" w:cs="Arial" w:eastAsia="Arial" w:hAnsi="Arial"/>
          <w:sz w:val="16"/>
          <w:szCs w:val="16"/>
          <w:b w:val="1"/>
          <w:bCs w:val="1"/>
          <w:color w:val="auto"/>
        </w:rPr>
      </w:pPr>
    </w:p>
    <w:p>
      <w:pPr>
        <w:ind w:left="200" w:right="499" w:firstLine="9"/>
        <w:spacing w:after="0" w:line="260" w:lineRule="auto"/>
        <w:tabs>
          <w:tab w:leader="none" w:pos="848"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of Code of Conduct and Insider Trading Policy(ies)</w:t>
      </w:r>
      <w:r>
        <w:rPr>
          <w:rFonts w:ascii="Arial" w:cs="Arial" w:eastAsia="Arial" w:hAnsi="Arial"/>
          <w:sz w:val="16"/>
          <w:szCs w:val="16"/>
          <w:b w:val="1"/>
          <w:bCs w:val="1"/>
          <w:color w:val="auto"/>
        </w:rPr>
        <w:t xml:space="preserve">. </w:t>
      </w:r>
      <w:r>
        <w:rPr>
          <w:rFonts w:ascii="Arial" w:cs="Arial" w:eastAsia="Arial" w:hAnsi="Arial"/>
          <w:sz w:val="16"/>
          <w:szCs w:val="16"/>
          <w:color w:val="auto"/>
        </w:rPr>
        <w:t>By accepting this Award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means of execution and delivery of this Agreement, Grantee acknowledges that Grantee has been provided with the opportunity to review, and Grantee accepts the provisions of, the following policies of the Company: (i) Code of Conduct and Business Ethics,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(ii) Insider Trading Policy,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and (iii) if applicable to Grantee, Special Insider Trading Policy,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w:t>
      </w:r>
    </w:p>
    <w:p>
      <w:pPr>
        <w:spacing w:after="0" w:line="178" w:lineRule="exact"/>
        <w:rPr>
          <w:sz w:val="20"/>
          <w:szCs w:val="20"/>
          <w:color w:val="auto"/>
        </w:rPr>
      </w:pPr>
    </w:p>
    <w:p>
      <w:pPr>
        <w:ind w:left="200" w:right="499"/>
        <w:spacing w:after="0" w:line="286" w:lineRule="auto"/>
        <w:rPr>
          <w:sz w:val="20"/>
          <w:szCs w:val="20"/>
          <w:color w:val="auto"/>
        </w:rPr>
      </w:pPr>
      <w:r>
        <w:rPr>
          <w:rFonts w:ascii="Arial" w:cs="Arial" w:eastAsia="Arial" w:hAnsi="Arial"/>
          <w:sz w:val="16"/>
          <w:szCs w:val="16"/>
          <w:color w:val="auto"/>
        </w:rPr>
        <w:t>IN WITNESS WHEREOF, the Company has caused this Agreement to be duly executed by an officer thereunto duly authorized, and Grantee has executed this Agreement, all as of the date first above written.</w:t>
      </w:r>
    </w:p>
    <w:p>
      <w:pPr>
        <w:spacing w:after="0" w:line="15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Ryman Hospitality Properties, Inc.</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/s/ Scott Lynn</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Scott Lynn, EVP &amp; General Counsel</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DATE ACCEPTED BY GRANTEE: ###ACCEPTANCE_DATE###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Exhibits to Award Agreement follow</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354965</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u w:val="single" w:color="auto"/>
          <w:color w:val="auto"/>
        </w:rPr>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u w:val="single" w:color="auto"/>
          <w:color w:val="auto"/>
        </w:rPr>
        <w:t>EXHIBIT B</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6"/>
          <w:szCs w:val="16"/>
          <w:b w:val="1"/>
          <w:bCs w:val="1"/>
          <w:u w:val="single" w:color="auto"/>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363855</wp:posOffset>
            </wp:positionV>
            <wp:extent cx="545211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Fioravanti,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left="660" w:right="20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656"/>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80" w:hanging="652"/>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80" w:firstLine="656"/>
        <w:spacing w:after="0" w:line="266"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12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98323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Mark Fioravanti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Hutcheson, certify that:</w:t>
      </w:r>
    </w:p>
    <w:p>
      <w:pPr>
        <w:spacing w:after="0" w:line="225" w:lineRule="exact"/>
        <w:rPr>
          <w:sz w:val="20"/>
          <w:szCs w:val="20"/>
          <w:color w:val="auto"/>
        </w:rPr>
      </w:pPr>
    </w:p>
    <w:p>
      <w:pPr>
        <w:ind w:left="680" w:hanging="672"/>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Ryman Hospitality Properties, Inc.;</w:t>
      </w:r>
    </w:p>
    <w:p>
      <w:pPr>
        <w:spacing w:after="0" w:line="225" w:lineRule="exact"/>
        <w:rPr>
          <w:rFonts w:ascii="Times New Roman" w:cs="Times New Roman" w:eastAsia="Times New Roman" w:hAnsi="Times New Roman"/>
          <w:sz w:val="18"/>
          <w:szCs w:val="18"/>
          <w:color w:val="auto"/>
        </w:rPr>
      </w:pPr>
    </w:p>
    <w:p>
      <w:pPr>
        <w:ind w:right="400" w:firstLine="8"/>
        <w:spacing w:after="0" w:line="266" w:lineRule="auto"/>
        <w:tabs>
          <w:tab w:leader="none" w:pos="6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8"/>
        <w:spacing w:after="0" w:line="266" w:lineRule="auto"/>
        <w:tabs>
          <w:tab w:leader="none" w:pos="6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right="500" w:firstLine="8"/>
        <w:spacing w:after="0" w:line="266" w:lineRule="auto"/>
        <w:tabs>
          <w:tab w:leader="none" w:pos="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132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12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00" w:firstLine="656"/>
        <w:spacing w:after="0" w:line="266" w:lineRule="auto"/>
        <w:tabs>
          <w:tab w:leader="none" w:pos="132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right="120" w:firstLine="656"/>
        <w:spacing w:after="0" w:line="266" w:lineRule="auto"/>
        <w:tabs>
          <w:tab w:leader="none" w:pos="129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66" w:lineRule="auto"/>
        <w:tabs>
          <w:tab w:leader="none" w:pos="6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right="560" w:firstLine="656"/>
        <w:spacing w:after="0" w:line="266" w:lineRule="auto"/>
        <w:tabs>
          <w:tab w:leader="none" w:pos="13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right="280" w:firstLine="656"/>
        <w:spacing w:after="0" w:line="282" w:lineRule="auto"/>
        <w:tabs>
          <w:tab w:leader="none" w:pos="128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4517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Jennifer Hutcheson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Ryman Hospitality Properties, Inc. (the "Company") on Form 10-Q for the quarter ended March 31, 2023, as filed with the Securities and Exchange Commission on the date hereof (the "Report"), each of the undersigned certifies, pursuant to 18 U.S.C. § 1350, as adopted pursuant to §906 of the Sarbanes-Oxley Act of 2002, that:</w:t>
      </w:r>
    </w:p>
    <w:p>
      <w:pPr>
        <w:spacing w:after="0" w:line="176" w:lineRule="exact"/>
        <w:rPr>
          <w:sz w:val="20"/>
          <w:szCs w:val="20"/>
          <w:color w:val="auto"/>
        </w:rPr>
      </w:pPr>
    </w:p>
    <w:p>
      <w:pPr>
        <w:ind w:left="1260" w:hanging="60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40" w:firstLine="656"/>
        <w:spacing w:after="0" w:line="282" w:lineRule="auto"/>
        <w:tabs>
          <w:tab w:leader="none" w:pos="125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4, 2023</w:t>
      </w:r>
    </w:p>
    <w:p>
      <w:pPr>
        <w:spacing w:after="0" w:line="2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By: /s/ 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17145</wp:posOffset>
            </wp:positionV>
            <wp:extent cx="21856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Jennifer Hutcheson</w:t>
      </w:r>
    </w:p>
    <w:p>
      <w:pPr>
        <w:spacing w:after="0" w:line="2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May 4, 2023</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upperLetter"/>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1)"/>
      <w:numFmt w:val="lowerRoman"/>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22"/>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upperLetter"/>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decimal"/>
      <w:start w:val="2"/>
    </w:lvl>
  </w:abstractNum>
  <w:abstractNum w:abstractNumId="27">
    <w:nsid w:val="7724C67E"/>
    <w:multiLevelType w:val="hybridMultilevel"/>
    <w:lvl w:ilvl="0">
      <w:lvlJc w:val="left"/>
      <w:lvlText w:val="(%1)"/>
      <w:numFmt w:val="lowerLetter"/>
      <w:start w:val="1"/>
    </w:lvl>
  </w:abstractNum>
  <w:abstractNum w:abstractNumId="28">
    <w:nsid w:val="5C482A97"/>
    <w:multiLevelType w:val="hybridMultilevel"/>
    <w:lvl w:ilvl="0">
      <w:lvlJc w:val="left"/>
      <w:lvlText w:val="(%1)"/>
      <w:numFmt w:val="lowerLetter"/>
      <w:start w:val="2"/>
    </w:lvl>
  </w:abstractNum>
  <w:abstractNum w:abstractNumId="29">
    <w:nsid w:val="2463B9EA"/>
    <w:multiLevelType w:val="hybridMultilevel"/>
    <w:lvl w:ilvl="0">
      <w:lvlJc w:val="left"/>
      <w:lvlText w:val="%1."/>
      <w:numFmt w:val="decimal"/>
      <w:start w:val="3"/>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decimal"/>
      <w:start w:val="5"/>
    </w:lvl>
    <w:lvl w:ilvl="1">
      <w:lvlJc w:val="left"/>
      <w:lvlText w:val="(%2)"/>
      <w:numFmt w:val="lowerLetter"/>
      <w:start w:val="1"/>
    </w:lvl>
  </w:abstractNum>
  <w:abstractNum w:abstractNumId="32">
    <w:nsid w:val="2D517796"/>
    <w:multiLevelType w:val="hybridMultilevel"/>
    <w:lvl w:ilvl="0">
      <w:lvlJc w:val="left"/>
      <w:lvlText w:val="%1."/>
      <w:numFmt w:val="decimal"/>
      <w:start w:val="11"/>
    </w:lvl>
  </w:abstractNum>
  <w:abstractNum w:abstractNumId="33">
    <w:nsid w:val="580BD78F"/>
    <w:multiLevelType w:val="hybridMultilevel"/>
    <w:lvl w:ilvl="0">
      <w:lvlJc w:val="left"/>
      <w:lvlText w:val="%1."/>
      <w:numFmt w:val="decimal"/>
      <w:start w:val="17"/>
    </w:lvl>
  </w:abstractNum>
  <w:abstractNum w:abstractNumId="34">
    <w:nsid w:val="153EA438"/>
    <w:multiLevelType w:val="hybridMultilevel"/>
    <w:lvl w:ilvl="0">
      <w:lvlJc w:val="left"/>
      <w:lvlText w:val="(%1)"/>
      <w:numFmt w:val="upperLetter"/>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decimal"/>
      <w:start w:val="2"/>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2"/>
    </w:lvl>
  </w:abstractNum>
  <w:abstractNum w:abstractNumId="40">
    <w:nsid w:val="725A06FB"/>
    <w:multiLevelType w:val="hybridMultilevel"/>
    <w:lvl w:ilvl="0">
      <w:lvlJc w:val="left"/>
      <w:lvlText w:val="(%1)"/>
      <w:numFmt w:val="lowerLetter"/>
      <w:start w:val="4"/>
    </w:lvl>
  </w:abstractNum>
  <w:abstractNum w:abstractNumId="41">
    <w:nsid w:val="2CD89A32"/>
    <w:multiLevelType w:val="hybridMultilevel"/>
    <w:lvl w:ilvl="0">
      <w:lvlJc w:val="left"/>
      <w:lvlText w:val="%1."/>
      <w:numFmt w:val="decimal"/>
      <w:start w:val="3"/>
    </w:lvl>
  </w:abstractNum>
  <w:abstractNum w:abstractNumId="42">
    <w:nsid w:val="57E4CCAF"/>
    <w:multiLevelType w:val="hybridMultilevel"/>
    <w:lvl w:ilvl="0">
      <w:lvlJc w:val="left"/>
      <w:lvlText w:val="%1."/>
      <w:numFmt w:val="decimal"/>
      <w:start w:val="7"/>
    </w:lvl>
    <w:lvl w:ilvl="1">
      <w:lvlJc w:val="left"/>
      <w:lvlText w:val="(%2)"/>
      <w:numFmt w:val="lowerLetter"/>
      <w:start w:val="1"/>
    </w:lvl>
  </w:abstractNum>
  <w:abstractNum w:abstractNumId="43">
    <w:nsid w:val="7A6D8D3C"/>
    <w:multiLevelType w:val="hybridMultilevel"/>
    <w:lvl w:ilvl="0">
      <w:lvlJc w:val="left"/>
      <w:lvlText w:val="%1."/>
      <w:numFmt w:val="decimal"/>
      <w:start w:val="13"/>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51" Type="http://schemas.openxmlformats.org/officeDocument/2006/relationships/hyperlink" Target="http://www.sec.gov/Archives/edgar/data/1040829/000119312512410191/d419132dex31.htm" TargetMode="External"/><Relationship Id="rId52" Type="http://schemas.openxmlformats.org/officeDocument/2006/relationships/hyperlink" Target="https://www.sec.gov/Archives/edgar/data/1040829/000155837023002012/rhp-20221231xex3d2.htm" TargetMode="External"/><Relationship Id="rId53" Type="http://schemas.openxmlformats.org/officeDocument/2006/relationships/hyperlink" Target="https://www.sec.gov/Archives/edgar/data/1040829/000155837023002012/rhp-202212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2023-05-04T12:03:40Z</dcterms:created>
  <dcterms:modified xsi:type="dcterms:W3CDTF">2023-05-04T12:03:40Z</dcterms:modified>
</cp:coreProperties>
</file>