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6" w:lineRule="exact"/>
        <w:rPr>
          <w:sz w:val="24"/>
          <w:szCs w:val="24"/>
          <w:color w:val="auto"/>
        </w:rPr>
      </w:pPr>
    </w:p>
    <w:p>
      <w:pPr>
        <w:ind w:left="3340" w:right="980" w:hanging="3332"/>
        <w:spacing w:after="0" w:line="282" w:lineRule="auto"/>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June 30, 2022</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left="3740" w:right="960" w:hanging="3732"/>
        <w:spacing w:after="0" w:line="282" w:lineRule="auto"/>
        <w:tabs>
          <w:tab w:leader="none" w:pos="2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1-13079</w:t>
      </w:r>
    </w:p>
    <w:p>
      <w:pPr>
        <w:spacing w:after="0" w:line="11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u w:val="single" w:color="auto"/>
          <w:color w:val="auto"/>
        </w:rPr>
        <w:t>RYMAN HOSPITALITY PROPERTIES, INC.</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Times New Roman" w:cs="Times New Roman" w:eastAsia="Times New Roman" w:hAnsi="Times New Roman"/>
                <w:sz w:val="18"/>
                <w:szCs w:val="18"/>
                <w:color w:val="auto"/>
                <w:w w:val="98"/>
              </w:rPr>
              <w:t>Delaware</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6"/>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(615) 316-6000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0"/>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234"/>
        </w:trPr>
        <w:tc>
          <w:tcPr>
            <w:tcW w:w="740" w:type="dxa"/>
            <w:vAlign w:val="bottom"/>
          </w:tcPr>
          <w:p>
            <w:pPr>
              <w:spacing w:after="0"/>
              <w:rPr>
                <w:sz w:val="20"/>
                <w:szCs w:val="20"/>
                <w:color w:val="auto"/>
              </w:rPr>
            </w:pPr>
          </w:p>
        </w:tc>
        <w:tc>
          <w:tcPr>
            <w:tcW w:w="3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Title of Each Class</w:t>
            </w: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28"/>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$.01</w:t>
            </w:r>
          </w:p>
        </w:tc>
        <w:tc>
          <w:tcPr>
            <w:tcW w:w="3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RHP</w:t>
            </w:r>
          </w:p>
        </w:tc>
        <w:tc>
          <w:tcPr>
            <w:tcW w:w="3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2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7" w:lineRule="exact"/>
        <w:rPr>
          <w:sz w:val="24"/>
          <w:szCs w:val="24"/>
          <w:color w:val="auto"/>
        </w:rPr>
      </w:pPr>
    </w:p>
    <w:p>
      <w:pPr>
        <w:jc w:val="both"/>
        <w:ind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1"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right="680"/>
        <w:spacing w:after="0" w:line="23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3" w:lineRule="exact"/>
        <w:rPr>
          <w:sz w:val="24"/>
          <w:szCs w:val="24"/>
          <w:color w:val="auto"/>
        </w:rPr>
      </w:pPr>
    </w:p>
    <w:p>
      <w:pPr>
        <w:ind w:right="76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Indicate the number of shares outstanding of each of the issuer’s classes of common stock, as of the latest practicable date.</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as of July 29, 2022</w:t>
            </w:r>
          </w:p>
        </w:tc>
      </w:tr>
      <w:tr>
        <w:trPr>
          <w:trHeight w:val="228"/>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w:t>
            </w:r>
          </w:p>
        </w:tc>
        <w:tc>
          <w:tcPr>
            <w:tcW w:w="28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55,155,216 shares</w:t>
            </w:r>
          </w:p>
        </w:tc>
      </w:tr>
      <w:tr>
        <w:trPr>
          <w:trHeight w:val="319"/>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81"/>
        </w:trPr>
        <w:tc>
          <w:tcPr>
            <w:tcW w:w="4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40" w:type="dxa"/>
            <w:vAlign w:val="bottom"/>
            <w:gridSpan w:val="14"/>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RYMAN HOSPITALITY PROPERTIES, INC.</w:t>
            </w:r>
          </w:p>
        </w:tc>
        <w:tc>
          <w:tcPr>
            <w:tcW w:w="780" w:type="dxa"/>
            <w:vAlign w:val="bottom"/>
          </w:tcPr>
          <w:p>
            <w:pPr>
              <w:spacing w:after="0"/>
              <w:rPr>
                <w:sz w:val="20"/>
                <w:szCs w:val="20"/>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0"/>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0" w:type="dxa"/>
            <w:vAlign w:val="bottom"/>
            <w:gridSpan w:val="12"/>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For the Quarter Ended June 30, 2022</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0"/>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8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21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Part I - Financial Information</w:t>
            </w:r>
          </w:p>
        </w:tc>
        <w:tc>
          <w:tcPr>
            <w:tcW w:w="6000" w:type="dxa"/>
            <w:vAlign w:val="bottom"/>
            <w:gridSpan w:val="1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1.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 June 30, 2022 and December 31,</w:t>
            </w:r>
          </w:p>
        </w:tc>
        <w:tc>
          <w:tcPr>
            <w:tcW w:w="52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200" w:type="dxa"/>
            <w:vAlign w:val="bottom"/>
            <w:gridSpan w:val="3"/>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 (Loss)</w:t>
            </w: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6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 For the Three Months and Six Months Ended June 30, 2022 and 2021</w:t>
            </w:r>
          </w:p>
        </w:tc>
        <w:tc>
          <w:tcPr>
            <w:tcW w:w="160" w:type="dxa"/>
            <w:vAlign w:val="bottom"/>
            <w:tcBorders>
              <w:top w:val="single" w:sz="8" w:color="0000EE"/>
            </w:tcBorders>
          </w:tcPr>
          <w:p>
            <w:pPr>
              <w:spacing w:after="0"/>
              <w:rPr>
                <w:sz w:val="17"/>
                <w:szCs w:val="17"/>
                <w:color w:val="auto"/>
              </w:rPr>
            </w:pPr>
          </w:p>
        </w:tc>
        <w:tc>
          <w:tcPr>
            <w:tcW w:w="700" w:type="dxa"/>
            <w:vAlign w:val="bottom"/>
            <w:gridSpan w:val="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 - For the Six Months Ended</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June 30, 2022 and 2021</w:t>
            </w:r>
          </w:p>
        </w:tc>
        <w:tc>
          <w:tcPr>
            <w:tcW w:w="5200" w:type="dxa"/>
            <w:vAlign w:val="bottom"/>
            <w:gridSpan w:val="12"/>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(Deficit) and Noncontrolling Interest</w:t>
            </w:r>
          </w:p>
        </w:tc>
        <w:tc>
          <w:tcPr>
            <w:tcW w:w="86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(Unaudited) - For the Three Months and Six Months Ended June 30, 2022 and 2021</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4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880" w:type="dxa"/>
            <w:vAlign w:val="bottom"/>
            <w:gridSpan w:val="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0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420" w:type="dxa"/>
            <w:vAlign w:val="bottom"/>
            <w:gridSpan w:val="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412"/>
        </w:trPr>
        <w:tc>
          <w:tcPr>
            <w:tcW w:w="640" w:type="dxa"/>
            <w:vAlign w:val="bottom"/>
          </w:tcPr>
          <w:p>
            <w:pPr>
              <w:spacing w:after="0"/>
              <w:rPr>
                <w:sz w:val="24"/>
                <w:szCs w:val="24"/>
                <w:color w:val="auto"/>
              </w:rPr>
            </w:pPr>
          </w:p>
        </w:tc>
        <w:tc>
          <w:tcPr>
            <w:tcW w:w="49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50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412"/>
        </w:trPr>
        <w:tc>
          <w:tcPr>
            <w:tcW w:w="640" w:type="dxa"/>
            <w:vAlign w:val="bottom"/>
          </w:tcPr>
          <w:p>
            <w:pPr>
              <w:spacing w:after="0"/>
              <w:rPr>
                <w:sz w:val="24"/>
                <w:szCs w:val="24"/>
                <w:color w:val="auto"/>
              </w:rPr>
            </w:pPr>
          </w:p>
        </w:tc>
        <w:tc>
          <w:tcPr>
            <w:tcW w:w="23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510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412"/>
        </w:trPr>
        <w:tc>
          <w:tcPr>
            <w:tcW w:w="1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Part II - Other Information</w:t>
            </w:r>
          </w:p>
        </w:tc>
        <w:tc>
          <w:tcPr>
            <w:tcW w:w="6200" w:type="dxa"/>
            <w:vAlign w:val="bottom"/>
            <w:gridSpan w:val="1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412"/>
        </w:trPr>
        <w:tc>
          <w:tcPr>
            <w:tcW w:w="640" w:type="dxa"/>
            <w:vAlign w:val="bottom"/>
          </w:tcPr>
          <w:p>
            <w:pPr>
              <w:spacing w:after="0"/>
              <w:rPr>
                <w:sz w:val="24"/>
                <w:szCs w:val="24"/>
                <w:color w:val="auto"/>
              </w:rPr>
            </w:pPr>
          </w:p>
        </w:tc>
        <w:tc>
          <w:tcPr>
            <w:tcW w:w="1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554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412"/>
        </w:trPr>
        <w:tc>
          <w:tcPr>
            <w:tcW w:w="640" w:type="dxa"/>
            <w:vAlign w:val="bottom"/>
          </w:tcPr>
          <w:p>
            <w:pPr>
              <w:spacing w:after="0"/>
              <w:rPr>
                <w:sz w:val="24"/>
                <w:szCs w:val="24"/>
                <w:color w:val="auto"/>
              </w:rPr>
            </w:pPr>
          </w:p>
        </w:tc>
        <w:tc>
          <w:tcPr>
            <w:tcW w:w="1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5840" w:type="dxa"/>
            <w:vAlign w:val="bottom"/>
            <w:gridSpan w:val="1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412"/>
        </w:trPr>
        <w:tc>
          <w:tcPr>
            <w:tcW w:w="640" w:type="dxa"/>
            <w:vAlign w:val="bottom"/>
          </w:tcPr>
          <w:p>
            <w:pPr>
              <w:spacing w:after="0"/>
              <w:rPr>
                <w:sz w:val="24"/>
                <w:szCs w:val="24"/>
                <w:color w:val="auto"/>
              </w:rPr>
            </w:pPr>
          </w:p>
        </w:tc>
        <w:tc>
          <w:tcPr>
            <w:tcW w:w="4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252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412"/>
        </w:trPr>
        <w:tc>
          <w:tcPr>
            <w:tcW w:w="6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540" w:type="dxa"/>
            <w:vAlign w:val="bottom"/>
            <w:tcBorders>
              <w:top w:val="single" w:sz="8" w:color="0000EE"/>
            </w:tcBorders>
          </w:tcPr>
          <w:p>
            <w:pPr>
              <w:spacing w:after="0"/>
              <w:rPr>
                <w:sz w:val="24"/>
                <w:szCs w:val="24"/>
                <w:color w:val="auto"/>
              </w:rPr>
            </w:pPr>
          </w:p>
        </w:tc>
        <w:tc>
          <w:tcPr>
            <w:tcW w:w="456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412"/>
        </w:trPr>
        <w:tc>
          <w:tcPr>
            <w:tcW w:w="640" w:type="dxa"/>
            <w:vAlign w:val="bottom"/>
          </w:tcPr>
          <w:p>
            <w:pPr>
              <w:spacing w:after="0"/>
              <w:rPr>
                <w:sz w:val="24"/>
                <w:szCs w:val="24"/>
                <w:color w:val="auto"/>
              </w:rPr>
            </w:pPr>
          </w:p>
        </w:tc>
        <w:tc>
          <w:tcPr>
            <w:tcW w:w="1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556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280" w:type="dxa"/>
            <w:vAlign w:val="bottom"/>
            <w:gridSpan w:val="1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020" w:type="dxa"/>
            <w:vAlign w:val="bottom"/>
            <w:gridSpan w:val="2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2"/>
                <w:szCs w:val="12"/>
                <w:color w:val="auto"/>
              </w:rPr>
            </w:pPr>
          </w:p>
        </w:tc>
        <w:tc>
          <w:tcPr>
            <w:tcW w:w="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3,200,732</w:t>
            </w:r>
          </w:p>
        </w:tc>
        <w:tc>
          <w:tcPr>
            <w:tcW w:w="1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3,031,844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 - unrestricted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179,230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and cash equivalents - restricted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52,539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Notes receivable,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68,884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Trade receivables, net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125,400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129,466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108,449</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3,864,700</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 AND EQUITY (DEFICIT):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Debt and finance lease obligations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2,863,022</w:t>
            </w:r>
          </w:p>
        </w:tc>
        <w:tc>
          <w:tcPr>
            <w:tcW w:w="1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2,936,819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343,618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Dividends payable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Deferred management rights proceeds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169,054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115,010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Deferred income tax liabilities,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66,461</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3,562,233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3,602,918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Noncontrolling interest in consolidated joint venture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296,236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Equity (deficit):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Preferred stock, $.01 par value, 100,000 shares authorized, no shares issued or outstanding</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Common stock, $.01 par value, 400,000 shares authorized, 55,155 and 55,072 shares issued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outstanding, respectively</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1,106,955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Treasury stock of 648 and 648 shares, at cost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Distributions in excess of retained earnings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(1,062,442)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(20,392)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stockholders' equity (deficit)</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Noncontrolling interest in Operating Partnership</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equity (deficit)</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liabilities and equity (deficit)</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3,864,700</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3,580,525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60" w:right="79"/>
        <w:spacing w:after="0" w:line="255" w:lineRule="auto"/>
        <w:rPr>
          <w:sz w:val="20"/>
          <w:szCs w:val="20"/>
          <w:color w:val="auto"/>
        </w:rPr>
      </w:pPr>
      <w:r>
        <w:rPr>
          <w:rFonts w:ascii="Times New Roman" w:cs="Times New Roman" w:eastAsia="Times New Roman" w:hAnsi="Times New Roman"/>
          <w:sz w:val="17"/>
          <w:szCs w:val="17"/>
          <w:b w:val="1"/>
          <w:bCs w:val="1"/>
          <w:color w:val="auto"/>
        </w:rPr>
        <w:t>RYMAN HOSPITALITY PROPERTIES, INC. AND SUBSIDIARIES CONDENSED CONSOLIDATED STATEMENTS OF OPERATIONS AND COMPREHENSIVE INCOME (LOSS) (Unaudited)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4"/>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Rooms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161,506</w:t>
            </w:r>
          </w:p>
        </w:tc>
        <w:tc>
          <w:tcPr>
            <w:tcW w:w="34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61,971</w:t>
            </w:r>
          </w:p>
        </w:tc>
        <w:tc>
          <w:tcPr>
            <w:tcW w:w="30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263,099</w:t>
            </w:r>
          </w:p>
        </w:tc>
        <w:tc>
          <w:tcPr>
            <w:tcW w:w="30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90,199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Food and beverage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188,083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300,199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 hotel revenue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52,213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99,615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51,497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Entertainment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68,402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35,173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106,426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 revenues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470,204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170,861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769,339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255,036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Rooms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71,374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Food and beverage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97,489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168,818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53,077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 hotel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99,284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185,927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115,922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Management fees, net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11,202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16,266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2,902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hotel operating expenses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249,213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112,301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442,385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196,417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Entertainment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45,670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77,401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44,330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Corporate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Preopening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(Gain) loss on sale of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56,715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54,673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112,743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107,988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364,236</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201,808</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655,497</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365,540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 (loss)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105,968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113,842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(110,504)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(65,895)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unconsolidated joint ventures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gains and (losses),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Income (loss) before income taxes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68,558</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(61,426)</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43,696</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(174,593)</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Net income (loss)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50,924</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(63,049)</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26,127</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(180,170)</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5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Net (income) loss attributable to noncontrolling interest in consolidated joint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venture</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4,708</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16,501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 loss attributable to noncontrolling interest in Operating Partnership</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Net income (loss) available to common stockholders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50,284</w:t>
            </w:r>
          </w:p>
        </w:tc>
        <w:tc>
          <w:tcPr>
            <w:tcW w:w="34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(57,919)</w:t>
            </w:r>
          </w:p>
        </w:tc>
        <w:tc>
          <w:tcPr>
            <w:tcW w:w="3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25,663</w:t>
            </w:r>
          </w:p>
        </w:tc>
        <w:tc>
          <w:tcPr>
            <w:tcW w:w="3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(162,440)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income (loss) per share available to common stockholders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0.91</w:t>
            </w:r>
          </w:p>
        </w:tc>
        <w:tc>
          <w:tcPr>
            <w:tcW w:w="34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3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0.47</w:t>
            </w:r>
          </w:p>
        </w:tc>
        <w:tc>
          <w:tcPr>
            <w:tcW w:w="3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Diluted income (loss) per share available to common stockholders</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0.91</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(1.05)</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0.46</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Comprehensive income (loss), net of taxes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49,626</w:t>
            </w:r>
          </w:p>
        </w:tc>
        <w:tc>
          <w:tcPr>
            <w:tcW w:w="34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(51,845)</w:t>
            </w:r>
          </w:p>
        </w:tc>
        <w:tc>
          <w:tcPr>
            <w:tcW w:w="30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34,815</w:t>
            </w:r>
          </w:p>
        </w:tc>
        <w:tc>
          <w:tcPr>
            <w:tcW w:w="30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(162,866)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Comprehensive (income) loss, net of taxes, attributable to noncontrolling interest in</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consolidated joint venture</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4,708</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15,419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Comprehensive (income) loss, net of taxes, attributable to noncontrolling interest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Partnership</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income (loss), net of taxes, available to common stockholders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48,995</w:t>
            </w:r>
          </w:p>
        </w:tc>
        <w:tc>
          <w:tcPr>
            <w:tcW w:w="34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(46,796)</w:t>
            </w:r>
          </w:p>
        </w:tc>
        <w:tc>
          <w:tcPr>
            <w:tcW w:w="3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34,289</w:t>
            </w:r>
          </w:p>
        </w:tc>
        <w:tc>
          <w:tcPr>
            <w:tcW w:w="3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(146,343)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income (loss)</w:t>
            </w:r>
          </w:p>
        </w:tc>
        <w:tc>
          <w:tcPr>
            <w:tcW w:w="440" w:type="dxa"/>
            <w:vAlign w:val="bottom"/>
            <w:gridSpan w:val="2"/>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26,127</w:t>
            </w:r>
          </w:p>
        </w:tc>
        <w:tc>
          <w:tcPr>
            <w:tcW w:w="200" w:type="dxa"/>
            <w:vAlign w:val="bottom"/>
          </w:tcPr>
          <w:p>
            <w:pPr>
              <w:spacing w:after="0"/>
              <w:rPr>
                <w:sz w:val="14"/>
                <w:szCs w:val="14"/>
                <w:color w:val="auto"/>
              </w:rPr>
            </w:pPr>
          </w:p>
        </w:tc>
        <w:tc>
          <w:tcPr>
            <w:tcW w:w="200" w:type="dxa"/>
            <w:vAlign w:val="bottom"/>
            <w:gridSpan w:val="2"/>
          </w:tcPr>
          <w:p>
            <w:pPr>
              <w:jc w:val="right"/>
              <w:ind w:right="11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(180,170)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Amounts to reconcile net income (loss) to net cash flows provided by (used in) operating activities: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for deferred income taxes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5,173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112,743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107,988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4,538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4,379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Loss from unconsolidated joint ventures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5,628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3,519</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7,440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5,668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Trade receivables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(49,250)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(16,831)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and accrued liabilities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23,934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35,827</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Borders>
              <w:bottom w:val="single" w:sz="8" w:color="CCEEFF"/>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assets and liabilities</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(3,842)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6,553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4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(used in) operating activities</w:t>
            </w:r>
          </w:p>
        </w:tc>
        <w:tc>
          <w:tcPr>
            <w:tcW w:w="2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127,613</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(27,894)</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(24,715)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(53,493)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land adjacent to Gaylord Rockies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(22,000)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Collection of notes receivable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2,381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Block 21, net of cash acquired</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(93,992)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additional interest in Gaylord Rockies joint venture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(188,000)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Investment in other joint ventures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(6,088)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(4,619)</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5,462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4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2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(121,596)</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(262,650)</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borrowings (repayments) under revolving credit facility</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(190,000)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119,000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A</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(300,000)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B</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(2,500)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term loan B</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288,000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Block 21 CMBS loan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senior notes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600,000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Redemption of senior notes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(400,000)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Deferred financing costs paid</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(14,750)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(10,628)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Redemption of noncontrolling interest in Operating Partnership</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(2,438)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Sale of noncontrolling interest in OEG</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286,489</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dividends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(499)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tax withholdings for share-based compensation</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(3,885)</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(3,407)</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financing activities, net</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(113)</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4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financing activities</w:t>
            </w:r>
          </w:p>
        </w:tc>
        <w:tc>
          <w:tcPr>
            <w:tcW w:w="2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62,752</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299,415</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68,769</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8,871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163,000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79,754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4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2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231,769</w:t>
            </w: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88,625</w:t>
            </w:r>
          </w:p>
        </w:tc>
        <w:tc>
          <w:tcPr>
            <w:tcW w:w="2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to balance sheet:</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unrestricted</w:t>
            </w:r>
          </w:p>
        </w:tc>
        <w:tc>
          <w:tcPr>
            <w:tcW w:w="440" w:type="dxa"/>
            <w:vAlign w:val="bottom"/>
            <w:gridSpan w:val="2"/>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179,230</w:t>
            </w:r>
          </w:p>
        </w:tc>
        <w:tc>
          <w:tcPr>
            <w:tcW w:w="200" w:type="dxa"/>
            <w:vAlign w:val="bottom"/>
          </w:tcPr>
          <w:p>
            <w:pPr>
              <w:spacing w:after="0"/>
              <w:rPr>
                <w:sz w:val="14"/>
                <w:szCs w:val="14"/>
                <w:color w:val="auto"/>
              </w:rPr>
            </w:pPr>
          </w:p>
        </w:tc>
        <w:tc>
          <w:tcPr>
            <w:tcW w:w="200" w:type="dxa"/>
            <w:vAlign w:val="bottom"/>
            <w:gridSpan w:val="2"/>
          </w:tcPr>
          <w:p>
            <w:pPr>
              <w:jc w:val="right"/>
              <w:ind w:right="11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71,612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restricted</w:t>
            </w:r>
          </w:p>
        </w:tc>
        <w:tc>
          <w:tcPr>
            <w:tcW w:w="2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52,539</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17,013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4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280" w:type="dxa"/>
            <w:vAlign w:val="bottom"/>
          </w:tcPr>
          <w:p>
            <w:pPr>
              <w:spacing w:after="0"/>
              <w:rPr>
                <w:sz w:val="13"/>
                <w:szCs w:val="13"/>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231,769</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88,625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99"/>
        <w:spacing w:after="0" w:line="259"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CONDENSED CONSOLIDATED STATEMENTS OF EQUITY (DEFICIT) AND NONCONTROLLING INTEREST</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Distributions</w:t>
            </w:r>
          </w:p>
        </w:tc>
        <w:tc>
          <w:tcPr>
            <w:tcW w:w="20" w:type="dxa"/>
            <w:vAlign w:val="bottom"/>
          </w:tcPr>
          <w:p>
            <w:pPr>
              <w:spacing w:after="0"/>
              <w:rPr>
                <w:sz w:val="12"/>
                <w:szCs w:val="12"/>
                <w:color w:val="auto"/>
              </w:rPr>
            </w:pPr>
          </w:p>
        </w:tc>
        <w:tc>
          <w:tcPr>
            <w:tcW w:w="88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5"/>
              </w:rPr>
              <w:t>Noncontrolling</w:t>
            </w:r>
          </w:p>
        </w:tc>
      </w:tr>
      <w:tr>
        <w:trPr>
          <w:trHeight w:val="135"/>
        </w:trPr>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right"/>
              <w:ind w:right="32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 in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r>
      <w:tr>
        <w:trPr>
          <w:trHeight w:val="135"/>
        </w:trPr>
        <w:tc>
          <w:tcPr>
            <w:tcW w:w="1960" w:type="dxa"/>
            <w:vAlign w:val="bottom"/>
          </w:tcPr>
          <w:p>
            <w:pPr>
              <w:spacing w:after="0"/>
              <w:rPr>
                <w:sz w:val="11"/>
                <w:szCs w:val="11"/>
                <w:color w:val="auto"/>
              </w:rPr>
            </w:pPr>
          </w:p>
        </w:tc>
        <w:tc>
          <w:tcPr>
            <w:tcW w:w="58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40" w:type="dxa"/>
            <w:vAlign w:val="bottom"/>
          </w:tcPr>
          <w:p>
            <w:pPr>
              <w:spacing w:after="0"/>
              <w:rPr>
                <w:sz w:val="11"/>
                <w:szCs w:val="11"/>
                <w:color w:val="auto"/>
              </w:rPr>
            </w:pPr>
          </w:p>
        </w:tc>
        <w:tc>
          <w:tcPr>
            <w:tcW w:w="74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20" w:type="dxa"/>
            <w:vAlign w:val="bottom"/>
          </w:tcPr>
          <w:p>
            <w:pPr>
              <w:spacing w:after="0"/>
              <w:rPr>
                <w:sz w:val="11"/>
                <w:szCs w:val="11"/>
                <w:color w:val="auto"/>
              </w:rPr>
            </w:pPr>
          </w:p>
        </w:tc>
        <w:tc>
          <w:tcPr>
            <w:tcW w:w="6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40" w:type="dxa"/>
            <w:vAlign w:val="bottom"/>
          </w:tcPr>
          <w:p>
            <w:pPr>
              <w:spacing w:after="0"/>
              <w:rPr>
                <w:sz w:val="11"/>
                <w:szCs w:val="11"/>
                <w:color w:val="auto"/>
              </w:rPr>
            </w:pPr>
          </w:p>
        </w:tc>
        <w:tc>
          <w:tcPr>
            <w:tcW w:w="78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 w:type="dxa"/>
            <w:vAlign w:val="bottom"/>
          </w:tcPr>
          <w:p>
            <w:pPr>
              <w:spacing w:after="0"/>
              <w:rPr>
                <w:sz w:val="11"/>
                <w:szCs w:val="11"/>
                <w:color w:val="auto"/>
              </w:rPr>
            </w:pPr>
          </w:p>
        </w:tc>
        <w:tc>
          <w:tcPr>
            <w:tcW w:w="820" w:type="dxa"/>
            <w:vAlign w:val="bottom"/>
            <w:gridSpan w:val="4"/>
          </w:tcPr>
          <w:p>
            <w:pPr>
              <w:jc w:val="right"/>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Stockholders'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Operating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45"/>
        </w:trPr>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0" w:type="dxa"/>
            <w:vAlign w:val="bottom"/>
          </w:tcPr>
          <w:p>
            <w:pPr>
              <w:spacing w:after="0"/>
              <w:rPr>
                <w:sz w:val="12"/>
                <w:szCs w:val="12"/>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0" w:type="dxa"/>
            <w:vAlign w:val="bottom"/>
          </w:tcPr>
          <w:p>
            <w:pPr>
              <w:spacing w:after="0"/>
              <w:rPr>
                <w:sz w:val="12"/>
                <w:szCs w:val="12"/>
                <w:color w:val="auto"/>
              </w:rPr>
            </w:pPr>
          </w:p>
        </w:tc>
        <w:tc>
          <w:tcPr>
            <w:tcW w:w="62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40" w:type="dxa"/>
            <w:vAlign w:val="bottom"/>
          </w:tcPr>
          <w:p>
            <w:pPr>
              <w:spacing w:after="0"/>
              <w:rPr>
                <w:sz w:val="12"/>
                <w:szCs w:val="12"/>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84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Equity (Deficit)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Partnership</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r>
      <w:tr>
        <w:trPr>
          <w:trHeight w:val="129"/>
        </w:trPr>
        <w:tc>
          <w:tcPr>
            <w:tcW w:w="19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2021</w:t>
            </w:r>
          </w:p>
        </w:tc>
        <w:tc>
          <w:tcPr>
            <w:tcW w:w="10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551</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$ 1,112,867</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(1,088,105)</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(29,080)</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(22,234)</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(159)</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(22,393)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9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74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2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(24,621)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(24,621)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(24,797)</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9,986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(3,761)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(3,761)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(3,761)</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3,786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196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2022</w:t>
            </w:r>
          </w:p>
        </w:tc>
        <w:tc>
          <w:tcPr>
            <w:tcW w:w="10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551</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$ 1,112,892</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(1,112,726)</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(19,094)</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(36,844)</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(335)</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(37,179)</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196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50,284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50,284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360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50,644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280</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(1,298)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(1,298)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(1,298)</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Sale of noncontrolling interest in</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OEG</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(9,467)</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(9,467)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(9,467)</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295,956</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3,654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19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June 30, 2022</w:t>
            </w:r>
          </w:p>
        </w:tc>
        <w:tc>
          <w:tcPr>
            <w:tcW w:w="10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$ 1,106,955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(1,062,442)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(20,392)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6,206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6,231</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296,236</w:t>
            </w:r>
          </w:p>
        </w:tc>
      </w:tr>
      <w:tr>
        <w:trPr>
          <w:trHeight w:val="20"/>
        </w:trPr>
        <w:tc>
          <w:tcPr>
            <w:tcW w:w="1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r>
      <w:tr>
        <w:trPr>
          <w:trHeight w:val="551"/>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Distributions</w:t>
            </w:r>
          </w:p>
        </w:tc>
        <w:tc>
          <w:tcPr>
            <w:tcW w:w="20" w:type="dxa"/>
            <w:vAlign w:val="bottom"/>
          </w:tcPr>
          <w:p>
            <w:pPr>
              <w:spacing w:after="0"/>
              <w:rPr>
                <w:sz w:val="24"/>
                <w:szCs w:val="24"/>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5"/>
              </w:rPr>
              <w:t>Noncontrolling</w:t>
            </w:r>
          </w:p>
        </w:tc>
      </w:tr>
      <w:tr>
        <w:trPr>
          <w:trHeight w:val="135"/>
        </w:trPr>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right"/>
              <w:ind w:right="34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11"/>
                <w:szCs w:val="11"/>
                <w:color w:val="auto"/>
              </w:rPr>
            </w:pPr>
          </w:p>
        </w:tc>
        <w:tc>
          <w:tcPr>
            <w:tcW w:w="8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Interest in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r>
      <w:tr>
        <w:trPr>
          <w:trHeight w:val="135"/>
        </w:trPr>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4"/>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40" w:type="dxa"/>
            <w:vAlign w:val="bottom"/>
          </w:tcPr>
          <w:p>
            <w:pPr>
              <w:spacing w:after="0"/>
              <w:rPr>
                <w:sz w:val="11"/>
                <w:szCs w:val="11"/>
                <w:color w:val="auto"/>
              </w:rPr>
            </w:pPr>
          </w:p>
        </w:tc>
        <w:tc>
          <w:tcPr>
            <w:tcW w:w="74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2"/>
                <w:szCs w:val="12"/>
                <w:b w:val="1"/>
                <w:bCs w:val="1"/>
                <w:color w:val="auto"/>
              </w:rPr>
              <w:t>Paid-in</w:t>
            </w:r>
          </w:p>
        </w:tc>
        <w:tc>
          <w:tcPr>
            <w:tcW w:w="20" w:type="dxa"/>
            <w:vAlign w:val="bottom"/>
          </w:tcPr>
          <w:p>
            <w:pPr>
              <w:spacing w:after="0"/>
              <w:rPr>
                <w:sz w:val="11"/>
                <w:szCs w:val="11"/>
                <w:color w:val="auto"/>
              </w:rPr>
            </w:pPr>
          </w:p>
        </w:tc>
        <w:tc>
          <w:tcPr>
            <w:tcW w:w="6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40" w:type="dxa"/>
            <w:vAlign w:val="bottom"/>
          </w:tcPr>
          <w:p>
            <w:pPr>
              <w:spacing w:after="0"/>
              <w:rPr>
                <w:sz w:val="11"/>
                <w:szCs w:val="11"/>
                <w:color w:val="auto"/>
              </w:rPr>
            </w:pPr>
          </w:p>
        </w:tc>
        <w:tc>
          <w:tcPr>
            <w:tcW w:w="7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Retained</w:t>
            </w:r>
          </w:p>
        </w:tc>
        <w:tc>
          <w:tcPr>
            <w:tcW w:w="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 w:type="dxa"/>
            <w:vAlign w:val="bottom"/>
          </w:tcPr>
          <w:p>
            <w:pPr>
              <w:spacing w:after="0"/>
              <w:rPr>
                <w:sz w:val="11"/>
                <w:szCs w:val="11"/>
                <w:color w:val="auto"/>
              </w:rPr>
            </w:pPr>
          </w:p>
        </w:tc>
        <w:tc>
          <w:tcPr>
            <w:tcW w:w="82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60" w:type="dxa"/>
            <w:vAlign w:val="bottom"/>
          </w:tcPr>
          <w:p>
            <w:pPr>
              <w:spacing w:after="0"/>
              <w:rPr>
                <w:sz w:val="11"/>
                <w:szCs w:val="11"/>
                <w:color w:val="auto"/>
              </w:rPr>
            </w:pPr>
          </w:p>
        </w:tc>
        <w:tc>
          <w:tcPr>
            <w:tcW w:w="8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Operating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45"/>
        </w:trPr>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0" w:type="dxa"/>
            <w:vAlign w:val="bottom"/>
          </w:tcPr>
          <w:p>
            <w:pPr>
              <w:spacing w:after="0"/>
              <w:rPr>
                <w:sz w:val="12"/>
                <w:szCs w:val="12"/>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0" w:type="dxa"/>
            <w:vAlign w:val="bottom"/>
          </w:tcPr>
          <w:p>
            <w:pPr>
              <w:spacing w:after="0"/>
              <w:rPr>
                <w:sz w:val="12"/>
                <w:szCs w:val="12"/>
                <w:color w:val="auto"/>
              </w:rPr>
            </w:pPr>
          </w:p>
        </w:tc>
        <w:tc>
          <w:tcPr>
            <w:tcW w:w="6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40" w:type="dxa"/>
            <w:vAlign w:val="bottom"/>
          </w:tcPr>
          <w:p>
            <w:pPr>
              <w:spacing w:after="0"/>
              <w:rPr>
                <w:sz w:val="12"/>
                <w:szCs w:val="12"/>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60" w:type="dxa"/>
            <w:vAlign w:val="bottom"/>
          </w:tcPr>
          <w:p>
            <w:pPr>
              <w:spacing w:after="0"/>
              <w:rPr>
                <w:sz w:val="12"/>
                <w:szCs w:val="12"/>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Partnership</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r>
      <w:tr>
        <w:trPr>
          <w:trHeight w:val="128"/>
        </w:trPr>
        <w:tc>
          <w:tcPr>
            <w:tcW w:w="19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2020</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550</w:t>
            </w: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$ 1,192,261</w:t>
            </w: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(911,092)</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(57,951)</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205,301</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14,516</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219,817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100,969</w:t>
            </w:r>
          </w:p>
        </w:tc>
      </w:tr>
      <w:tr>
        <w:trPr>
          <w:trHeight w:val="135"/>
        </w:trPr>
        <w:tc>
          <w:tcPr>
            <w:tcW w:w="19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2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4"/>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(104,521)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(104,521)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(807)</w:t>
            </w:r>
          </w:p>
        </w:tc>
        <w:tc>
          <w:tcPr>
            <w:tcW w:w="40" w:type="dxa"/>
            <w:vAlign w:val="bottom"/>
          </w:tcPr>
          <w:p>
            <w:pPr>
              <w:spacing w:after="0"/>
              <w:rPr>
                <w:sz w:val="11"/>
                <w:szCs w:val="11"/>
                <w:color w:val="auto"/>
              </w:rPr>
            </w:pPr>
          </w:p>
        </w:tc>
        <w:tc>
          <w:tcPr>
            <w:tcW w:w="740" w:type="dxa"/>
            <w:vAlign w:val="bottom"/>
            <w:gridSpan w:val="4"/>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(105,328)</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(11,793)</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Redemption of noncontrolling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in Operating Partnership</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(1,352)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(1,352)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(1,086)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(2,438)</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Contribution to consolidated joint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venture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4,425</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(3,357)</w:t>
            </w:r>
          </w:p>
        </w:tc>
        <w:tc>
          <w:tcPr>
            <w:tcW w:w="20" w:type="dxa"/>
            <w:vAlign w:val="bottom"/>
          </w:tcPr>
          <w:p>
            <w:pPr>
              <w:spacing w:after="0"/>
              <w:rPr>
                <w:sz w:val="13"/>
                <w:szCs w:val="13"/>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(3,345)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(3,345)</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196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2021</w:t>
            </w: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550</w:t>
            </w: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$ 1,191,426</w:t>
            </w: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(1,016,953)</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(51,851)</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104,705</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12,623</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117,328</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93,601</w:t>
            </w:r>
          </w:p>
        </w:tc>
      </w:tr>
      <w:tr>
        <w:trPr>
          <w:trHeight w:val="129"/>
        </w:trPr>
        <w:tc>
          <w:tcPr>
            <w:tcW w:w="196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loss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(57,919)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(57,919)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(58,341)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(4,708)</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Purchase of remaining interest in</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consolidated joint venture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(99,107)</w:t>
            </w:r>
          </w:p>
        </w:tc>
        <w:tc>
          <w:tcPr>
            <w:tcW w:w="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(99,107)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(99,107)</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(88,893)</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(50)</w:t>
            </w:r>
          </w:p>
        </w:tc>
        <w:tc>
          <w:tcPr>
            <w:tcW w:w="20" w:type="dxa"/>
            <w:vAlign w:val="bottom"/>
          </w:tcPr>
          <w:p>
            <w:pPr>
              <w:spacing w:after="0"/>
              <w:rPr>
                <w:sz w:val="13"/>
                <w:szCs w:val="13"/>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19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June 30, 2021</w:t>
            </w: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551</w:t>
            </w: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$ 1,095,415</w:t>
            </w: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(1,074,872)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(40,647)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(38,020)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12,201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(25,819)</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NOTES TO CONDENSED CONSOLIDATED FINANCIAL STATEMENTS (UNAUDITED)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which prior to May 2021 was owned by a joint venture (the “Gaylord Rockies joint venture”) in which the Company owned a 65% interest. The Company’s other owned hotel assets managed by Marriott include the Inn at Opryland, an overflow hotel adjacent to Gaylord Opryland, and the AC Hotel at National Harbor, Washington D.C. (“AC Hotel”), an overflow hotel adjacent to Gaylord National.</w:t>
      </w:r>
    </w:p>
    <w:p>
      <w:pPr>
        <w:spacing w:after="0" w:line="14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April 2021, the Company entered into an agreement with RIDA Development Corporation to acquire the remaining 35% ownership interest in the Gaylord Rockies joint venture not previously owned by the Company for $188.0 million and approximately 130 acres of undeveloped, adjacent land for $22.0 million in cash (the “JV Purchase”). The JV Purchase closed in May 2021 and was funded through cash on hand and borrowings under the Company’s $700 million revolving credit facility. As discussed below, the Company consolidated the Gaylord Rockies joint venture both before and after the purchase in the accompanying condensed consolidated financial statements.</w:t>
      </w:r>
    </w:p>
    <w:p>
      <w:pPr>
        <w:spacing w:after="0" w:line="14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As further discussed in the Company’s Annual Report on Form 10-K for the year ended December 31, 2021, for periods prior to its ownership of 100% ownership of the asset in May 2021, management concluded that the Company was the primary beneficiary of the Gaylord Rockies joint venture, which was a variable interest entity (“VIE”). As such, the Company consolidated the assets, liabilities and results of operations of the Gaylord Rockies joint venture in the accompanying condensed consolidated financial statements. The portion of the Gaylord Rockies joint venture that the Company did not previously own was recorded as noncontrolling interest in consolidated joint venture in the accompanying condensed consolidated balance sheet, and any previous adjustment necessary to reflect the noncontrolling interest at its redemption value is shown in the accompanying condensed consolidated statements of equity. As the Gaylord Rockies joint venture is wholly-owned by the Company as of May 2021, it is no longer considered as a VIE.</w:t>
      </w:r>
    </w:p>
    <w:p>
      <w:pPr>
        <w:spacing w:after="0" w:line="161"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also owns a business holding a number of media and entertainment assets, known as the Opry Entertainment Group, reported as the Company’s Entertainment segment. These assets include the Grand Ole Opry, the legendary weekly showcase of country music’s finest performers; the Ryman Auditorium, the storied live music venue and former home of the Grand Ole Opry; WSM-AM, the Opry’s radio home; Ole Red, a brand of Blake Shelton-themed bar, music venue and event spaces; two Nashville-based assets managed by Marriott – the Wildhorse Saloon and the General Jackson Showboat; and as of May 31, 2022, Block 21, a mixed-use entertainment, lodging, office, and retail complex located in Austin, Texas (“Block 21”). The Company also owns a 50% interest in a joint venture that creates and distributes a linear multicast and over-the-top channel dedicated to the country music lifestyle (“Circle”), which launched its broadcast network on January 1, 2020. Beginning June 16, 2022, the Company owns 70% of Opry Entertainment Group. See Note 2, “OEG Transaction,” Note 3, “Block 21 Transaction,” and Note 15, “Commitments and Contingencies,” to the condensed consolidated financial statements included herein for further disclosure.</w:t>
      </w:r>
    </w:p>
    <w:p>
      <w:pPr>
        <w:spacing w:after="0" w:line="151"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with the audited consolidated financial statements and the notes thereto included in the Company’s Annual Report on Form 10-K for the year ended December 31, 2021.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15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Company principally operates, through its subsidiaries and its property managers, as applicable, in the following business segments: Hospitality, Entertainment, and Corporate and Other.</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Impact of COVID-19 Pandemic</w:t>
      </w:r>
    </w:p>
    <w:p>
      <w:pPr>
        <w:spacing w:after="0" w:line="187"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novel coronavirus disease (COVID-19) pandemic has been and continues to be a complex and evolving situation, causing unprecedented levels of disruption to the Company’s business. Although the Company’s assets are currently open and operating without capacity restrictions and business levels continue to recover, there remains significant uncertainty surrounding the full extent of the impact of the COVID-19 pandemic on the Company’s future results of operations and financial position.</w:t>
      </w:r>
    </w:p>
    <w:p>
      <w:pPr>
        <w:spacing w:after="0" w:line="15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All of the Company’s assets are open and have been operating throughout 2022. The majority of the Company’s businesses were open and operating throughout 2021. However, Gaylord National remained closed during the first half of 2021 and reopened July 1, 2021. The Grand Ole Opry and Ryman Auditorium reopened for limited-capacity publicly attended performances in September 2020, and reopened for full-capacity publicly attended performances in May 2021. In addition, subsequent to the December 2020 downtown Nashville bombing, the Wildhorse Saloon reopened in April 2021.</w:t>
      </w:r>
    </w:p>
    <w:p>
      <w:pPr>
        <w:spacing w:after="0" w:line="143" w:lineRule="exact"/>
        <w:rPr>
          <w:sz w:val="20"/>
          <w:szCs w:val="20"/>
          <w:color w:val="auto"/>
        </w:rPr>
      </w:pPr>
    </w:p>
    <w:p>
      <w:pPr>
        <w:ind w:left="60" w:right="279"/>
        <w:spacing w:after="0" w:line="289" w:lineRule="auto"/>
        <w:rPr>
          <w:sz w:val="20"/>
          <w:szCs w:val="20"/>
          <w:color w:val="auto"/>
        </w:rPr>
      </w:pPr>
      <w:r>
        <w:rPr>
          <w:rFonts w:ascii="Times New Roman" w:cs="Times New Roman" w:eastAsia="Times New Roman" w:hAnsi="Times New Roman"/>
          <w:sz w:val="17"/>
          <w:szCs w:val="17"/>
          <w:color w:val="auto"/>
        </w:rPr>
        <w:t>Throughout 2020 and 2021 and continuing to date, the Company has paid all required debt service payments on its indebtedness, lease payments, taxes and other payables. Beginning in July 2020 and continuing to date, Gaylord Rockies was in a cash sweep position pursuant to and as defined in the Gaylord Rockies $800 million term loan agreement.</w:t>
      </w:r>
    </w:p>
    <w:p>
      <w:pPr>
        <w:spacing w:after="0" w:line="11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At June 30, 2022, the Company had $689.6 million available for borrowing under its revolving credit facility, $65.0 million available for borrowing under the OEG revolving credit facility, and $179.2 million in unrestricted cash on hand. The Company’s quarterly dividend is currently suspended. The Company’s board of directors will consider a future dividend as permitted by the Company’s credit agreement, and any future dividend is subject to the Company’s board of directors’ determinations as to the amount of distributions and timing thereof.</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Newly Issued Accounting Standards</w:t>
      </w:r>
    </w:p>
    <w:p>
      <w:pPr>
        <w:spacing w:after="0" w:line="185"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 March 2020, the FASB issued ASU No. 2020-04, “</w:t>
      </w:r>
      <w:r>
        <w:rPr>
          <w:rFonts w:ascii="Times New Roman" w:cs="Times New Roman" w:eastAsia="Times New Roman" w:hAnsi="Times New Roman"/>
          <w:sz w:val="18"/>
          <w:szCs w:val="18"/>
          <w:i w:val="1"/>
          <w:iCs w:val="1"/>
          <w:color w:val="auto"/>
        </w:rPr>
        <w:t>Reference Rate Reform – Facilitation of the Effects of Reference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Reform on Financial Reporting</w:t>
      </w:r>
      <w:r>
        <w:rPr>
          <w:rFonts w:ascii="Times New Roman" w:cs="Times New Roman" w:eastAsia="Times New Roman" w:hAnsi="Times New Roman"/>
          <w:sz w:val="18"/>
          <w:szCs w:val="18"/>
          <w:color w:val="auto"/>
        </w:rPr>
        <w:t>,” which provides temporary optional expedients and exceptions to the existing guidance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modifications and hedge accounting to ease the financial reporting burdens of the expected market transition from the London Interbank Offered Rate (“LIBOR”) and other interbank offered rates to alternative reference rates, such as the Secured Overnight Financing Rate (“SOFR”). The guidance in ASU 2020-04 is optional, effective immediately, and may be elected over time as reference rate reform activities occur generally through December 31, 2022. During 2020,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this guidance and may apply other elections as applicable as additional market changes occur.</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OEG TRANSACTION:</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On June 16, 2022, the Company and certain of its subsidiaries, including OEG Attractions Holdings, LLC (“OEG”), which directly or indirectly owns the assets that comprise the Company’s Entertainment segment, consummated the transactions pursuant to an investment agreement (the “Investment Agreement”) with Atairos Group, Inc. (“Atairos”) and A-OEG Holdings, LLC, an affiliate of Atairos (the “OEG Investor”), pursuant to which OEG issued and sold to the OEG Investor, and the OEG Investor acquired, 30% of the equity interests of OEG for approximately $296.0 million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“OEG Transaction”). The purchase price payable to the Company for the OEG Transaction may be increased by $30.0 million if OEG achieves certain financial objectives in 2023 or 2024.</w:t>
      </w:r>
    </w:p>
    <w:p>
      <w:pPr>
        <w:spacing w:after="0" w:line="162"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Company retains a controlling 70% equity interest in OEG and continues to consolidate the assets, liabilities and results of operations of OEG in the accompanying condensed consolidated financial statements. The portion of OEG that the Company does not own is recorded as noncontrolling interest in consolidated joint venture, which is classified as mezzanine equity in the accompanying condensed consolidated balance sheet, and any adjustment necessary to reflect the noncontrolling interest at its redemption value is shown in the accompanying condensed consolidated statements of equity. After the payment of transaction expenses, the Company used substantially all of the net proceeds from the OEG Transaction, together with the net proceeds the Company received from the OEG Term Loan (as defined below), to repay the outstanding balance of the Company’s existing $300 million term loan A and to pay down substantially all borrowings outstanding under the Company’s revolving credit facility.</w:t>
      </w:r>
    </w:p>
    <w:p>
      <w:pPr>
        <w:spacing w:after="0" w:line="188" w:lineRule="exact"/>
        <w:rPr>
          <w:sz w:val="20"/>
          <w:szCs w:val="20"/>
          <w:color w:val="auto"/>
        </w:rPr>
      </w:pPr>
    </w:p>
    <w:p>
      <w:pPr>
        <w:ind w:left="60" w:right="159"/>
        <w:spacing w:after="0" w:line="272" w:lineRule="auto"/>
        <w:rPr>
          <w:sz w:val="20"/>
          <w:szCs w:val="20"/>
          <w:color w:val="auto"/>
        </w:rPr>
      </w:pPr>
      <w:r>
        <w:rPr>
          <w:rFonts w:ascii="Times New Roman" w:cs="Times New Roman" w:eastAsia="Times New Roman" w:hAnsi="Times New Roman"/>
          <w:sz w:val="17"/>
          <w:szCs w:val="17"/>
          <w:color w:val="auto"/>
        </w:rPr>
        <w:t>Pursuant to the Second Amended and Restated Limited Liability Company Agreement for OEG entered into at the closing of the OEG Transaction (the “OEG LLC Agreement”), OEG will be governed by a Board of Managers (the “Board”), subject to member consent to certain actions. The Board will initially consist of six members, four designated by the Company and two designated by the OEG Investor. Board membership may be modified from time to time to reflect the proportional ownership of outstanding units by each party. Subject to certain ownership thresholds, the approval of both parties will be required with respect to certain “major decisions” affecting OEG, including, but not limited to, approval of OEG’s annual operating budget in the event of changes exceeding certain thresholds, the incurrence of certain debt, the issuance of new equity securities, and mergers, acquisitions or dispositions in excess of a certain dollar threshold.</w:t>
      </w:r>
    </w:p>
    <w:p>
      <w:pPr>
        <w:spacing w:after="0" w:line="172"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The OEG Investor will have the option to acquire additional common units of OEG from the Company (the “Purchase Option”) in each of the fourth quarters of 2023, 2024 and 2025 in an amount equal to the lesser of $125 million or the maximum amount of proceeds that the Company may receive with respect to its compliance with applicable REIT tests, provided that the OEG Investor may not purchase an amount of common units that would result in the Company owning less than 51% of the outstanding common units after giving effect to the purchase. If the OEG Investor elects to exercise the Purchase Option, then (i) beginning on June 19, 2027 (the fifth anniversary of the OEG Investor’s original investment in OEG (the “Fifth Anniversary”), the OEG Investor will have the right to demand that OEG undertake a Qualified IPO and (ii) the OEG Investor’s rights with respect to the IPO Request Put Right, the Seven-Year Put Right, an IPO Payment and a Sale Payment, each as defined in the OEG LLC Agreement and described below, will expire. The Purchase Option will terminate upon the occurrence of a Qualified IPO, a Sale of OEG or a Qualified Spinoff, each as defined in the OEG LLC Agreement.</w:t>
      </w:r>
    </w:p>
    <w:p>
      <w:pPr>
        <w:spacing w:after="0" w:line="190"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i w:val="1"/>
          <w:iCs w:val="1"/>
          <w:color w:val="auto"/>
        </w:rPr>
        <w:t>IPO Request Put Right</w:t>
      </w:r>
      <w:r>
        <w:rPr>
          <w:rFonts w:ascii="Times New Roman" w:cs="Times New Roman" w:eastAsia="Times New Roman" w:hAnsi="Times New Roman"/>
          <w:sz w:val="18"/>
          <w:szCs w:val="18"/>
          <w:color w:val="auto"/>
        </w:rPr>
        <w:t>. If OEG has not completed a Qualified IPO prior to June 16, 2026 (the fourth anniversary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OEG Investor’s original investment in OEG (the “Fourth Anniversary”)), the OEG Investor may request that OEG undertake a Qualified IPO. If the Company, through its subsidiary RHP Hotels, LLC (the “Ryman Member”), declines to undertake such Qualified IPO, the OEG Investor may cause the Ryman Member to acquire all of the OEG Investor’s interest in OEG at a price equal to 1.5 times the OEG Investor’s equity investment (the “IPO Request Put Price”).</w:t>
      </w:r>
    </w:p>
    <w:p>
      <w:pPr>
        <w:spacing w:after="0" w:line="183"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Seven-Year Put Right</w:t>
      </w:r>
      <w:r>
        <w:rPr>
          <w:rFonts w:ascii="Times New Roman" w:cs="Times New Roman" w:eastAsia="Times New Roman" w:hAnsi="Times New Roman"/>
          <w:sz w:val="18"/>
          <w:szCs w:val="18"/>
          <w:color w:val="auto"/>
        </w:rPr>
        <w:t>. If OEG has not completed a Qualified IPO, Sale of OEG or a Qualified Spinoff prior to June 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2029 (the seventh anniversary of the OEG Investor’s original investment in OEG (the “Seventh Anniversary”)), the OEG Investor may cause the Ryman Member to acquire all of the OEG Investor’s interest in OEG at a price equal to the fair value of the OEG Investor’s equity interest (the “Seven-Year Put Price”).</w:t>
      </w:r>
    </w:p>
    <w:p>
      <w:pPr>
        <w:spacing w:after="0" w:line="18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IPO Request Put Price and the Seven-Year Put Price may each be settled in either cash or Company stock, at the Company’s option, and the IPO Request Put Right and the Seven-Year Put Right will each terminate at the first closing of the Purchase Option.</w:t>
      </w:r>
    </w:p>
    <w:p>
      <w:pPr>
        <w:spacing w:after="0" w:line="174" w:lineRule="exact"/>
        <w:rPr>
          <w:sz w:val="20"/>
          <w:szCs w:val="20"/>
          <w:color w:val="auto"/>
        </w:rPr>
      </w:pPr>
    </w:p>
    <w:p>
      <w:pPr>
        <w:ind w:left="60" w:right="79"/>
        <w:spacing w:after="0" w:line="230" w:lineRule="auto"/>
        <w:rPr>
          <w:sz w:val="20"/>
          <w:szCs w:val="20"/>
          <w:color w:val="auto"/>
        </w:rPr>
      </w:pPr>
      <w:r>
        <w:rPr>
          <w:rFonts w:ascii="Times New Roman" w:cs="Times New Roman" w:eastAsia="Times New Roman" w:hAnsi="Times New Roman"/>
          <w:sz w:val="18"/>
          <w:szCs w:val="18"/>
          <w:i w:val="1"/>
          <w:iCs w:val="1"/>
          <w:color w:val="auto"/>
        </w:rPr>
        <w:t>IPO Payment</w:t>
      </w:r>
      <w:r>
        <w:rPr>
          <w:rFonts w:ascii="Times New Roman" w:cs="Times New Roman" w:eastAsia="Times New Roman" w:hAnsi="Times New Roman"/>
          <w:sz w:val="18"/>
          <w:szCs w:val="18"/>
          <w:color w:val="auto"/>
        </w:rPr>
        <w:t>. Upon a Qualified IPO that occurs on or before the Seventh Anniversary, the OEG Investor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IPO Payment if the Post IPO Investor Stake Value (as defined in OEG LLC Agreement) measured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post-IPO does not equal or exceed the Minimum Investor Stake Value (as defined in the OEG LLC Agreement). If the IPO occurs after the Fourth Anniversary, the IPO Payment will be capped at 50% of the OEG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Investor’s investment in OEG (the “Payment Cap”). Any IPO Payment may be satisfied in either cash, OEG equity owned by the Ryman Member, or Company stock.</w:t>
      </w:r>
    </w:p>
    <w:p>
      <w:pPr>
        <w:spacing w:after="0" w:line="16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Sale Payment</w:t>
      </w:r>
      <w:r>
        <w:rPr>
          <w:rFonts w:ascii="Times New Roman" w:cs="Times New Roman" w:eastAsia="Times New Roman" w:hAnsi="Times New Roman"/>
          <w:sz w:val="18"/>
          <w:szCs w:val="18"/>
          <w:color w:val="auto"/>
        </w:rPr>
        <w:t>. Upon a sale of OEG (but excluding a Qualified Spinoff) that occurs on or before the Seventh Anniversary,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OEG Investor will be entitled to a Sale Payment if the value of the OEG Investor’s retained invested equity (implied by the sale) does not equal or exceed the Minimum Investor Sale Value (as defined in the OEG LLC Agreement). If a sale of OEG occurs after the Fifth Anniversary, any Sale Payment will be capped at the Payment Cap. Any Sale Payment may be satisfied in either cash, a preferential cash distribution, additional consideration in the Sale of OEG or Company stock.</w:t>
      </w:r>
    </w:p>
    <w:p>
      <w:pPr>
        <w:spacing w:after="0" w:line="185"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above descriptions related to the OEC LLC Agreement do not purport to be complete and are qualified in their entirety by reference to the OEG LLC Agreement filed as Exhibit 10.4 to this Quarterly Report on Form 10-Q and incorporated herein by reference.</w:t>
      </w:r>
    </w:p>
    <w:p>
      <w:pPr>
        <w:spacing w:after="0" w:line="176" w:lineRule="exact"/>
        <w:rPr>
          <w:sz w:val="20"/>
          <w:szCs w:val="20"/>
          <w:color w:val="auto"/>
        </w:rPr>
      </w:pPr>
    </w:p>
    <w:p>
      <w:pPr>
        <w:ind w:left="60" w:right="139"/>
        <w:spacing w:after="0" w:line="269" w:lineRule="auto"/>
        <w:rPr>
          <w:sz w:val="20"/>
          <w:szCs w:val="20"/>
          <w:color w:val="auto"/>
        </w:rPr>
      </w:pPr>
      <w:r>
        <w:rPr>
          <w:rFonts w:ascii="Times New Roman" w:cs="Times New Roman" w:eastAsia="Times New Roman" w:hAnsi="Times New Roman"/>
          <w:sz w:val="17"/>
          <w:szCs w:val="17"/>
          <w:color w:val="auto"/>
        </w:rPr>
        <w:t>Also on June 16, 2022, OEG Borrower, LLC (“OEG Borrower”) and OEG Finance, LLC (“OEG Finance”), each a wholly owned direct or indirect subsidiary of OEG, entered into a credit agreement (the “OEG Credit Agreement”) among OEG Borrower, as borrower, OEG Finance, certain subsidiaries of OEG Borrower from time to time party thereto as guarantors, the lenders party thereto and JPMorgan Chase Bank, N.A., as administrative agent. The OEG Credit Agreement provides for (i) a senior secured term loan facility in the aggregate principal amount of $300.0 million (the “OEG Term Loan”) and</w:t>
      </w:r>
    </w:p>
    <w:p>
      <w:pPr>
        <w:spacing w:after="0" w:line="3" w:lineRule="exact"/>
        <w:rPr>
          <w:sz w:val="20"/>
          <w:szCs w:val="20"/>
          <w:color w:val="auto"/>
        </w:rPr>
      </w:pPr>
    </w:p>
    <w:p>
      <w:pPr>
        <w:ind w:left="320" w:hanging="270"/>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secured revolving credit facility in an aggregate principal amount not to exceed $65.0 million (the “OEG</w:t>
      </w:r>
    </w:p>
    <w:p>
      <w:pPr>
        <w:spacing w:after="0" w:line="9" w:lineRule="exact"/>
        <w:rPr>
          <w:rFonts w:ascii="Times New Roman" w:cs="Times New Roman" w:eastAsia="Times New Roman" w:hAnsi="Times New Roman"/>
          <w:sz w:val="18"/>
          <w:szCs w:val="18"/>
          <w:color w:val="auto"/>
        </w:rPr>
      </w:pPr>
    </w:p>
    <w:p>
      <w:pPr>
        <w:ind w:left="60" w:right="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Revolver”). The OEG Term Loan matures on June 16, 2029 and the OEG Revolver matures on June 16, 2027. The OEG Term Loan bears interest at a rate equal to either, at OEG Borrower’s election, (i) the Alternate Base Rate plus 4.00% or (b) Adjusted Term SOFR plus 5.00% (all as specifically more described in the OEG Credit Agreement). The OEG Revolver bears interest at a rate equal to either, at OEG Borrower’s election, (i) the Alternate Base Rate plus 3.75% or (b) Adjusted Term SOFR plus 4.75%, which shall be subject to reduction in the applicable margin based upon OEG’s First Lien Leverage Ratio (all as specifically more described in the OEG Credit Agreement). The OEG Term Loan and OEG Revolver are each secured by substantially all of the assets of OEG Finance and each of its subsidiaries (other than Block 21 and Circle, as more specifically described in the OEG Credit Agreement). No revolving credit advances were made under the OEG Revolver at closing.</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BLOCK 21 TRANSACTION:</w:t>
      </w:r>
    </w:p>
    <w:p>
      <w:pPr>
        <w:spacing w:after="0" w:line="20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May 31, 2022, the Company purchased Block 21 for a stated purchase price of $260 million, as subsequently adjusted to $255 million pursuant to the terms of the purchase agreement, which includes the assumption of approximately $136 million of existing mortgage debt. Block 21 is the home of the Austin City Limits Live at The Moody Theater (“ACL Live”), a 2,750-seat entertainment venue that serves as the filming location for the Austin City Limits television series. The Block 21 complex also includes the 251-room W Austin Hotel, which Marriott manages, the 3TEN at ACL Live club and approximately 53,000 square feet of other Class A commercial space. The Company funded the cash portion of the purchase price with cash on hand and borrowings under its revolving credit facility. The acquisition was accounted for as a business combination, given the different nature of the principal operations acquired (a hotel and an entertainment venue). Block 21 assets are reflected in the Company’s Entertainment segment as of May 31, 2022.</w:t>
      </w:r>
    </w:p>
    <w:p>
      <w:pPr>
        <w:spacing w:after="0" w:line="188"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performed a preliminary valuation of the fair value of the acquired assets and liabilities as of May 31, 2022. The valuations of the various components of property and equipment were determined principally based on the cost approach, which uses assumptions regarding replacement values from established indices. The valuation of intangible assets was based on various methods to evaluate the values of leases in place and advanced bookings previously received for the hotel. The valuation of assumed debt was principally based on a discounted cash flow approach using market interest rates at the time of the transaction. The Company considers each of these estimates as Level 3 fair value measurements. Other acquired assets were valued at carrying value. Based on the aggregation of fair values as compared to consideration transferred, the Company concluded that there was no goodwill or bargain purchase gain related to the business combination. The Company preformed an income approach evaluation of the acquired set which corroborated the conclusion that there was no goodwill related to the acquisition. Such evaluation included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assumptions of future projected cash flows, which was based on the future projected occupancy and average daily rate for the W Hotel Austin, future anticipated cash flows at ACL Live, and market discount rates.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Utilizing the valuation, the Company performed a purchase price allocation for the acquired assets and liabilities of Block</w:t>
      </w:r>
    </w:p>
    <w:p>
      <w:pPr>
        <w:spacing w:after="0" w:line="27" w:lineRule="exact"/>
        <w:rPr>
          <w:sz w:val="20"/>
          <w:szCs w:val="20"/>
          <w:color w:val="auto"/>
        </w:rPr>
      </w:pPr>
    </w:p>
    <w:p>
      <w:pPr>
        <w:ind w:left="320" w:hanging="27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the Company preliminarily allocated the purchase price, adjusted for working capital adjustments as</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in the purchase agreement, in the Company’s balance sheet at May 31, 2022 as follows (amounts in thousands):</w:t>
      </w:r>
    </w:p>
    <w:p>
      <w:pPr>
        <w:spacing w:after="0" w:line="239"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unrestricted</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restricted</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(Note 9)</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(147,380)</w:t>
            </w:r>
          </w:p>
        </w:tc>
        <w:tc>
          <w:tcPr>
            <w:tcW w:w="0" w:type="dxa"/>
            <w:vAlign w:val="bottom"/>
          </w:tcPr>
          <w:p>
            <w:pPr>
              <w:spacing w:after="0"/>
              <w:rPr>
                <w:sz w:val="1"/>
                <w:szCs w:val="1"/>
                <w:color w:val="auto"/>
              </w:rPr>
            </w:pPr>
          </w:p>
        </w:tc>
      </w:tr>
      <w:tr>
        <w:trPr>
          <w:trHeight w:val="237"/>
        </w:trPr>
        <w:tc>
          <w:tcPr>
            <w:tcW w:w="68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estimated fair values for the assets acquired and liabilities assumed are preliminary and are subject to change during the one-year measurement period as additional information related to the inputs and assumptions used in determining the fair value of the assets and liabilities becomes available. The Company will continue to review the underlying inputs and assumptions. Therefore, the purchase price allocation is not yet complete as of the date of this filing. Once the allocation is complete, an additional adjustment to the allocation may occur.</w:t>
      </w:r>
    </w:p>
    <w:p>
      <w:pPr>
        <w:spacing w:after="0" w:line="183"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The Company incurred $1.2 million and $1.3 million in acquisition-related expenses in the three months and six months ended June 30, 2022, respectively, which are included in entertainment expenses in the accompanying condensed consolidated statement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REVENUES:</w:t>
      </w:r>
    </w:p>
    <w:p>
      <w:pPr>
        <w:spacing w:after="0" w:line="202"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Entertainment segment revenues from licenses of content are recognized at the point in time the content is delivered to the licensee and the licensee can use and benefit from the content. Revenue related to content provided to Circle is eliminated for the portion of Circle that the Company owns.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of such taxes from the customer and relieves the liability when payments are remitted to the applicable governmental agency.</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revenues disaggregated by major source are as follows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2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740" w:type="dxa"/>
            <w:vAlign w:val="bottom"/>
            <w:gridSpan w:val="5"/>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2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740" w:type="dxa"/>
            <w:vAlign w:val="bottom"/>
            <w:tcBorders>
              <w:bottom w:val="single" w:sz="8" w:color="auto"/>
            </w:tcBorders>
            <w:gridSpan w:val="5"/>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group rooms</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$ 110,464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$ 172,942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24,591</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Hotel transient rooms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65,608</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food and beverage - banquets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22,220</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Hotel food and beverage - outlets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96,865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41,574</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other</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51,497</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admissions/ticketing</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15,815</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food and beverage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16,956</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produced content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w:t>
            </w:r>
          </w:p>
        </w:tc>
      </w:tr>
      <w:tr>
        <w:trPr>
          <w:trHeight w:val="209"/>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$ 470,204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170,861</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$ 769,339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255,036</w:t>
            </w: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Hospitality segment revenues disaggregated by location are as follows (in thousands):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2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740" w:type="dxa"/>
            <w:vAlign w:val="bottom"/>
            <w:gridSpan w:val="5"/>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2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740" w:type="dxa"/>
            <w:vAlign w:val="bottom"/>
            <w:tcBorders>
              <w:bottom w:val="single" w:sz="8" w:color="auto"/>
            </w:tcBorders>
            <w:gridSpan w:val="5"/>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$ 105,497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$ 179,016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66,761</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128,137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47,819</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52,427</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30,308</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AC Hotel</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 at Opryland</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10"/>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Hospitality segment revenues</w:t>
            </w:r>
          </w:p>
        </w:tc>
        <w:tc>
          <w:tcPr>
            <w:tcW w:w="4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$ 401,802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135,688</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$ 662,913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205,490</w:t>
            </w: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majority of the Company’s Entertainment segment revenues are concentrated in Tennessee.</w:t>
      </w:r>
    </w:p>
    <w:p>
      <w:pPr>
        <w:spacing w:after="0" w:line="185"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in advance of its performance obligations, primarily related to advanced deposits on hotel rooms and advanced ticketing at its OEG venues. At June 30, 2022 and December 31, 2021, the Company had $138.5 million and $116.8 million, respectively, in deferred revenues, which are included in accounts payable and accrued liabilities in the accompanying condensed consolidated balance sheets. Of the amount outstanding at December 31, 2021, approximately $37.6 million was recognized in revenue during the six months ended June 30, 2022.</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INCOME (LOSS) PER SHARE:</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computation of basic and diluted earnings per common share is as follows (in thousands, except per share data):</w:t>
      </w:r>
    </w:p>
    <w:p>
      <w:pPr>
        <w:spacing w:after="0" w:line="17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 available to common shareholders</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(57,919)</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 interest in consolidated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joint venture</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Net income (loss) available to common shareholders - if-</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50,564</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(57,919)</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25,663</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(162,440)</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converted method</w:t>
            </w:r>
          </w:p>
        </w:tc>
        <w:tc>
          <w:tcPr>
            <w:tcW w:w="200" w:type="dxa"/>
            <w:vAlign w:val="bottom"/>
            <w:gridSpan w:val="2"/>
            <w:vMerge w:val="continue"/>
          </w:tcPr>
          <w:p>
            <w:pPr>
              <w:spacing w:after="0"/>
              <w:rPr>
                <w:sz w:val="22"/>
                <w:szCs w:val="22"/>
                <w:color w:val="auto"/>
              </w:rPr>
            </w:pPr>
          </w:p>
        </w:tc>
        <w:tc>
          <w:tcPr>
            <w:tcW w:w="6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6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dilutive stock-based compensation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dilutive put rights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55,862</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55,058</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55,321</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(loss) per share available to common stockholders</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(loss) per share available to common stockholders</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For each of the three months and six months ended June 30, 2021, the effect of dilutive stock-based compensation was the equivalent of 0.1 million shares of common stock outstanding. Because the Company had a loss available to common stockholders in the three months and six months ended June 30, 2021, these incremental shares were excluded from the computation of dilutive earnings per share as the effect of their inclusion would have been anti-dilutive.</w:t>
      </w:r>
    </w:p>
    <w:p>
      <w:pPr>
        <w:spacing w:after="0" w:line="13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As more fully discussed in Note 2, “OEG Transaction,” the OEG Investor will have certain put rights to require the Company to purchase its equity interest in OEG, which the Company may pay in cash or Company stock, at the Company’s option. The Company calculated potential dilution for the put rights based on the if-converted method, which assumes the put rights were converted on the first day of the period or the date of issuance. For the six months ended June 30, 2022, the effect of these put rights was the equivalent of 0.3 million shares of Company common stock outstanding. Because these put rights were anti-dilutive for the six months ended June 30, 2022, these incremental shares were excluded from the computation of dilutive earnings per share.</w:t>
      </w:r>
    </w:p>
    <w:p>
      <w:pPr>
        <w:spacing w:after="0" w:line="162" w:lineRule="exact"/>
        <w:rPr>
          <w:sz w:val="20"/>
          <w:szCs w:val="20"/>
          <w:color w:val="auto"/>
        </w:rPr>
      </w:pPr>
    </w:p>
    <w:p>
      <w:pPr>
        <w:jc w:val="both"/>
        <w:ind w:left="60" w:right="99"/>
        <w:spacing w:after="0" w:line="258" w:lineRule="auto"/>
        <w:rPr>
          <w:sz w:val="20"/>
          <w:szCs w:val="20"/>
          <w:color w:val="auto"/>
        </w:rPr>
      </w:pPr>
      <w:r>
        <w:rPr>
          <w:rFonts w:ascii="Times New Roman" w:cs="Times New Roman" w:eastAsia="Times New Roman" w:hAnsi="Times New Roman"/>
          <w:sz w:val="18"/>
          <w:szCs w:val="18"/>
          <w:color w:val="auto"/>
        </w:rPr>
        <w:t>The operating partnership units (“OP Units”) held by the noncontrolling interest holders in the Operating Partnership have been excluded from the denominator of the diluted income (loss) per share calculation for the three months and six months ended June 30, 2022 and 2021 as there would be no effect on the calculation of diluted income (loss) per share because the income (loss) attributable to the OP Units held by the noncontrolling interest holders would also be subtracted to derive net income (loss) available to common stockholders.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ACCUMULATED OTHER COMPREHENSIVE LOSS:</w:t>
      </w:r>
    </w:p>
    <w:p>
      <w:pPr>
        <w:spacing w:after="0" w:line="18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Company’s balance in accumulated other comprehensive loss is comprised of amounts related to the Company’s minimum pension liability discussed in Note 13, “Pension Plans,” interest rate derivatives designated as cash flow hedges related to the Company’s outstanding debt as discussed in Note 9, “Debt,” and amounts related to an other-than-temporary impairment of a held-to-maturity investment that existed prior to 2020 with respect to the notes receivable discussed in Note 8, “Notes Receivable,” to the condensed consolidated financial statements included herein. Changes 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by component for the six months ended June 30, 2022 and 2021 consisted of the following (in thousands):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2021</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(29,080)</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Gains (losses) arising during period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6,936</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8,688</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2022</w:t>
            </w: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(22,149)</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(57,951)</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8,804</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w:t>
            </w: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8,912</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17,304</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2021</w:t>
            </w: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(17,711)</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(19,532)</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Property and equipment, including right-of-use finance lease assets, at June 30, 2022 and December 31, 2021 is recorded at cost (except for right-of-use finance lease assets) and summarized as follows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378,598</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3,778,930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3,601,974</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981,589</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5,236,119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4,978,111</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(2,035,387)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(1,946,267)</w:t>
            </w:r>
          </w:p>
        </w:tc>
      </w:tr>
      <w:tr>
        <w:trPr>
          <w:trHeight w:val="21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3,200,732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3,031,844</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NOTES RECEIVABLE:</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As further discussed in the Company’s Annual Report on Form 10-K for the year ended December 31, 2021, in connection with the development of Gaylord National, the Company holds two issuances of governmental bonds (“Series A bond” and “Series B bond”) with a total carrying value and approximate fair value of $68.9 million and $71.2 million at June 30, 2022 and December 31, 2021, respectively, net of credit loss reserve of $38.0 million at each of June 30, 2022 and December 31, 2021. The Company receives debt service and principal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65" w:lineRule="exact"/>
        <w:rPr>
          <w:sz w:val="20"/>
          <w:szCs w:val="20"/>
          <w:color w:val="auto"/>
        </w:rPr>
      </w:pPr>
    </w:p>
    <w:p>
      <w:pPr>
        <w:ind w:left="60" w:right="279"/>
        <w:spacing w:after="0" w:line="277" w:lineRule="auto"/>
        <w:rPr>
          <w:sz w:val="20"/>
          <w:szCs w:val="20"/>
          <w:color w:val="auto"/>
        </w:rPr>
      </w:pPr>
      <w:r>
        <w:rPr>
          <w:rFonts w:ascii="Times New Roman" w:cs="Times New Roman" w:eastAsia="Times New Roman" w:hAnsi="Times New Roman"/>
          <w:sz w:val="17"/>
          <w:szCs w:val="17"/>
          <w:color w:val="auto"/>
        </w:rPr>
        <w:t>The Company has the intent and ability to hold these bonds to maturity. The Company’s quarterly assessment of credit losses considers the estimate of projected tax revenues that will service the bonds over their remaining terms. These tax revenue projections are updated each quarter to reflect updated industry projections as to future anticipated operations of the hotel. As a result of reduced tax revenue projections over the remaining life of the bonds, the Series B bond is fully reserved. The Series A bond is of higher priority than other tranches which fall between the Company’s two issuances.</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2022 and 2021, the Company recorded interest income of $1.3 million and $1.4 million, respectively, on these bonds. During each of the six months ended June 30, 2022 and 2021, the Company recorded interest income of $2.7 million on these bonds. The Company received payments of $5.1 million and $2.8 million during the six months ended June 30, 2022 and 2021, respectively, relating to these bonds. At each of June 30, 2022 and December 31, 2021, before consideration of the credit loss reserve, the Company had accrued interest receivable related to these bonds of $41.0 million, respectively.</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debt and finance lease obligations at June 30, 2022 and December 31, 2021 consisted of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0" w:type="dxa"/>
            <w:vAlign w:val="bottom"/>
            <w:tcBorders>
              <w:bottom w:val="single" w:sz="8" w:color="CCEEFF"/>
            </w:tcBorders>
          </w:tcPr>
          <w:p>
            <w:pPr>
              <w:spacing w:after="0"/>
              <w:rPr>
                <w:sz w:val="15"/>
                <w:szCs w:val="15"/>
                <w:color w:val="auto"/>
              </w:rPr>
            </w:pPr>
          </w:p>
        </w:tc>
        <w:tc>
          <w:tcPr>
            <w:tcW w:w="6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$700M Revolving Credit Facility, interest at LIBOR plus 1.55%, maturing March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$300M Term Loan A, interest at LIBOR plus 2.25%, original maturity March 31, 2025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$500M Term Loan B, interest at LIBOR plus 2.00%, maturing May 11, 2024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9"/>
              </w:rPr>
              <w:t>$600M</w:t>
            </w: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interest at 4.50%, maturing February 15, 2029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$700M</w:t>
            </w: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at 4.75%, maturing October 15, 2027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9"/>
              </w:rPr>
              <w:t>$800M</w:t>
            </w: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Gaylord Rockies Term Loan, interest at LIBOR plus 2.50%, maturing July 2, 2023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16"/>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$300M</w:t>
            </w: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OEG Term Loan, interest at SOFR plus 5.00%, maturing June 16, 2029 (Note 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$65M OEG Revolver, interest at SOFR plus 4.75%, maturing June 16, 2027 (Note 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Block 21 CMBS Loan, interest at 5.58%, maturing January 5, 2026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(32,203)</w:t>
            </w:r>
          </w:p>
        </w:tc>
      </w:tr>
      <w:tr>
        <w:trPr>
          <w:trHeight w:val="216"/>
        </w:trPr>
        <w:tc>
          <w:tcPr>
            <w:tcW w:w="6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Unamortized premium (discount)</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10"/>
        </w:trPr>
        <w:tc>
          <w:tcPr>
            <w:tcW w:w="69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2,863,022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2,936,819</w:t>
            </w:r>
          </w:p>
        </w:tc>
      </w:tr>
      <w:tr>
        <w:trPr>
          <w:trHeight w:val="20"/>
        </w:trPr>
        <w:tc>
          <w:tcPr>
            <w:tcW w:w="5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Amounts due within one year consist of the amortization payments for the $500 million term loan B of 1.0% of the original principal balance, amortization payments for the $300 million OEG Term Loan of 1.0% of the original principal balance, and amortization of the Block 21 CMBS Loan (as defined below) based on a 30-year amortization.</w:t>
      </w:r>
    </w:p>
    <w:p>
      <w:pPr>
        <w:spacing w:after="0" w:line="135"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At June 30, 2022, there were no defaults under the covenants related to the Company’s outstanding debt based on the amended terms of the Company’s credit agreement.</w:t>
      </w:r>
    </w:p>
    <w:p>
      <w:pPr>
        <w:spacing w:after="0" w:line="135" w:lineRule="exact"/>
        <w:rPr>
          <w:sz w:val="20"/>
          <w:szCs w:val="20"/>
          <w:color w:val="auto"/>
        </w:rPr>
      </w:pPr>
    </w:p>
    <w:p>
      <w:pPr>
        <w:ind w:left="60" w:right="59"/>
        <w:spacing w:after="0" w:line="281" w:lineRule="auto"/>
        <w:rPr>
          <w:sz w:val="20"/>
          <w:szCs w:val="20"/>
          <w:color w:val="auto"/>
        </w:rPr>
      </w:pPr>
      <w:r>
        <w:rPr>
          <w:rFonts w:ascii="Times New Roman" w:cs="Times New Roman" w:eastAsia="Times New Roman" w:hAnsi="Times New Roman"/>
          <w:sz w:val="17"/>
          <w:szCs w:val="17"/>
          <w:color w:val="auto"/>
        </w:rPr>
        <w:t>As a result of the Company’s repayment of its $300 million term loan A with the proceeds from the OEG Term Loan, the Company recognized a loss on extinguishment of debt of $1.5 million in the three months and six months ended June 30, 2022. As a result of the Company’s February 2021 purchase and redemption of its previous $400 million 5% senior notes due 2023, the Company recognized a loss on extinguishment of debt of $2.9 million in the six months ended June 30, 2021.</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8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April 4, 2022, the Company entered into Amendment No. 5 (the “Fifth Amendment”) to the Sixth Amended and Restated Credit Agreement dated as of October 31, 2019 (as amended prior to the Fifth Amendment, the “Existing Credit Agreement” and the Existing Credit Agreement, as amended by the Fifth Amendment, the “Credit Agreement”), among the Company, as a guarantor, its subsidiary RHP Hotel Properties, LP, as borrower, certain other subsidiaries of the Company party thereto, as guarantors, certain subsidiaries of the Company party thereto, as pledgors, the lenders party thereto and Wells Fargo Bank, National Association, as administrative agent. The Fifth Amendment provides for certain amendments to the Existing Credit Agreement, each of which was effective upon the closing of the OEG Transaction. These amendments include, among others, the exclusion of OEG and its subsidiaries from negative covenants and certain restrictions related to certain equity issuances, investments, acquisitions, dispositions and indebtedness; changes to certain financial covenant requirements through December 2022; and a requirement that, following January 1, 2023, the Company satisfy the financial covenants currently provided for in the Credit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Block 21 CMBS Loan</w:t>
      </w:r>
    </w:p>
    <w:p>
      <w:pPr>
        <w:spacing w:after="0" w:line="20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At the closing of the purchase of Block 21 on May 31, 2022, a subsidiary of the Company assumed a $136 million, ten-year, non-recourse term loan secured by a mortgage on Block 21 (the “Block 21 CMBS Loan”). The Block 21 CMBS Loan has a fixed interest rate of 5.58% per annum, payable monthly, matures January 5, 2026, and payments are due monthly based on a 30-year amortization.</w:t>
      </w:r>
    </w:p>
    <w:p>
      <w:pPr>
        <w:spacing w:after="0" w:line="13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Block 21 CMBS Loan contains customary financial covenants and other restrictions, including sponsor net worth and liquidity requirements, and debt service coverage ratio targets that Block 21 must meet in order to avoid a “Trigger Period,” the occurrence of which does not constitute a default. Block 21 was in a Trigger Period as of the date of its purchase by the Company. During the Trigger Period, any cash generated by Block 21 in excess of amounts necessary to fund loan obligations, budgeted operating expenses and specified reserves will not be distributed to Block 21.</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20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has entered into interest rate swaps to manage interest rate risk associated with the Company’s $500 million term loan B and the Gaylord Rockies $800 million term loan. Each swap has been designated as a cash flow hedge whereby the Company receives variable-rate amounts in exchange for fixed-rate payments over the life of the agreement without exchange of the underlying principal amount. The Company does not use derivatives for trading or speculative purposes and currently does not hold any derivatives that are not designated as hedges.</w:t>
      </w:r>
    </w:p>
    <w:p>
      <w:pPr>
        <w:spacing w:after="0" w:line="143"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$4.9 million will be reclassified from accumulated other comprehensive income as a reduction to interest expense in the next twelve months.</w:t>
      </w:r>
    </w:p>
    <w:p>
      <w:pPr>
        <w:spacing w:after="0" w:line="147"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derivative financial instruments at June 30, 2022 and December 31, 2021 is as follows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Strike</w:t>
            </w: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0" w:type="dxa"/>
            <w:vAlign w:val="bottom"/>
          </w:tcPr>
          <w:p>
            <w:pPr>
              <w:spacing w:after="0"/>
              <w:rPr>
                <w:sz w:val="15"/>
                <w:szCs w:val="15"/>
                <w:color w:val="auto"/>
              </w:rPr>
            </w:pPr>
          </w:p>
        </w:tc>
        <w:tc>
          <w:tcPr>
            <w:tcW w:w="16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 (Liability) Balance</w:t>
            </w:r>
          </w:p>
        </w:tc>
        <w:tc>
          <w:tcPr>
            <w:tcW w:w="0" w:type="dxa"/>
            <w:vAlign w:val="bottom"/>
          </w:tcPr>
          <w:p>
            <w:pPr>
              <w:spacing w:after="0"/>
              <w:rPr>
                <w:sz w:val="1"/>
                <w:szCs w:val="1"/>
                <w:color w:val="auto"/>
              </w:rPr>
            </w:pPr>
          </w:p>
        </w:tc>
      </w:tr>
      <w:tr>
        <w:trPr>
          <w:trHeight w:val="117"/>
        </w:trPr>
        <w:tc>
          <w:tcPr>
            <w:tcW w:w="20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Hedged Debt</w:t>
            </w: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60" w:type="dxa"/>
            <w:vAlign w:val="bottom"/>
            <w:gridSpan w:val="2"/>
            <w:vMerge w:val="continue"/>
          </w:tcPr>
          <w:p>
            <w:pPr>
              <w:spacing w:after="0"/>
              <w:rPr>
                <w:sz w:val="10"/>
                <w:szCs w:val="10"/>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10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940" w:type="dxa"/>
            <w:vAlign w:val="bottom"/>
            <w:gridSpan w:val="2"/>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8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12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7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Term Loan B</w:t>
            </w: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1-month LIBOR</w:t>
            </w:r>
          </w:p>
        </w:tc>
        <w:tc>
          <w:tcPr>
            <w:tcW w:w="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May 11, 2023</w:t>
            </w:r>
          </w:p>
        </w:tc>
        <w:tc>
          <w:tcPr>
            <w:tcW w:w="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$ 87,500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1,380</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center"/>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$ 87,500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30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$ 87,500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1.2315%</w:t>
            </w:r>
          </w:p>
        </w:tc>
        <w:tc>
          <w:tcPr>
            <w:tcW w:w="6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$ 87,500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Gaylord Rockies Term Loan</w:t>
            </w:r>
          </w:p>
        </w:tc>
        <w:tc>
          <w:tcPr>
            <w:tcW w:w="130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1.6500%</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August 1, 2022</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$ 800,000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Gaylord Rockies Term Loan</w:t>
            </w: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3.3410%</w:t>
            </w:r>
          </w:p>
        </w:tc>
        <w:tc>
          <w:tcPr>
            <w:tcW w:w="6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August 1, 2023</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$ 800,000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4,951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center"/>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effect of the Company’s derivative financial instruments on the accompanying condensed consolidated statements of operations for the respective periods is as follows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6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10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on Derivative</w:t>
            </w:r>
          </w:p>
        </w:tc>
        <w:tc>
          <w:tcPr>
            <w:tcW w:w="1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0"/>
                <w:szCs w:val="10"/>
                <w:color w:val="auto"/>
              </w:rPr>
            </w:pPr>
          </w:p>
        </w:tc>
        <w:tc>
          <w:tcPr>
            <w:tcW w:w="1560" w:type="dxa"/>
            <w:vAlign w:val="bottom"/>
            <w:gridSpan w:val="2"/>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2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4"/>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left="46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6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120" w:type="dxa"/>
            <w:vAlign w:val="bottom"/>
          </w:tcPr>
          <w:p>
            <w:pPr>
              <w:spacing w:after="0"/>
              <w:rPr>
                <w:sz w:val="12"/>
                <w:szCs w:val="12"/>
                <w:color w:val="auto"/>
              </w:rPr>
            </w:pPr>
          </w:p>
        </w:tc>
        <w:tc>
          <w:tcPr>
            <w:tcW w:w="840" w:type="dxa"/>
            <w:vAlign w:val="bottom"/>
          </w:tcPr>
          <w:p>
            <w:pPr>
              <w:jc w:val="right"/>
              <w:ind w:right="26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ind w:right="24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rate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2,119</w:t>
            </w:r>
          </w:p>
        </w:tc>
        <w:tc>
          <w:tcPr>
            <w:tcW w:w="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(426)</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(2,175)</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(4,110)</w:t>
            </w:r>
          </w:p>
        </w:tc>
        <w:tc>
          <w:tcPr>
            <w:tcW w:w="0" w:type="dxa"/>
            <w:vAlign w:val="bottom"/>
          </w:tcPr>
          <w:p>
            <w:pPr>
              <w:spacing w:after="0"/>
              <w:rPr>
                <w:sz w:val="1"/>
                <w:szCs w:val="1"/>
                <w:color w:val="auto"/>
              </w:rPr>
            </w:pPr>
          </w:p>
        </w:tc>
      </w:tr>
      <w:tr>
        <w:trPr>
          <w:trHeight w:val="169"/>
        </w:trPr>
        <w:tc>
          <w:tcPr>
            <w:tcW w:w="3580" w:type="dxa"/>
            <w:vAlign w:val="bottom"/>
            <w:tcBorders>
              <w:top w:val="single" w:sz="8" w:color="CCEEFF"/>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Total derivatives</w:t>
            </w: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2,119</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(426)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(2,175)</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(4,110)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580" w:type="dxa"/>
            <w:vAlign w:val="bottom"/>
          </w:tcPr>
          <w:p>
            <w:pPr>
              <w:spacing w:after="0"/>
              <w:rPr>
                <w:sz w:val="24"/>
                <w:szCs w:val="24"/>
                <w:color w:val="auto"/>
              </w:rPr>
            </w:pPr>
          </w:p>
        </w:tc>
        <w:tc>
          <w:tcPr>
            <w:tcW w:w="16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 on</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10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25"/>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120" w:type="dxa"/>
            <w:vAlign w:val="bottom"/>
          </w:tcPr>
          <w:p>
            <w:pPr>
              <w:spacing w:after="0"/>
              <w:rPr>
                <w:sz w:val="10"/>
                <w:szCs w:val="10"/>
                <w:color w:val="auto"/>
              </w:rPr>
            </w:pPr>
          </w:p>
        </w:tc>
        <w:tc>
          <w:tcPr>
            <w:tcW w:w="15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2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4"/>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left="46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6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120" w:type="dxa"/>
            <w:vAlign w:val="bottom"/>
          </w:tcPr>
          <w:p>
            <w:pPr>
              <w:spacing w:after="0"/>
              <w:rPr>
                <w:sz w:val="12"/>
                <w:szCs w:val="12"/>
                <w:color w:val="auto"/>
              </w:rPr>
            </w:pPr>
          </w:p>
        </w:tc>
        <w:tc>
          <w:tcPr>
            <w:tcW w:w="840" w:type="dxa"/>
            <w:vAlign w:val="bottom"/>
          </w:tcPr>
          <w:p>
            <w:pPr>
              <w:jc w:val="right"/>
              <w:ind w:right="26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ind w:right="24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Interest rate swaps</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8,189</w:t>
            </w:r>
          </w:p>
        </w:tc>
        <w:tc>
          <w:tcPr>
            <w:tcW w:w="40" w:type="dxa"/>
            <w:vAlign w:val="bottom"/>
          </w:tcPr>
          <w:p>
            <w:pPr>
              <w:spacing w:after="0"/>
              <w:rPr>
                <w:sz w:val="14"/>
                <w:szCs w:val="14"/>
                <w:color w:val="auto"/>
              </w:rPr>
            </w:pPr>
          </w:p>
        </w:tc>
        <w:tc>
          <w:tcPr>
            <w:tcW w:w="2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176</w:t>
            </w:r>
          </w:p>
        </w:tc>
        <w:tc>
          <w:tcPr>
            <w:tcW w:w="120" w:type="dxa"/>
            <w:vAlign w:val="bottom"/>
          </w:tcPr>
          <w:p>
            <w:pPr>
              <w:spacing w:after="0"/>
              <w:rPr>
                <w:sz w:val="14"/>
                <w:szCs w:val="14"/>
                <w:color w:val="auto"/>
              </w:rPr>
            </w:pPr>
          </w:p>
        </w:tc>
        <w:tc>
          <w:tcPr>
            <w:tcW w:w="15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(6,124)</w:t>
            </w:r>
          </w:p>
        </w:tc>
        <w:tc>
          <w:tcPr>
            <w:tcW w:w="280" w:type="dxa"/>
            <w:vAlign w:val="bottom"/>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(8,111)</w:t>
            </w:r>
          </w:p>
        </w:tc>
        <w:tc>
          <w:tcPr>
            <w:tcW w:w="0" w:type="dxa"/>
            <w:vAlign w:val="bottom"/>
          </w:tcPr>
          <w:p>
            <w:pPr>
              <w:spacing w:after="0"/>
              <w:rPr>
                <w:sz w:val="1"/>
                <w:szCs w:val="1"/>
                <w:color w:val="auto"/>
              </w:rPr>
            </w:pPr>
          </w:p>
        </w:tc>
      </w:tr>
      <w:tr>
        <w:trPr>
          <w:trHeight w:val="156"/>
        </w:trPr>
        <w:tc>
          <w:tcPr>
            <w:tcW w:w="358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derivatives</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8,189</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176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(6,124)</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(8,111)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Reclassifications from accumulated other comprehensive loss for interest rate swaps are shown in the table above and included in interest expense. Total consolidated interest expense for the three months ended June 30, 2022 and 2021 was $34.0 million and $29.8 million, respectively, and for the six months ended June 30, 2022 and 2021 was $65.9 million and $60.6 million, respectively.</w:t>
      </w:r>
    </w:p>
    <w:p>
      <w:pPr>
        <w:spacing w:after="0" w:line="139" w:lineRule="exact"/>
        <w:rPr>
          <w:sz w:val="20"/>
          <w:szCs w:val="20"/>
          <w:color w:val="auto"/>
        </w:rPr>
      </w:pPr>
    </w:p>
    <w:p>
      <w:pPr>
        <w:ind w:left="60" w:right="259"/>
        <w:spacing w:after="0" w:line="273" w:lineRule="auto"/>
        <w:rPr>
          <w:sz w:val="20"/>
          <w:szCs w:val="20"/>
          <w:color w:val="auto"/>
        </w:rPr>
      </w:pPr>
      <w:r>
        <w:rPr>
          <w:rFonts w:ascii="Times New Roman" w:cs="Times New Roman" w:eastAsia="Times New Roman" w:hAnsi="Times New Roman"/>
          <w:sz w:val="17"/>
          <w:szCs w:val="17"/>
          <w:color w:val="auto"/>
        </w:rPr>
        <w:t>At June 30, 2022, the fair value of derivatives in a net liability position including accrued interest but excluding any adjustment for nonperformance risk related to these agreements was $1.0 million. As of June 30, 2022,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$1.0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DEFERRED MANAGEMENT RIGHTS PROCEEDS:</w:t>
      </w:r>
    </w:p>
    <w:p>
      <w:pPr>
        <w:spacing w:after="0" w:line="202"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straight-line basis over the 65-year term of the hotel management agreements, including extensions, as a reduction in management fee expense.</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 is a lessee of a 65.3 acre site in Osceola County, Florida on which Gaylord Palms is located, building or land leases for Ole Red Gatlinburg, Ole Red Orlando, Ole Red Tishomingo, Ole Red Nashville International Airport, and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Extension options are not considered reasonably assured and as a result are not included in the Company’s calculation of its right-of-use assets and lease liabilities.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As the discount rate implicit in the Company’s operating leases is not readily determinable, the Company applies judgments related to the determination of the discount rates used to calculate the lease liability as required by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calculates its incremental borrowing rates by utilizing judgments and estimates regarding the Company’s secured borrowing rates, market credit rating, comparable bond yield curve, and adjustments to market yield curves to determine a securitized rate.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lease costs for the three months ended June 30, 2022 and 2021 are as follows (in thousands):</w:t>
      </w:r>
    </w:p>
    <w:p>
      <w:pPr>
        <w:spacing w:after="0" w:line="111"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6"/>
        </w:trPr>
        <w:tc>
          <w:tcPr>
            <w:tcW w:w="4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9"/>
                <w:szCs w:val="19"/>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6,370</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4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3,290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6,465</w:t>
            </w: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at June 30, 2022 are as follows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7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Years thereafter</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561,701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(481,003)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remaining lease term and discount rate for the Company’s leases are as follows: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vMerge w:val="restart"/>
          </w:tcPr>
          <w:p>
            <w:pPr>
              <w:spacing w:after="0"/>
              <w:rPr>
                <w:sz w:val="19"/>
                <w:szCs w:val="19"/>
                <w:color w:val="auto"/>
              </w:rPr>
            </w:pPr>
          </w:p>
        </w:tc>
        <w:tc>
          <w:tcPr>
            <w:tcW w:w="53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STOCK PLANS:</w:t>
      </w:r>
    </w:p>
    <w:p>
      <w:pPr>
        <w:spacing w:after="0" w:line="202"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Company granted 0.2 million restricted stock units with a weighted-average grant date fair value of $83.18 per unit. There were 0.6 million restricted stock units outstanding at each of June 30, 2022 and December 31, 2021, respectively.</w:t>
      </w:r>
    </w:p>
    <w:p>
      <w:pPr>
        <w:spacing w:after="0" w:line="135"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Compensation expense for the Company’s stock-based compensation plans was $3.7 million and $3.1 million for the three months ended June 30, 2022 and 2021, respectively, and $7.4 million and $5.7 million for the six months ended June 30, 2022 and 2021, respectively.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PENSION PLANS:</w:t>
      </w:r>
    </w:p>
    <w:p>
      <w:pPr>
        <w:spacing w:after="0" w:line="202"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Net periodic pension expense reflected in other gains and (losses), net in the accompanying condensed consolidated statements of operations included the following components for the respective periods (in thousands):</w:t>
      </w:r>
    </w:p>
    <w:p>
      <w:pPr>
        <w:spacing w:after="0" w:line="11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38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6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shd w:val="clear" w:color="auto" w:fill="CCEEFF"/>
          </w:tcPr>
          <w:p>
            <w:pPr>
              <w:spacing w:after="0"/>
              <w:rPr>
                <w:sz w:val="18"/>
                <w:szCs w:val="18"/>
                <w:color w:val="auto"/>
              </w:rPr>
            </w:pPr>
          </w:p>
        </w:tc>
      </w:tr>
      <w:tr>
        <w:trPr>
          <w:trHeight w:val="216"/>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settlement loss</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Borders>
              <w:bottom w:val="single" w:sz="8" w:color="CCEEFF"/>
            </w:tcBorders>
          </w:tcPr>
          <w:p>
            <w:pPr>
              <w:spacing w:after="0"/>
              <w:rPr>
                <w:sz w:val="18"/>
                <w:szCs w:val="18"/>
                <w:color w:val="auto"/>
              </w:rPr>
            </w:pPr>
          </w:p>
        </w:tc>
      </w:tr>
      <w:tr>
        <w:trPr>
          <w:trHeight w:val="209"/>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periodic pension expense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As a result of increased lump-sum distributions from the Company’s qualified retirement plan during 2022 and 2021, a net settlement loss of $0.9 million and $0.6 million was recognized in the three months and six months ended June 30, 2022 and 2021, respectively.</w:t>
      </w:r>
    </w:p>
    <w:p>
      <w:pPr>
        <w:spacing w:after="0" w:line="176"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In addition, the increase in lump-sum distributions required the Company to re-measure its liability under its pension plan as of June 30, 2022. As a result of the re-measurement, including a reduction in the valuation of plan assets during 2022, partially offset by an increase in the pension plan’s assumed discount rate from 2.42% at December 31, 2021 to 4.23% at June 30, 2022, the Company recorded a $6.4 million increase to its liability under the pension plan and a corresponding increase in accumulated other comprehensive loss in the accompanying condensed consolidated balance sheet at June 30, 2022.</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89"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The Company elected to be taxed as a REIT effective January 1, 2013, pursuant to the U.S. Internal Revenue Code of 1986, as amended. As a REIT, generally the Company is not subject to federal corporate income taxes on ordinary taxable income and capital gains income from real estate investments that it distributes to its stockholders. The Company continues to be required to pay federal and state corporate income taxes on earnings of its taxable REIT subsidiaries (“TRSs”).</w:t>
      </w:r>
    </w:p>
    <w:p>
      <w:pPr>
        <w:spacing w:after="0" w:line="13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For each of the three months and six months ended June 30, 2022, the Company recorded an income tax provision of $17.6 million related to its TRSs.</w:t>
      </w:r>
    </w:p>
    <w:p>
      <w:pPr>
        <w:spacing w:after="0" w:line="121"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For the three months and six months ended June 30, 2021, the Company recorded an income tax provision of $1.6 million and $5.6 million, respectively. The income tax provision for the six months ended June 30, 2021 includes the recording of a valuation allowance of $3.6 million related to the Company’s reassessment of the realizability of its deferred tax assets due to the impact of the COVID-19 pandemic.</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June 30, 2022 and December 31, 2021, the Company had no unrecognized tax benefits.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has entered into limited repayment and carry guaranties related to the Gaylord Rockies Loan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(ii) a completion guaranty in the event a property expansion is pursued, and (iii) customary non-recourse carve-outs.</w:t>
      </w:r>
    </w:p>
    <w:p>
      <w:pPr>
        <w:spacing w:after="0" w:line="143" w:lineRule="exact"/>
        <w:rPr>
          <w:sz w:val="20"/>
          <w:szCs w:val="20"/>
          <w:color w:val="auto"/>
        </w:rPr>
      </w:pPr>
    </w:p>
    <w:p>
      <w:pPr>
        <w:ind w:left="60" w:right="139"/>
        <w:spacing w:after="0" w:line="289" w:lineRule="auto"/>
        <w:rPr>
          <w:sz w:val="20"/>
          <w:szCs w:val="20"/>
          <w:color w:val="auto"/>
        </w:rPr>
      </w:pPr>
      <w:r>
        <w:rPr>
          <w:rFonts w:ascii="Times New Roman" w:cs="Times New Roman" w:eastAsia="Times New Roman" w:hAnsi="Times New Roman"/>
          <w:sz w:val="17"/>
          <w:szCs w:val="17"/>
          <w:color w:val="auto"/>
        </w:rPr>
        <w:t>In connection with the purchase of Block 21, the Company provided (i) limited guarantees to the Block 21 lenders under the Block 21 CMBS Loan via a guaranty agreement, a guaranty of completion agreement and an environmental indemnity, and (2) a letter of credit drawable by the Block 21 lenders in the event of a default of the Block 21 CMBS Loan.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 April 2019, a subsidiary of the Company entered into a joint venture with Gray Television, Inc. that creates and distributes a linear multicast and over-the-top channel dedicated to the country music lifestyle, Circle. The Company acquired a 50% equity interest in this joint venture and has made capital contributions of $27.0 million. In addition, the Company intends to contribute up to an additional $6.0 million through December 31, 2022 for working capital needs. The Company accounts for its investment in this joint venture under the equity method of accounting.</w:t>
      </w:r>
    </w:p>
    <w:p>
      <w:pPr>
        <w:spacing w:after="0" w:line="15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21"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EQUITY:</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ind w:left="60" w:right="99"/>
        <w:spacing w:after="0" w:line="289" w:lineRule="auto"/>
        <w:rPr>
          <w:sz w:val="20"/>
          <w:szCs w:val="20"/>
          <w:color w:val="auto"/>
        </w:rPr>
      </w:pPr>
      <w:r>
        <w:rPr>
          <w:rFonts w:ascii="Times New Roman" w:cs="Times New Roman" w:eastAsia="Times New Roman" w:hAnsi="Times New Roman"/>
          <w:sz w:val="17"/>
          <w:szCs w:val="17"/>
          <w:color w:val="auto"/>
        </w:rPr>
        <w:t>Due to the COVID-19 pandemic, the Company has suspended its regular quarterly dividend payments. The Company’s board of directors will consider a future dividend as permitted by the Company’s credit agreement, and any future dividend is subject to the Company’s board of directors’ determination as to the amount of distributions and the timing thereof.</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 in the Operating Partnership</w:t>
      </w:r>
    </w:p>
    <w:p>
      <w:pPr>
        <w:spacing w:after="0" w:line="20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June 30, 2022, 0.4 million outstanding OP Units, or less than 1% of the outstanding OP Units, were held by the noncontrolling limited partners and are included as a component of equity in the accompanying condensed consolidated balance sheet. The Company owns, directly or indirectly, the remaining 99.3% of the outstanding OP Units.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(“ATM”) Equity Distribution Agreement</w:t>
      </w:r>
    </w:p>
    <w:p>
      <w:pPr>
        <w:spacing w:after="0" w:line="187" w:lineRule="exact"/>
        <w:rPr>
          <w:sz w:val="20"/>
          <w:szCs w:val="20"/>
          <w:color w:val="auto"/>
        </w:rPr>
      </w:pPr>
    </w:p>
    <w:p>
      <w:pPr>
        <w:ind w:left="60" w:right="439"/>
        <w:spacing w:after="0" w:line="258" w:lineRule="auto"/>
        <w:rPr>
          <w:sz w:val="20"/>
          <w:szCs w:val="20"/>
          <w:color w:val="auto"/>
        </w:rPr>
      </w:pPr>
      <w:r>
        <w:rPr>
          <w:rFonts w:ascii="Times New Roman" w:cs="Times New Roman" w:eastAsia="Times New Roman" w:hAnsi="Times New Roman"/>
          <w:sz w:val="18"/>
          <w:szCs w:val="18"/>
          <w:color w:val="auto"/>
        </w:rPr>
        <w:t>On May 27, 2021, the Company entered into an ATM equity distribution agreement (the “ATM Agreement”) with a consortium of banks (each a “Sales Agent” and collectively, the “Sales Agents”), pursuant to which the Company may offer and sell to or through the Sales Agents (the “ATM Offering”), from time to time, up to 4.0 million shares (the “Shares”) of the Company’s common stock in such share amounts as the Company may specify by notice to the Sales Agents, in accordance with the terms and conditions set forth in the ATM Agreement.</w:t>
      </w:r>
    </w:p>
    <w:p>
      <w:pPr>
        <w:spacing w:after="0" w:line="156" w:lineRule="exact"/>
        <w:rPr>
          <w:sz w:val="20"/>
          <w:szCs w:val="20"/>
          <w:color w:val="auto"/>
        </w:rPr>
      </w:pP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Under the ATM Agreement, the Company will set the parameters for the sale of the Shares, including the number of the Shares to be issued, the time period during which sales are requested to be made, limitation on the number of the Shares that may be sold in any one trading day and any minimum price below which sales may not be made. Each Sales Agent will use its commercially reasonable efforts, consistent with its normal trading and sales practices, to sell such Shares up to the amount specified, and otherwise in accordance with mutually agreed terms between the Sales Agent and the Company. Neither the Company nor any of the Sales Agents are obligated to sell any specific number or dollar amount of Shares under the ATM Agreement. The Sales Agents will be paid a commission of up to 2.0% of the gross sales price from the sale of any Shares. The Company intends to use the net proceeds from any sale of Shares for the repayment of outstanding indebtedness, which may include the repayment of amounts outstanding under the Company’s credit agreement governing the Company’s revolving credit facility. Net proceeds which are not used for the repayment of outstanding indebtedness (to the extent then permitted by the Company’s credit agreement) may be used for general corporate purposes.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shares were issued under the ATM Agreement during the six months ended June 30,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FAIR VALUE MEASUREMENTS:</w:t>
      </w:r>
    </w:p>
    <w:p>
      <w:pPr>
        <w:spacing w:after="0" w:line="20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3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3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5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 has consistently applied the above valuation techniques in all periods presented and believes it has obtained the most accurate information available for each type of instrument.</w:t>
      </w:r>
    </w:p>
    <w:p>
      <w:pPr>
        <w:spacing w:after="0" w:line="121"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June 30, 2022 and December 31, 2021, were as follows (in thousands):</w:t>
      </w:r>
    </w:p>
    <w:tbl>
      <w:tblPr>
        <w:tblLayout w:type="fixed"/>
        <w:tblInd w:w="6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16"/>
              <w:spacing w:after="0" w:line="137"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1"/>
                <w:szCs w:val="11"/>
                <w:color w:val="auto"/>
              </w:rPr>
            </w:pPr>
          </w:p>
        </w:tc>
        <w:tc>
          <w:tcPr>
            <w:tcW w:w="8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1"/>
                <w:szCs w:val="11"/>
                <w:color w:val="auto"/>
              </w:rPr>
            </w:pPr>
          </w:p>
        </w:tc>
        <w:tc>
          <w:tcPr>
            <w:tcW w:w="9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9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06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4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4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0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remainder of the assets and liabilities held by the Company at June 30, 2022 are not required to be recorded at fair value, and the carrying value of these assets and liabilities approximates fair value, except as described below.</w:t>
      </w:r>
    </w:p>
    <w:p>
      <w:pPr>
        <w:spacing w:after="0" w:line="121" w:lineRule="exact"/>
        <w:rPr>
          <w:sz w:val="20"/>
          <w:szCs w:val="20"/>
          <w:color w:val="auto"/>
        </w:rPr>
      </w:pPr>
    </w:p>
    <w:p>
      <w:pPr>
        <w:ind w:left="60" w:right="239"/>
        <w:spacing w:after="0" w:line="289" w:lineRule="auto"/>
        <w:rPr>
          <w:sz w:val="20"/>
          <w:szCs w:val="20"/>
          <w:color w:val="auto"/>
        </w:rPr>
      </w:pPr>
      <w:r>
        <w:rPr>
          <w:rFonts w:ascii="Times New Roman" w:cs="Times New Roman" w:eastAsia="Times New Roman" w:hAnsi="Times New Roman"/>
          <w:sz w:val="17"/>
          <w:szCs w:val="17"/>
          <w:color w:val="auto"/>
        </w:rPr>
        <w:t>The Company has outstanding $600.0 million in aggregate principal amount of $600 million 4.50% senior notes. The carrying value of these notes at June 30, 2022 was $591.2 million, net of unamortized deferred financing costs (“DFCs”). The fair value of these notes, based upon quoted market prices (Level 1), was $509.0 million at June 30, 2022.</w:t>
      </w:r>
    </w:p>
    <w:p>
      <w:pPr>
        <w:spacing w:after="0" w:line="131"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Company has outstanding $700.0 million in aggregate principal amount of $700 million 4.75% senior notes. The carrying value of these notes at June 30, 2022 was $693.1 million, net of unamortized DFCs and premiums. The fair value of these notes, based upon quoted market prices (Level 1), was $621.9 million at June 30,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See Note 3, “Block 21 Transaction,” for additional disclosures related to the fair value measurements used in accounting for the purchase of Block 21.</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FINANCIAL REPORTING BY BUSINESS SEGMENTS: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operations are organized into three principal business segments:</w:t>
      </w:r>
    </w:p>
    <w:p>
      <w:pPr>
        <w:spacing w:after="0" w:line="183"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which includes the Gaylord Hotels properties, the Inn at Opryland and the AC Hotel;</w:t>
      </w:r>
    </w:p>
    <w:p>
      <w:pPr>
        <w:spacing w:after="0" w:line="29" w:lineRule="exact"/>
        <w:rPr>
          <w:rFonts w:ascii="Times New Roman" w:cs="Times New Roman" w:eastAsia="Times New Roman" w:hAnsi="Times New Roman"/>
          <w:sz w:val="18"/>
          <w:szCs w:val="18"/>
          <w:color w:val="auto"/>
        </w:rPr>
      </w:pPr>
    </w:p>
    <w:p>
      <w:pPr>
        <w:ind w:left="720" w:right="21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which includes the OEG business, specifically the Grand Ole Opry, the Ryman Auditorium,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WSM-AM, Ole Red, Block 21, the Company’s equity investment in Circle, and the Company’s Nashville-based attractions; and</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which includes the Company’s corporate expenses.</w:t>
      </w:r>
    </w:p>
    <w:p>
      <w:pPr>
        <w:spacing w:after="0" w:line="180"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following information is derived directly from the segments’ internal financial reports used for corporate management purposes (amounts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5"/>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94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401,802</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$ 135,688</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$ 662,913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205,490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35,173</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106,426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470,204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$ 170,861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$ 769,339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50,487</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$ 104,287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$ 112,743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100,573</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(27,100)</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$ 116,241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20,981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(22,386)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Preopening costs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105,968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(30,947)</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113,842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(110,504)</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(29,847)</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(65,895)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from unconsolidated joint ventures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68,558</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(61,426)</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43,696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(174,593)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40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3,218,334</w:t>
            </w:r>
          </w:p>
        </w:tc>
        <w:tc>
          <w:tcPr>
            <w:tcW w:w="8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3,266,679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166,116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3,864,700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3,580,525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the Operating Partnership’s owned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2021, included in our Annual Report on Form 10-K that was filed with the SEC on February 25, 2022.</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02"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anticipated impact of the novel coronavirus disease (COVID-19) pandemic on future travel, transient and group demand, our results of operations and liquidity, and efforts to rebook customers for future dates; (ii) the effect of our election to be taxed as a REIT and maintain REIT status for federal income tax purposes; (iii) the holding of our non-qualifying REIT assets in one or more taxable REIT subsidiaries (“TRSs”); (iv) the suspension of our dividend and our dividend policy, including the frequency and amount of any dividend we may pay; (v) our strategic goals and potential growth opportunities, including future expansion of the geographic diversity of our existing asset portfolio through acquisitions and investment in joint ventures; (vi) Marriott International, Inc.’s (“Marriott”) ability to effectively manage our hotels and other properties;</w:t>
      </w:r>
    </w:p>
    <w:p>
      <w:pPr>
        <w:spacing w:after="0" w:line="11" w:lineRule="exact"/>
        <w:rPr>
          <w:sz w:val="20"/>
          <w:szCs w:val="20"/>
          <w:color w:val="auto"/>
        </w:rPr>
      </w:pPr>
    </w:p>
    <w:p>
      <w:pPr>
        <w:ind w:left="60" w:right="59" w:hanging="10"/>
        <w:spacing w:after="0" w:line="252"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use of cash during the remainder of 2022; (x) our ability to borrow available funds under our credit facility; (xi) our expectations about successfully amending the agreements governing our indebtedness should the need arise; (xii) the effects of inflation and increased costs on our business; and (xiii) any other business or operational matters. We have based these forward-looking statements on our current expectations and projections about future events.</w:t>
      </w:r>
    </w:p>
    <w:p>
      <w:pPr>
        <w:spacing w:after="0" w:line="14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the COVID-19 pandemic, including the effects of the COVID-19 pandemic on us and the hospitality and entertainment industries generally, the effects of the COVID-19 pandemic on the demand for travel, transient and group business (including government-imposed restrictions or guidelines), levels of consumer confidence in the safety of travel and group gatherings as a result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9" w:lineRule="auto"/>
        <w:rPr>
          <w:sz w:val="20"/>
          <w:szCs w:val="20"/>
          <w:color w:val="auto"/>
        </w:rPr>
      </w:pPr>
      <w:r>
        <w:rPr>
          <w:rFonts w:ascii="Times New Roman" w:cs="Times New Roman" w:eastAsia="Times New Roman" w:hAnsi="Times New Roman"/>
          <w:sz w:val="17"/>
          <w:szCs w:val="17"/>
          <w:color w:val="auto"/>
        </w:rPr>
        <w:t>of COVID-19, the length and severity of the COVID-19 pandemic in the United States and the pace of recovery following the COVID-19 pandemic, the duration and severity of the COVID-19 pandemic in the markets where our assets are located, the economic conditions affecting the hospitality business generally, the geographic concentration of our hotel properties, business levels at our hotels, the effects of inflation on our business, including the effects on costs of labor and supplies,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including future changes from the London Inter-Bank Offered Rate (“LIBOR”) to a different base rate, and those factors described elsewhere in this Quarterly Report on Form 10-Q, including in Item 1A, “Risk Factors,” and our Annual Report on Form 10-K for the year ended December 31, 2021 or described from time to time in our other reports filed with the SEC.</w:t>
      </w:r>
    </w:p>
    <w:p>
      <w:pPr>
        <w:spacing w:after="0" w:line="15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operate as a REIT for federal income tax purposes, specializing in group-oriented, destination hotel assets in urban and resort markets. Our core holdings include a network of five upscale, meetings-focused resorts totaling 9,917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(“Gaylord Rockies”), which was previously owned by a joint venture (the “Gaylord Rockies joint venture”), in which we owned a 65% interest. On May 7, 2021, we purchased the remaining 35% interest in the Gaylord Rockies joint venture. Our other owned hotel assets managed by Marriott include the Inn at Opryland, an overflow hotel adjacent to Gaylord Opryland, and the AC Hotel at National Harbor, Washington D.C. (“AC Hotel”), an overflow hotel adjacent to Gaylord National.</w:t>
      </w:r>
    </w:p>
    <w:p>
      <w:pPr>
        <w:spacing w:after="0" w:line="16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also own and operate media and entertainment assets including the Grand Ole Opry, the legendary weekly showcase of country music’s finest performers for 96 years; the Ryman Auditorium, the storied live music venue and former home of the Grand Ole Opry located in downtown Nashville; WSM-AM, the Opry’s radio home; Ole Red, a brand of Blake Shelton-themed bar, music venue and event spaces; two Nashville-based assets managed by Marriott – the Wildhorse Saloon and the General Jackson Showboat; and as of May 31, 2022, Block 21, a mixed-use entertainment, lodging, office, and retail complex located in Austin, Texas (“Block 21”). We also own a 50% interest in a joint venture that creates and distributes a linear multicast and over-the-top channel dedicated to the country music lifestyle (“Circle”). See “OEG Transaction” below for additional disclosure regarding our sale of a 30% interest in the business effective June 16, 2022.</w:t>
      </w:r>
    </w:p>
    <w:p>
      <w:pPr>
        <w:spacing w:after="0" w:line="151"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3"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See “Cautionary Note Regarding Forward-Looking Statements” in this Item 2 and Item 1A, “Risk Factors,” in Part II of this Quarterly Report on Form 10-Q and Item 1A, “Risk Factors,” in our Annual Report on Form 10-K for the year ended December 31, 2021 for important information regarding forward-looking statements made in this report and risks and uncertainties we face.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Pandemic</w:t>
      </w:r>
    </w:p>
    <w:p>
      <w:pPr>
        <w:spacing w:after="0" w:line="202"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The COVID-19 pandemic has been and continues to be a complex and evolving situation, causing unprecedented levels of disruption of our business. Although our assets are currently open and operating without capacity restrictions and business levels continue to recover, there remains significant uncertainty surrounding the full extent of the impact of the COVID-19 pandemic on our future results of operations and financial position.</w:t>
      </w:r>
    </w:p>
    <w:p>
      <w:pPr>
        <w:spacing w:after="0" w:line="139" w:lineRule="exact"/>
        <w:rPr>
          <w:sz w:val="20"/>
          <w:szCs w:val="20"/>
          <w:color w:val="auto"/>
        </w:rPr>
      </w:pPr>
    </w:p>
    <w:p>
      <w:pPr>
        <w:jc w:val="both"/>
        <w:ind w:left="60" w:right="419"/>
        <w:spacing w:after="0" w:line="261" w:lineRule="auto"/>
        <w:rPr>
          <w:sz w:val="20"/>
          <w:szCs w:val="20"/>
          <w:color w:val="auto"/>
        </w:rPr>
      </w:pPr>
      <w:r>
        <w:rPr>
          <w:rFonts w:ascii="Times New Roman" w:cs="Times New Roman" w:eastAsia="Times New Roman" w:hAnsi="Times New Roman"/>
          <w:sz w:val="18"/>
          <w:szCs w:val="18"/>
          <w:color w:val="auto"/>
        </w:rPr>
        <w:t>The majority of our businesses have been open and operating throughout 2021 and 2022. However, Gaylord National remained closed during the first half of 2021 and reopened July 1, 2021. The Grand Ole Opry and Ryman Auditorium reopened for full-capacity publicly attended performances in May 2021. In addition, subsequent to the December 2020 downtown Nashville bombing, the Wildhorse saloon reopened in April 2021.</w:t>
      </w:r>
    </w:p>
    <w:p>
      <w:pPr>
        <w:spacing w:after="0" w:line="13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Cancelled room nights in the six months ended June 30, 2022 decreased 49% from the six months ended June 30, 2021. Occupancy and average daily rate (“ADR”) increased 35.4 points of occupancy and 17.4%, respectively, in the six months ended June 30, 2022 as compared to the same period in 2021. Outside-the-room spend in the six months ended June 30, 2022 increased 246.8% compared to the same period in 2021.</w:t>
      </w:r>
    </w:p>
    <w:p>
      <w:pPr>
        <w:spacing w:after="0" w:line="153"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Group stays have steadily increased in 2021 and 2022 and group nights on the books at June 30, 2022 for the next five years is approximately 98% of total group room nights that were on the books at June 30, 2019 for the corresponding following five years. In addition, the ADR of group room nights on the books at June 30, 2022 is almost 8% higher than the ADR of the corresponding group room nights at June 30, 2019.</w:t>
      </w:r>
    </w:p>
    <w:p>
      <w:pPr>
        <w:spacing w:after="0" w:line="139" w:lineRule="exact"/>
        <w:rPr>
          <w:sz w:val="20"/>
          <w:szCs w:val="20"/>
          <w:color w:val="auto"/>
        </w:rPr>
      </w:pPr>
    </w:p>
    <w:p>
      <w:pPr>
        <w:ind w:left="60" w:right="139"/>
        <w:spacing w:after="0" w:line="277" w:lineRule="auto"/>
        <w:rPr>
          <w:sz w:val="20"/>
          <w:szCs w:val="20"/>
          <w:color w:val="auto"/>
        </w:rPr>
      </w:pPr>
      <w:r>
        <w:rPr>
          <w:rFonts w:ascii="Times New Roman" w:cs="Times New Roman" w:eastAsia="Times New Roman" w:hAnsi="Times New Roman"/>
          <w:sz w:val="17"/>
          <w:szCs w:val="17"/>
          <w:color w:val="auto"/>
        </w:rPr>
        <w:t>Throughout the COVID-19 pandemic, we have continued to pay all required debt service payments on our indebtedness, lease payments, taxes and other payables. At June 30, 2022, we had $754.6 million available for borrowing under our revolving credit facility and the OEG revolving credit facility and $179.2 million in unrestricted cash on hand. Our regular quarterly dividend is currently suspended. Our board of directors will consider a future dividend as permitted by our credit agreement and subject to our board of directors’ determinations as to the amount of distributions and the timing thereof.</w:t>
      </w:r>
    </w:p>
    <w:p>
      <w:pPr>
        <w:spacing w:after="0" w:line="127"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For additional discussion of the impact of the COVID-19 pandemic on our business, see “Risk Factors” under Part I, Item 1A of our Annual Report on Form 10-K for the year ended December 31, 2021.</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OEG Transaction</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As more fully described in Note 2, “OEG Transaction,” to the condensed consolidated financial statements included herein, on June 16, 2022, we and certain of our subsidiaries, including OEG Attractions Holdings, LLC, which directly or indirectly owns the assets that comprise our Entertainment Segment (“OEG”), consummated the transactions pursuant to an investment agreement (the “Investment Agreement”) with Atairos Group, Inc. (“Atairos”) and A-OEG Holdings, LLC, an affiliate of Atairos (the “OEG Investor”) and pursuant to which OEG issued and sold to the OEG Investor, and the OEG Investor acquired, 30% of the equity interests of OEG for approximately $296.0 million (the “OEG Transaction”). The purchase price for the OEG Transaction may be increased by $30.0 million if OEG achieves certain financial objectives in 2023 or 2024.</w:t>
      </w:r>
    </w:p>
    <w:p>
      <w:pPr>
        <w:spacing w:after="0" w:line="19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retained a controlling 70% equity interest in OEG and will continue to consolidate OEG and the other subsidiaries comprising our Entertainment segment in our consolidated financial statements. After the payment of transaction expenses, we used substantially all of the net proceeds from the OEG Transaction, together with the net proceeds we received from the OEG Term Loan (as defined below), to repay the outstanding balance of our existing $300 million term loan A and to pay down substantially all borrowings outstanding under our revolving credit facility.</w:t>
      </w:r>
    </w:p>
    <w:p>
      <w:pPr>
        <w:spacing w:after="0" w:line="183"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In connection with the OEG Transaction, OEG Borrower, LLC (“OEG Borrower”) and OEG Finance, LLC (“OEG Finance”), each a wholly owned direct or indirect subsidiary of OEG, entered into a credit agreement (the “OEG Credit Agreement”) with JPMorgan Chase Bank, N.A. that provides for (i) a senior secured term loan facility in an aggregate principal amount of $300.0 million (the “OEG Term Loan”) and (ii) a senior secured revolving credit facility in an aggregate principal amount not to exceed $65.0 million (the “OEG Revolver”). The OEG Term Loan matures on June 16, 2029 and the OEG Revolver matures on June 16, 2027. The OEG Term Loan bears interest at a rate equal to either,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at OEG Borrower’s election, (i) the Alternate Base Rate plus 4.00% or (b) Adjusted Term SOFR plus 5.00% (all as specifically more described in the OEG Credit Agreement). The OEG Revolver bears interest at a rate equal to either, at OEG Borrower’s election, (i) the Alternate Base Rate plus 3.75% or (b) Adjusted Term SOFR plus 4.75%, which shall be subject to reduction in the applicable margin based upon OEG’s First Lien Leverage Ratio (all as specifically more described in the OEG Credit Agreement). The OEG Term Loan and OEG Revolver are each secured by substantially all of the assets of OEG Finance and each of its subsidiaries (other than Block 21 and Circle, as more specifically described in the OEG Credit Agreement). No revolving credit advances were made under the OEG Revolver at closing.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Block 21 Acquisition</w:t>
      </w:r>
    </w:p>
    <w:p>
      <w:pPr>
        <w:spacing w:after="0" w:line="202"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On May 31, 2022, we purchased Block 21 for a stated purchase price of $260 million, as subsequently adjusted to $255 million pursuant to the terms of the purchase agreement, which includes the assumption of approximately $136 million of existing mortgage debt. Block 21 is the home of the Austin City Limits Live at The Moody Theater (“ACL Live”), a 2,750-seat entertainment venue that serves as the filming location for the Austin City Limits television series. The Block 21 complex also includes the 251-room W Austin Hotel, the 3TEN at ACL Live club and approximately 53,000 square feet of other Class A commercial space. We funded the cash portion of the purchase price with cash on hand and borrowings under our revolving credit facility. Block 21 assets are reflected in our Entertainment segment as of May 31, 2022.</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Gaylord Rockies Joint Venture</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May 2021, we purchased the remaining 35% ownership interest in the Gaylord Rockies joint venture. Prior to May 2021, we had a 65% ownership interest in the Gaylord Rockies joint venture, and our management concluded that the Company was the primary beneficiary of this previous variable interest entity (“VIE”). The financial position and results of operations of this previous VIE have been consolidated in the accompanying condensed consolidated financial statements included herein. We also purchased 130 acres of undeveloped land, adjacent to Gaylord Rockies in May 2021.</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Gaylord Palms Expansion</w:t>
      </w:r>
    </w:p>
    <w:p>
      <w:pPr>
        <w:spacing w:after="0" w:line="189" w:lineRule="exact"/>
        <w:rPr>
          <w:sz w:val="20"/>
          <w:szCs w:val="20"/>
          <w:color w:val="auto"/>
        </w:rPr>
      </w:pPr>
    </w:p>
    <w:p>
      <w:pPr>
        <w:ind w:left="60" w:right="99"/>
        <w:spacing w:after="0" w:line="312" w:lineRule="auto"/>
        <w:rPr>
          <w:sz w:val="20"/>
          <w:szCs w:val="20"/>
          <w:color w:val="auto"/>
        </w:rPr>
      </w:pPr>
      <w:r>
        <w:rPr>
          <w:rFonts w:ascii="Times New Roman" w:cs="Times New Roman" w:eastAsia="Times New Roman" w:hAnsi="Times New Roman"/>
          <w:sz w:val="17"/>
          <w:szCs w:val="17"/>
          <w:color w:val="auto"/>
        </w:rPr>
        <w:t>In April 2021, we completed a $158 million expansion of Gaylord Palms, which includes an additional 302 guest rooms and 96,000 square feet of meeting space, an expanded resort pool and events lawn, and a new multi-level parking structure.</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Circle</w:t>
      </w:r>
    </w:p>
    <w:p>
      <w:pPr>
        <w:spacing w:after="0" w:line="202" w:lineRule="exact"/>
        <w:rPr>
          <w:sz w:val="20"/>
          <w:szCs w:val="20"/>
          <w:color w:val="auto"/>
        </w:rPr>
      </w:pPr>
    </w:p>
    <w:p>
      <w:pPr>
        <w:ind w:left="60" w:right="99"/>
        <w:spacing w:after="0" w:line="277" w:lineRule="auto"/>
        <w:rPr>
          <w:sz w:val="20"/>
          <w:szCs w:val="20"/>
          <w:color w:val="auto"/>
        </w:rPr>
      </w:pPr>
      <w:r>
        <w:rPr>
          <w:rFonts w:ascii="Times New Roman" w:cs="Times New Roman" w:eastAsia="Times New Roman" w:hAnsi="Times New Roman"/>
          <w:sz w:val="17"/>
          <w:szCs w:val="17"/>
          <w:color w:val="auto"/>
        </w:rPr>
        <w:t>In 2019, we acquired a 50% equity interest in Circle, and we have made $27.0 million in capital contributions through June 30, 2022. In addition, we intend to contribute up to an additional $6.0 million in the remainder of 2022 for working capital needs. Circle launched its broadcast network on January 1, 2020, with sixteen original shows and two major distribution partnerships. As of July 2022, Circle is available to more than 70% of U.S. television households via over-the-air and cable television and is available through multiple online streaming services covering over 193 million monthly average users.</w:t>
      </w: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Long-Term Strategic Plan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meeting hotel assets in urban and resort markets.</w:t>
      </w:r>
    </w:p>
    <w:p>
      <w:pPr>
        <w:spacing w:after="0" w:line="196"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i w:val="1"/>
          <w:iCs w:val="1"/>
          <w:color w:val="auto"/>
        </w:rPr>
        <w:t>Existing Hotel Property Design</w:t>
      </w:r>
      <w:r>
        <w:rPr>
          <w:rFonts w:ascii="Times New Roman" w:cs="Times New Roman" w:eastAsia="Times New Roman" w:hAnsi="Times New Roman"/>
          <w:sz w:val="18"/>
          <w:szCs w:val="18"/>
          <w:color w:val="auto"/>
        </w:rPr>
        <w:t>. Our Gaylord Hotels properties focus on the large group meetings market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43" w:lineRule="exact"/>
        <w:rPr>
          <w:sz w:val="20"/>
          <w:szCs w:val="20"/>
          <w:color w:val="auto"/>
        </w:rPr>
      </w:pPr>
    </w:p>
    <w:p>
      <w:pPr>
        <w:ind w:left="60" w:right="279"/>
        <w:spacing w:after="0" w:line="315" w:lineRule="auto"/>
        <w:rPr>
          <w:sz w:val="20"/>
          <w:szCs w:val="20"/>
          <w:color w:val="auto"/>
        </w:rPr>
      </w:pPr>
      <w:r>
        <w:rPr>
          <w:rFonts w:ascii="Times New Roman" w:cs="Times New Roman" w:eastAsia="Times New Roman" w:hAnsi="Times New Roman"/>
          <w:sz w:val="17"/>
          <w:szCs w:val="17"/>
          <w:i w:val="1"/>
          <w:iCs w:val="1"/>
          <w:color w:val="auto"/>
        </w:rPr>
        <w:t>Expansion of Hotel Asset Portfolio</w:t>
      </w:r>
      <w:r>
        <w:rPr>
          <w:rFonts w:ascii="Times New Roman" w:cs="Times New Roman" w:eastAsia="Times New Roman" w:hAnsi="Times New Roman"/>
          <w:sz w:val="17"/>
          <w:szCs w:val="17"/>
          <w:color w:val="auto"/>
        </w:rPr>
        <w:t>. Part of our long-term growth strategy includes acquisitions or developments of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hotels, particularly in the group meetings sector of the hospitality industry, either alone or through joint ventures or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plan to expand the geographic diversity of our existing asset portfolio through acquisitions.</w:t>
      </w:r>
    </w:p>
    <w:p>
      <w:pPr>
        <w:spacing w:after="0" w:line="158"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i w:val="1"/>
          <w:iCs w:val="1"/>
          <w:color w:val="auto"/>
        </w:rPr>
        <w:t>Continued Investment in Our Existing Properties</w:t>
      </w:r>
      <w:r>
        <w:rPr>
          <w:rFonts w:ascii="Times New Roman" w:cs="Times New Roman" w:eastAsia="Times New Roman" w:hAnsi="Times New Roman"/>
          <w:sz w:val="18"/>
          <w:szCs w:val="18"/>
          <w:color w:val="auto"/>
        </w:rPr>
        <w:t>. We continuously evaluate and invest in our current portfolio,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enhancements or expansions as part of our long-term strategic plan. In 2021, we completed our $158 million expansion of Gaylord Palms and we also completed our renovation of all of the guestrooms at Gaylord National. In 2022, we began a re-concepting of the food and beverage options at Gaylord National and have begun enhancements at Gaylord Rockies to better position the property for our group customers.</w:t>
      </w:r>
    </w:p>
    <w:p>
      <w:pPr>
        <w:spacing w:after="0" w:line="143"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Leverage Brand Name Awareness</w:t>
      </w:r>
      <w:r>
        <w:rPr>
          <w:rFonts w:ascii="Times New Roman" w:cs="Times New Roman" w:eastAsia="Times New Roman" w:hAnsi="Times New Roman"/>
          <w:sz w:val="18"/>
          <w:szCs w:val="18"/>
          <w:color w:val="auto"/>
        </w:rPr>
        <w:t>. We believe the Grand Ole Opry is one of the most recognized entertainment brands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six Ole Red locations, as well as Circle, and purchased Block 21. Further, as discussed above, we recently completed the OEG Transaction, which we believe will expand the distribution of our OEG brands.</w:t>
      </w:r>
    </w:p>
    <w:p>
      <w:pPr>
        <w:spacing w:after="0" w:line="148"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i w:val="1"/>
          <w:iCs w:val="1"/>
          <w:color w:val="auto"/>
        </w:rPr>
        <w:t>Short-Term Capital Allocation</w:t>
      </w:r>
      <w:r>
        <w:rPr>
          <w:rFonts w:ascii="Times New Roman" w:cs="Times New Roman" w:eastAsia="Times New Roman" w:hAnsi="Times New Roman"/>
          <w:sz w:val="18"/>
          <w:szCs w:val="18"/>
          <w:color w:val="auto"/>
        </w:rPr>
        <w:t>. Prior to the COVID-19 pandemic, our short-term capital allocation strategy focused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returning capital to stockholders through the payment of dividends, in addition to investing in our assets and operations. However, in March 2020, we suspended our regular quarterly dividend payments. Our board of directors will consider a future dividend as permitted by our credit agreement. Any future dividend is subject to our board of directors’ determinations as to the amount and timing thereof.</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ongoing operations are organized into three principal business segments:</w:t>
      </w:r>
    </w:p>
    <w:p>
      <w:pPr>
        <w:spacing w:after="0" w:line="185"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consisting of our Gaylord Hotels properties, the Inn at Opryland and the AC Hotel.</w:t>
      </w:r>
    </w:p>
    <w:p>
      <w:pPr>
        <w:spacing w:after="0" w:line="198"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consisting of the Grand Ole Opry, the Ryman Auditorium, WSM-AM, Ole Red, Block 21, our equity investment in Circle, and our other Nashville-based attractions.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consisting of our corporate expenses.</w:t>
      </w:r>
    </w:p>
    <w:p>
      <w:pPr>
        <w:spacing w:after="0" w:line="185"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For the three months and six months ended June 30, 2022 and 2021, our total revenues were divided among these business segments as follows:</w:t>
      </w:r>
    </w:p>
    <w:p>
      <w:pPr>
        <w:spacing w:after="0" w:line="1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3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92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80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38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21 %</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0 %</w:t>
            </w: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18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performance indicators are commonly used in the hospitality industry and are used by management to evaluate hotel performance and allocate capital expenditures:</w:t>
      </w:r>
    </w:p>
    <w:p>
      <w:pPr>
        <w:spacing w:after="0" w:line="135"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 a volume indicator calculated by dividing total rooms sold by total rooms available;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 a price indicator calculated by dividing room revenue by the number of rooms sold;</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 a summary measure of hotel results calculated by dividing room revenue by room nights available to guests for the period;</w:t>
      </w:r>
    </w:p>
    <w:p>
      <w:pPr>
        <w:spacing w:after="0" w:line="134"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group room nights booked – a volume indicator which represents the total number of definite group bookings for future room nights at our hotels confirmed during the applicable period, net of cancellations.</w:t>
      </w:r>
    </w:p>
    <w:p>
      <w:pPr>
        <w:spacing w:after="0" w:line="121"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For the three months and six months ended June 30, 2022 and 2021, the method of calculation of these indicators has not been changed as a result of the COVID-19 pandemic and the Gaylord National closure and is consistent with historical periods. As such, performance metrics include closed hotel room nights available.</w:t>
      </w:r>
    </w:p>
    <w:p>
      <w:pPr>
        <w:spacing w:after="0" w:line="149" w:lineRule="exact"/>
        <w:rPr>
          <w:sz w:val="20"/>
          <w:szCs w:val="20"/>
          <w:color w:val="auto"/>
        </w:rPr>
      </w:pPr>
    </w:p>
    <w:p>
      <w:pPr>
        <w:ind w:left="60" w:right="199"/>
        <w:spacing w:after="0" w:line="312" w:lineRule="auto"/>
        <w:rPr>
          <w:sz w:val="20"/>
          <w:szCs w:val="20"/>
          <w:color w:val="auto"/>
        </w:rPr>
      </w:pPr>
      <w:r>
        <w:rPr>
          <w:rFonts w:ascii="Times New Roman" w:cs="Times New Roman" w:eastAsia="Times New Roman" w:hAnsi="Times New Roman"/>
          <w:sz w:val="17"/>
          <w:szCs w:val="17"/>
          <w:color w:val="auto"/>
        </w:rPr>
        <w:t>We also use certain “non-GAAP financial measures,” which are measures of our historical performance that are not calculated and presented in accordance with GAAP, within the meaning of applicable SEC rules. These measures include:</w:t>
      </w:r>
    </w:p>
    <w:p>
      <w:pPr>
        <w:spacing w:after="0" w:line="97" w:lineRule="exact"/>
        <w:rPr>
          <w:sz w:val="20"/>
          <w:szCs w:val="20"/>
          <w:color w:val="auto"/>
        </w:rPr>
      </w:pPr>
    </w:p>
    <w:p>
      <w:pPr>
        <w:jc w:val="both"/>
        <w:ind w:left="720" w:right="159" w:hanging="319"/>
        <w:spacing w:after="0" w:line="267"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Expense,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and</w:t>
      </w:r>
    </w:p>
    <w:p>
      <w:pPr>
        <w:spacing w:after="0" w:line="134"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available to common shareholders and unit holders and Adjusted FFO available to common shareholders and unitholders.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“Non-GAAP Financial Measures” below for further discussion.</w:t>
      </w:r>
    </w:p>
    <w:p>
      <w:pPr>
        <w:spacing w:after="0" w:line="185" w:lineRule="exact"/>
        <w:rPr>
          <w:sz w:val="20"/>
          <w:szCs w:val="20"/>
          <w:color w:val="auto"/>
        </w:rPr>
      </w:pPr>
    </w:p>
    <w:p>
      <w:pPr>
        <w:jc w:val="both"/>
        <w:ind w:left="60" w:right="419"/>
        <w:spacing w:after="0" w:line="289" w:lineRule="auto"/>
        <w:rPr>
          <w:sz w:val="20"/>
          <w:szCs w:val="20"/>
          <w:color w:val="auto"/>
        </w:rPr>
      </w:pPr>
      <w:r>
        <w:rPr>
          <w:rFonts w:ascii="Times New Roman" w:cs="Times New Roman" w:eastAsia="Times New Roman" w:hAnsi="Times New Roman"/>
          <w:sz w:val="17"/>
          <w:szCs w:val="17"/>
          <w:color w:val="auto"/>
        </w:rPr>
        <w:t>The closure and pandemic-constrained business levels of our Gaylord Hotels properties have resulted in the significant decrease in performance reflected in these key performance indicators and non-GAAP financial measures for the three months and six months ended June 30, 2021, as compared to the current period and historical periods prior to 2020.</w:t>
      </w:r>
    </w:p>
    <w:p>
      <w:pPr>
        <w:spacing w:after="0" w:line="11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(and applicable room rates) have often been contracted for several years in advance, the level of attrition our hotels experience, and the level of transient business at our hotels during such period. Increases in costs, including labor costs, costs of food and other supplies, and energy costs can negatively affect our results, particularly during an inflationary economic environment. We rely on Marriott, as the manager of our hotels, to manage these factors and to offset any identified shortfalls in occupancy.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Information</w:t>
      </w:r>
    </w:p>
    <w:p>
      <w:pPr>
        <w:spacing w:after="0" w:line="202"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The following table contains our unaudited selected summary financial data for the three months and six months ended June 30, 2022 and 2021. The table also shows the percentage relationships to total revenues and, in the case of segment operating income, its relationship to segment revenues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9"/>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9"/>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gridSpan w:val="2"/>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gridSpan w:val="2"/>
          </w:tcPr>
          <w:p>
            <w:pPr>
              <w:jc w:val="center"/>
              <w:ind w:lef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Rooms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161,506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61,971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3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0"/>
                <w:szCs w:val="20"/>
                <w:color w:val="auto"/>
                <w:vertAlign w:val="subscript"/>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263,099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2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w w:val="99"/>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90,199</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Food and beverage</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188,083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45,619</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300,199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63,794</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hotel revenue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52,213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99,615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51,497</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68,402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35,173</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106,426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49,546</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tcPr>
          <w:p>
            <w:pPr>
              <w:spacing w:after="0"/>
              <w:rPr>
                <w:sz w:val="13"/>
                <w:szCs w:val="13"/>
                <w:color w:val="auto"/>
              </w:rPr>
            </w:pPr>
          </w:p>
        </w:tc>
        <w:tc>
          <w:tcPr>
            <w:tcW w:w="3300" w:type="dxa"/>
            <w:vAlign w:val="bottom"/>
            <w:tcBorders>
              <w:bottom w:val="single" w:sz="8" w:color="CCEEFF"/>
            </w:tcBorders>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470,204</w:t>
            </w:r>
          </w:p>
        </w:tc>
        <w:tc>
          <w:tcPr>
            <w:tcW w:w="16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170,861</w:t>
            </w:r>
          </w:p>
        </w:tc>
        <w:tc>
          <w:tcPr>
            <w:tcW w:w="16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769,339</w:t>
            </w:r>
          </w:p>
        </w:tc>
        <w:tc>
          <w:tcPr>
            <w:tcW w:w="1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255,036</w:t>
            </w:r>
          </w:p>
        </w:tc>
        <w:tc>
          <w:tcPr>
            <w:tcW w:w="1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334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Rooms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71,374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24,516</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Food and beverage</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97,489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168,818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53,077</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hotel expenses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99,284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61,365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185,927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115,922</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Hotel management fees, net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77,401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44,330</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Corporate</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16,506</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Preopening costs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Gain (loss) on sale of assets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88"/>
              <w:spacing w:after="0" w:line="176"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2"/>
                <w:szCs w:val="12"/>
                <w:color w:val="auto"/>
              </w:rPr>
              <w:t xml:space="preserve"> %</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4"/>
            <w:shd w:val="clear" w:color="auto" w:fill="CCEEFF"/>
          </w:tcPr>
          <w:p>
            <w:pPr>
              <w:jc w:val="right"/>
              <w:ind w:right="88"/>
              <w:spacing w:after="0" w:line="176"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2"/>
                <w:szCs w:val="12"/>
                <w:color w:val="auto"/>
              </w:rPr>
              <w:t xml:space="preserve">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4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3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Hospitality</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52,016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50,487</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104,287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99,635</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Entertainment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7,222</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and Other</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0" w:type="dxa"/>
            <w:vAlign w:val="bottom"/>
            <w:tcBorders>
              <w:bottom w:val="single" w:sz="8" w:color="CCEEFF"/>
            </w:tcBorders>
          </w:tcPr>
          <w:p>
            <w:pPr>
              <w:spacing w:after="0"/>
              <w:rPr>
                <w:sz w:val="13"/>
                <w:szCs w:val="13"/>
                <w:color w:val="auto"/>
              </w:rPr>
            </w:pPr>
          </w:p>
        </w:tc>
        <w:tc>
          <w:tcPr>
            <w:tcW w:w="3300" w:type="dxa"/>
            <w:vAlign w:val="bottom"/>
            <w:tcBorders>
              <w:bottom w:val="single" w:sz="8" w:color="CCEEFF"/>
            </w:tcBorders>
            <w:gridSpan w:val="2"/>
          </w:tcPr>
          <w:p>
            <w:pPr>
              <w:ind w:left="300"/>
              <w:spacing w:after="0" w:line="155" w:lineRule="exact"/>
              <w:rPr>
                <w:sz w:val="20"/>
                <w:szCs w:val="20"/>
                <w:color w:val="auto"/>
              </w:rPr>
            </w:pPr>
            <w:r>
              <w:rPr>
                <w:rFonts w:ascii="Times New Roman" w:cs="Times New Roman" w:eastAsia="Times New Roman" w:hAnsi="Times New Roman"/>
                <w:sz w:val="14"/>
                <w:szCs w:val="14"/>
                <w:color w:val="auto"/>
              </w:rPr>
              <w:t>Total depreciation and amortization</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56,715</w:t>
            </w:r>
          </w:p>
        </w:tc>
        <w:tc>
          <w:tcPr>
            <w:tcW w:w="54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12.1</w:t>
            </w:r>
          </w:p>
        </w:tc>
        <w:tc>
          <w:tcPr>
            <w:tcW w:w="22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54,673</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32.0</w:t>
            </w:r>
          </w:p>
        </w:tc>
        <w:tc>
          <w:tcPr>
            <w:tcW w:w="22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112,743</w:t>
            </w:r>
          </w:p>
        </w:tc>
        <w:tc>
          <w:tcPr>
            <w:tcW w:w="54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14.7</w:t>
            </w:r>
          </w:p>
        </w:tc>
        <w:tc>
          <w:tcPr>
            <w:tcW w:w="160" w:type="dxa"/>
            <w:vAlign w:val="bottom"/>
            <w:tcBorders>
              <w:bottom w:val="single" w:sz="8" w:color="CCEEFF"/>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107,988</w:t>
            </w:r>
          </w:p>
        </w:tc>
        <w:tc>
          <w:tcPr>
            <w:tcW w:w="14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42.3</w:t>
            </w:r>
          </w:p>
        </w:tc>
        <w:tc>
          <w:tcPr>
            <w:tcW w:w="16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0" w:type="dxa"/>
            <w:vAlign w:val="bottom"/>
            <w:shd w:val="clear" w:color="auto" w:fill="CCEEFF"/>
          </w:tcPr>
          <w:p>
            <w:pPr>
              <w:spacing w:after="0"/>
              <w:rPr>
                <w:sz w:val="13"/>
                <w:szCs w:val="13"/>
                <w:color w:val="auto"/>
              </w:rPr>
            </w:pPr>
          </w:p>
        </w:tc>
        <w:tc>
          <w:tcPr>
            <w:tcW w:w="330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364,236</w:t>
            </w:r>
          </w:p>
        </w:tc>
        <w:tc>
          <w:tcPr>
            <w:tcW w:w="5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77.5</w:t>
            </w:r>
          </w:p>
        </w:tc>
        <w:tc>
          <w:tcPr>
            <w:tcW w:w="22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201,808</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118.1</w:t>
            </w:r>
          </w:p>
        </w:tc>
        <w:tc>
          <w:tcPr>
            <w:tcW w:w="22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655,497</w:t>
            </w:r>
          </w:p>
        </w:tc>
        <w:tc>
          <w:tcPr>
            <w:tcW w:w="5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85.2</w:t>
            </w:r>
          </w:p>
        </w:tc>
        <w:tc>
          <w:tcPr>
            <w:tcW w:w="16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365,540</w:t>
            </w: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143.3</w:t>
            </w:r>
          </w:p>
        </w:tc>
        <w:tc>
          <w:tcPr>
            <w:tcW w:w="16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3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Hospitality</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100,573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(27,100)</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2"/>
                <w:szCs w:val="12"/>
                <w:color w:val="auto"/>
              </w:rPr>
              <w:t>(20.0)</w:t>
            </w:r>
            <w:r>
              <w:rPr>
                <w:rFonts w:ascii="Times New Roman" w:cs="Times New Roman" w:eastAsia="Times New Roman" w:hAnsi="Times New Roman"/>
                <w:sz w:val="20"/>
                <w:szCs w:val="20"/>
                <w:color w:val="auto"/>
                <w:vertAlign w:val="superscript"/>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116,241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(90,562)</w:t>
            </w:r>
          </w:p>
        </w:tc>
        <w:tc>
          <w:tcPr>
            <w:tcW w:w="14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4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 and Other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(12,624)</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(9,543)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(22,386)</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(17,637)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Preopening costs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2"/>
                <w:szCs w:val="12"/>
                <w:color w:val="auto"/>
              </w:rPr>
              <w:t>(0.1)</w:t>
            </w:r>
            <w:r>
              <w:rPr>
                <w:rFonts w:ascii="Times New Roman" w:cs="Times New Roman" w:eastAsia="Times New Roman" w:hAnsi="Times New Roman"/>
                <w:sz w:val="20"/>
                <w:szCs w:val="20"/>
                <w:color w:val="auto"/>
                <w:vertAlign w:val="superscript"/>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4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Gain (loss) on sale of assets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4"/>
            <w:shd w:val="clear" w:color="auto" w:fill="CCEEFF"/>
          </w:tcPr>
          <w:p>
            <w:pPr>
              <w:jc w:val="right"/>
              <w:ind w:right="88"/>
              <w:spacing w:after="0" w:line="176"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2"/>
                <w:szCs w:val="12"/>
                <w:color w:val="auto"/>
              </w:rPr>
              <w:t xml:space="preserve">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4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30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rPr>
              <w:t>Total operating income (loss)</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105,968</w:t>
            </w: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22.5</w:t>
            </w:r>
          </w:p>
        </w:tc>
        <w:tc>
          <w:tcPr>
            <w:tcW w:w="2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(30,947)</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1"/>
                <w:szCs w:val="11"/>
                <w:color w:val="auto"/>
              </w:rPr>
              <w:t>(18.1)</w:t>
            </w:r>
            <w:r>
              <w:rPr>
                <w:rFonts w:ascii="Times New Roman" w:cs="Times New Roman" w:eastAsia="Times New Roman" w:hAnsi="Times New Roman"/>
                <w:sz w:val="18"/>
                <w:szCs w:val="18"/>
                <w:color w:val="auto"/>
                <w:vertAlign w:val="superscript"/>
              </w:rPr>
              <w:t>%</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113,842</w:t>
            </w: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14.8</w:t>
            </w:r>
          </w:p>
        </w:tc>
        <w:tc>
          <w:tcPr>
            <w:tcW w:w="1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(110,504)</w:t>
            </w:r>
          </w:p>
        </w:tc>
        <w:tc>
          <w:tcPr>
            <w:tcW w:w="140" w:type="dxa"/>
            <w:vAlign w:val="bottom"/>
          </w:tcPr>
          <w:p>
            <w:pPr>
              <w:spacing w:after="0"/>
              <w:rPr>
                <w:sz w:val="13"/>
                <w:szCs w:val="13"/>
                <w:color w:val="auto"/>
              </w:rPr>
            </w:pPr>
          </w:p>
        </w:tc>
        <w:tc>
          <w:tcPr>
            <w:tcW w:w="5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49"/>
        </w:trPr>
        <w:tc>
          <w:tcPr>
            <w:tcW w:w="33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(33,958)</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(65,895)</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(60,643)</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1,379</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2,760</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2,821</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(2,949)</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Loss from unconsolidated joint ventures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(3,001)</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(5,628)</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(3,519)</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gains and (losses), net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Borders>
              <w:bottom w:val="single" w:sz="8" w:color="CCEEFF"/>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(17,634)</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(1,623)</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(17,569)</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(5,577)</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50,924</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(63,049)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26,127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(180,170)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30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4"/>
                <w:szCs w:val="14"/>
                <w:color w:val="auto"/>
              </w:rPr>
              <w:t>Net (income) loss attributable to noncontrolling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60" w:type="dxa"/>
            <w:vAlign w:val="bottom"/>
          </w:tcPr>
          <w:p>
            <w:pPr>
              <w:spacing w:after="0"/>
              <w:rPr>
                <w:sz w:val="10"/>
                <w:szCs w:val="10"/>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4,708</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4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16,501</w:t>
            </w:r>
          </w:p>
        </w:tc>
        <w:tc>
          <w:tcPr>
            <w:tcW w:w="14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interest in consolidated joint venture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 w:type="dxa"/>
            <w:vAlign w:val="bottom"/>
            <w:shd w:val="clear" w:color="auto" w:fill="CCEEFF"/>
          </w:tcPr>
          <w:p>
            <w:pPr>
              <w:spacing w:after="0"/>
              <w:rPr>
                <w:sz w:val="10"/>
                <w:szCs w:val="10"/>
                <w:color w:val="auto"/>
              </w:rPr>
            </w:pPr>
          </w:p>
        </w:tc>
        <w:tc>
          <w:tcPr>
            <w:tcW w:w="3300" w:type="dxa"/>
            <w:vAlign w:val="bottom"/>
            <w:gridSpan w:val="2"/>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Net (income) loss attributable to noncontrolling</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6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in the Operating Partnership</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30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Net income (loss) available to common stockholders</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50,284</w:t>
            </w:r>
          </w:p>
        </w:tc>
        <w:tc>
          <w:tcPr>
            <w:tcW w:w="160" w:type="dxa"/>
            <w:vAlign w:val="bottom"/>
          </w:tcPr>
          <w:p>
            <w:pPr>
              <w:spacing w:after="0"/>
              <w:rPr>
                <w:sz w:val="12"/>
                <w:szCs w:val="12"/>
                <w:color w:val="auto"/>
              </w:rPr>
            </w:pPr>
          </w:p>
        </w:tc>
        <w:tc>
          <w:tcPr>
            <w:tcW w:w="3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(57,919)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25,663</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(162,440)</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left="4420" w:right="739" w:hanging="4370"/>
        <w:spacing w:after="0" w:line="783"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have not been shown as a percentage of revenue because they have no relationship to revenue.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Results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87"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results for the three months and six months ended June 30, 2022 and 2021 (in thousands, except percentages and per share data):</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4"/>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280" w:type="dxa"/>
            <w:vAlign w:val="bottom"/>
            <w:vMerge w:val="restart"/>
          </w:tcPr>
          <w:p>
            <w:pPr>
              <w:spacing w:after="0"/>
              <w:rPr>
                <w:sz w:val="10"/>
                <w:szCs w:val="10"/>
                <w:color w:val="auto"/>
              </w:rPr>
            </w:pPr>
          </w:p>
        </w:tc>
        <w:tc>
          <w:tcPr>
            <w:tcW w:w="7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vMerge w:val="restart"/>
          </w:tcPr>
          <w:p>
            <w:pPr>
              <w:spacing w:after="0"/>
              <w:rPr>
                <w:sz w:val="10"/>
                <w:szCs w:val="10"/>
                <w:color w:val="auto"/>
              </w:rPr>
            </w:pPr>
          </w:p>
        </w:tc>
        <w:tc>
          <w:tcPr>
            <w:tcW w:w="8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0"/>
                <w:szCs w:val="10"/>
                <w:color w:val="auto"/>
              </w:rPr>
            </w:pPr>
          </w:p>
        </w:tc>
        <w:tc>
          <w:tcPr>
            <w:tcW w:w="50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7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vMerge w:val="restart"/>
          </w:tcPr>
          <w:p>
            <w:pPr>
              <w:spacing w:after="0"/>
              <w:rPr>
                <w:sz w:val="10"/>
                <w:szCs w:val="10"/>
                <w:color w:val="auto"/>
              </w:rPr>
            </w:pPr>
          </w:p>
        </w:tc>
        <w:tc>
          <w:tcPr>
            <w:tcW w:w="8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0"/>
                <w:szCs w:val="10"/>
                <w:color w:val="auto"/>
              </w:rPr>
            </w:pPr>
          </w:p>
        </w:tc>
        <w:tc>
          <w:tcPr>
            <w:tcW w:w="520" w:type="dxa"/>
            <w:vAlign w:val="bottom"/>
          </w:tcPr>
          <w:p>
            <w:pPr>
              <w:jc w:val="right"/>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$ 470,204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$ 170,861</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175.2 %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$ 769,339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255,036</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201.7 %</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364,236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201,808</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80.5 %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655,497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365,540</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79.3 %</w:t>
            </w:r>
          </w:p>
        </w:tc>
        <w:tc>
          <w:tcPr>
            <w:tcW w:w="0" w:type="dxa"/>
            <w:vAlign w:val="bottom"/>
          </w:tcPr>
          <w:p>
            <w:pPr>
              <w:spacing w:after="0"/>
              <w:rPr>
                <w:sz w:val="1"/>
                <w:szCs w:val="1"/>
                <w:color w:val="auto"/>
              </w:rPr>
            </w:pPr>
          </w:p>
        </w:tc>
      </w:tr>
      <w:tr>
        <w:trPr>
          <w:trHeight w:val="43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(30,947)</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442.4 %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(110,504)</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203.0 %</w:t>
            </w:r>
          </w:p>
        </w:tc>
        <w:tc>
          <w:tcPr>
            <w:tcW w:w="0" w:type="dxa"/>
            <w:vAlign w:val="bottom"/>
          </w:tcPr>
          <w:p>
            <w:pPr>
              <w:spacing w:after="0"/>
              <w:rPr>
                <w:sz w:val="1"/>
                <w:szCs w:val="1"/>
                <w:color w:val="auto"/>
              </w:rPr>
            </w:pP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(63,049)</w:t>
            </w: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180.8 %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(180,170)</w:t>
            </w:r>
          </w:p>
        </w:tc>
        <w:tc>
          <w:tcPr>
            <w:tcW w:w="1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114.5 %</w:t>
            </w:r>
          </w:p>
        </w:tc>
        <w:tc>
          <w:tcPr>
            <w:tcW w:w="0" w:type="dxa"/>
            <w:vAlign w:val="bottom"/>
          </w:tcPr>
          <w:p>
            <w:pPr>
              <w:spacing w:after="0"/>
              <w:rPr>
                <w:sz w:val="1"/>
                <w:szCs w:val="1"/>
                <w:color w:val="auto"/>
              </w:rPr>
            </w:pPr>
          </w:p>
        </w:tc>
      </w:tr>
      <w:tr>
        <w:trPr>
          <w:trHeight w:val="198"/>
        </w:trPr>
        <w:tc>
          <w:tcPr>
            <w:tcW w:w="3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available to common</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(57,919)</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186.8 %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(162,440)</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115.8 %</w:t>
            </w:r>
          </w:p>
        </w:tc>
        <w:tc>
          <w:tcPr>
            <w:tcW w:w="0" w:type="dxa"/>
            <w:vAlign w:val="bottom"/>
          </w:tcPr>
          <w:p>
            <w:pPr>
              <w:spacing w:after="0"/>
              <w:rPr>
                <w:sz w:val="1"/>
                <w:szCs w:val="1"/>
                <w:color w:val="auto"/>
              </w:rPr>
            </w:pP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available to common</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per share - diluted</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186.7 %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115.6 %</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00"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increase in our total revenues for the three months ended June 30, 2022, as compared to the same period in 2021, is attributable to increases in our Hospitality segment and Entertainment segment of $266.1 million and $33.2 million, respectively. The increase in our total revenues for the six months ended June 30, 2022, as compared to the same period in 2021, is attributable to increases in our Hospitality segment and Entertainment segment of $457.4 million and $56.9 million, respectively.</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Operating Expenses</w:t>
      </w:r>
    </w:p>
    <w:p>
      <w:pPr>
        <w:spacing w:after="0" w:line="187"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The increase in our total operating expenses for the three months ended June 30, 2022, as compared to the same period in 2021, is primarily the result of increases in our Hospitality segment and Entertainment segment of $136.9 million and $20.0 million, respectively. The increase in our total operating expenses for the six months ended June 30, 2022, as compared to the same period in 2021, is primarily the result of increases in our Hospitality segment and Entertainment segment of $246.0 million and $33.1 million, respectively.</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187"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Our net income of $50.9 million for the three months ended June 30, 2022, as compared to a net loss of $63.0 million for the same period in 2021, was primarily due to the changes in our revenues and operating expenses reflected above, and the following factors, each as described more fully below:</w:t>
      </w:r>
    </w:p>
    <w:p>
      <w:pPr>
        <w:spacing w:after="0" w:line="135"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$16.0 million increase in provision for income taxes in the 2022 period.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$4.1 million increase in interest expense in the 2022 period.</w:t>
      </w:r>
    </w:p>
    <w:p>
      <w:pPr>
        <w:spacing w:after="0" w:line="185"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Our net income of $26.1 million for the six months ended June 30, 2022, as compared to a net loss of $180.2 million for the same period in 2021, was primarily due to the changes in our revenues and operating expenses reflected above, and the following factors, each as described more fully below:</w:t>
      </w:r>
    </w:p>
    <w:p>
      <w:pPr>
        <w:spacing w:after="0" w:line="135"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$12.0 million increase in provision for income taxes in the 2022 period.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$5.3 million increase in interest expense in the 2022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Detailed Segment Financial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Hospitality Segment</w:t>
      </w:r>
    </w:p>
    <w:p>
      <w:pPr>
        <w:spacing w:after="0" w:line="187" w:lineRule="exact"/>
        <w:rPr>
          <w:sz w:val="20"/>
          <w:szCs w:val="20"/>
          <w:color w:val="auto"/>
        </w:rPr>
      </w:pPr>
    </w:p>
    <w:p>
      <w:pPr>
        <w:ind w:left="60" w:right="1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Hospitality segment for the three months and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2022 and 2021 (in thousands, except percentages and performance metrics):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10"/>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0"/>
                <w:szCs w:val="10"/>
                <w:color w:val="auto"/>
              </w:rPr>
            </w:pPr>
          </w:p>
        </w:tc>
        <w:tc>
          <w:tcPr>
            <w:tcW w:w="48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5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161,506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61,971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160.6</w:t>
            </w:r>
          </w:p>
        </w:tc>
        <w:tc>
          <w:tcPr>
            <w:tcW w:w="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263,099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90,199</w:t>
            </w:r>
          </w:p>
        </w:tc>
        <w:tc>
          <w:tcPr>
            <w:tcW w:w="1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191.7</w:t>
            </w: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188,083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45,619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312.3</w:t>
            </w: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300,199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63,794</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370.6</w:t>
            </w: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52,213</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28,098</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85.8</w:t>
            </w:r>
          </w:p>
        </w:tc>
        <w:tc>
          <w:tcPr>
            <w:tcW w:w="26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99,615</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51,497</w:t>
            </w:r>
          </w:p>
        </w:tc>
        <w:tc>
          <w:tcPr>
            <w:tcW w:w="1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93.4</w:t>
            </w:r>
          </w:p>
        </w:tc>
        <w:tc>
          <w:tcPr>
            <w:tcW w:w="34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revenue</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401,802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135,688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196.1</w:t>
            </w:r>
          </w:p>
        </w:tc>
        <w:tc>
          <w:tcPr>
            <w:tcW w:w="2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662,913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205,490</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222.6</w:t>
            </w:r>
          </w:p>
        </w:tc>
        <w:tc>
          <w:tcPr>
            <w:tcW w:w="3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Hospitality operating expenses: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41,238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15,039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174.2</w:t>
            </w: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71,374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24,516</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191.1</w:t>
            </w: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97,489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33,748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188.9</w:t>
            </w:r>
          </w:p>
        </w:tc>
        <w:tc>
          <w:tcPr>
            <w:tcW w:w="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168,818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53,077</w:t>
            </w:r>
          </w:p>
        </w:tc>
        <w:tc>
          <w:tcPr>
            <w:tcW w:w="1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218.1</w:t>
            </w: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99,284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61,365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61.8</w:t>
            </w: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185,927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115,922</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Management fees, net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421.3</w:t>
            </w:r>
          </w:p>
        </w:tc>
        <w:tc>
          <w:tcPr>
            <w:tcW w:w="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16,266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2,902</w:t>
            </w:r>
          </w:p>
        </w:tc>
        <w:tc>
          <w:tcPr>
            <w:tcW w:w="1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460.5</w:t>
            </w: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5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52,016</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50,487</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104,287</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99,635</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operating expenses</w:t>
            </w: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301,229</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162,788</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85.0</w:t>
            </w:r>
          </w:p>
        </w:tc>
        <w:tc>
          <w:tcPr>
            <w:tcW w:w="26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546,672</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296,052</w:t>
            </w:r>
          </w:p>
        </w:tc>
        <w:tc>
          <w:tcPr>
            <w:tcW w:w="1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84.7</w:t>
            </w:r>
          </w:p>
        </w:tc>
        <w:tc>
          <w:tcPr>
            <w:tcW w:w="3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Hospitality operating income (loss) (1)</w:t>
            </w: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100,573</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(27,100)</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471.1</w:t>
            </w:r>
          </w:p>
        </w:tc>
        <w:tc>
          <w:tcPr>
            <w:tcW w:w="26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116,241</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(90,562)</w:t>
            </w:r>
          </w:p>
        </w:tc>
        <w:tc>
          <w:tcPr>
            <w:tcW w:w="1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228.4</w:t>
            </w:r>
          </w:p>
        </w:tc>
        <w:tc>
          <w:tcPr>
            <w:tcW w:w="34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Hospitality performance metrics (2):</w:t>
            </w: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2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72.7</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1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234.50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202.12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232.41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197.97</w:t>
            </w:r>
          </w:p>
        </w:tc>
        <w:tc>
          <w:tcPr>
            <w:tcW w:w="1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(3)</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170.46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156.3</w:t>
            </w: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48.98</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185.0</w:t>
            </w: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(4)</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424.07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145.63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191.2</w:t>
            </w:r>
          </w:p>
        </w:tc>
        <w:tc>
          <w:tcPr>
            <w:tcW w:w="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351.76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111.58</w:t>
            </w:r>
          </w:p>
        </w:tc>
        <w:tc>
          <w:tcPr>
            <w:tcW w:w="1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215.3</w:t>
            </w: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 (5)</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413,042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371,540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578,710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337,831</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71.3</w:t>
            </w: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439" w:hanging="330"/>
        <w:spacing w:after="0" w:line="261"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operating loss does not include preopening costs of $0.2 million and $0.6 million in the three months and six months ended June 30, 2021, respectively. Hospitality segment operating loss also does not include gain on sale of assets of $0.3 million in the six months ended June 30, 2021. See discussion of these items below.</w:t>
      </w:r>
    </w:p>
    <w:p>
      <w:pPr>
        <w:spacing w:after="0" w:line="152" w:lineRule="exact"/>
        <w:rPr>
          <w:rFonts w:ascii="Times New Roman" w:cs="Times New Roman" w:eastAsia="Times New Roman" w:hAnsi="Times New Roman"/>
          <w:sz w:val="18"/>
          <w:szCs w:val="18"/>
          <w:color w:val="auto"/>
        </w:rPr>
      </w:pPr>
    </w:p>
    <w:p>
      <w:pPr>
        <w:ind w:left="380" w:right="339" w:hanging="330"/>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metrics include the addition of 302 additional guest rooms at Gaylord Palms beginning in June 2021.</w:t>
      </w:r>
    </w:p>
    <w:p>
      <w:pPr>
        <w:spacing w:after="0" w:line="121" w:lineRule="exact"/>
        <w:rPr>
          <w:rFonts w:ascii="Times New Roman" w:cs="Times New Roman" w:eastAsia="Times New Roman" w:hAnsi="Times New Roman"/>
          <w:sz w:val="18"/>
          <w:szCs w:val="18"/>
          <w:color w:val="auto"/>
        </w:rPr>
      </w:pPr>
    </w:p>
    <w:p>
      <w:pPr>
        <w:ind w:left="380" w:right="99" w:hanging="330"/>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RevPAR by dividing room revenue by room nights available to guests for the period. Room nights available to guests include nights the hotels are closed. Hospitality RevPAR is not comparable to similarly titled measures such as revenues.</w:t>
      </w:r>
    </w:p>
    <w:p>
      <w:pPr>
        <w:spacing w:after="0" w:line="135" w:lineRule="exact"/>
        <w:rPr>
          <w:rFonts w:ascii="Times New Roman" w:cs="Times New Roman" w:eastAsia="Times New Roman" w:hAnsi="Times New Roman"/>
          <w:sz w:val="18"/>
          <w:szCs w:val="18"/>
          <w:color w:val="auto"/>
        </w:rPr>
      </w:pPr>
    </w:p>
    <w:p>
      <w:pPr>
        <w:ind w:left="380" w:right="159" w:hanging="330"/>
        <w:spacing w:after="0" w:line="261"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Total RevPAR by dividing the sum of room, food and beverage, and other ancillary services revenue (which equals Hospitality segment revenue) by room nights available to guests for the period. Room nights available to guests include nights the hotels are closed. Hospitality Total RevPAR is not comparable to similarly titled measures such as revenues.</w:t>
      </w:r>
    </w:p>
    <w:p>
      <w:pPr>
        <w:spacing w:after="0" w:line="152" w:lineRule="exact"/>
        <w:rPr>
          <w:rFonts w:ascii="Times New Roman" w:cs="Times New Roman" w:eastAsia="Times New Roman" w:hAnsi="Times New Roman"/>
          <w:sz w:val="18"/>
          <w:szCs w:val="18"/>
          <w:color w:val="auto"/>
        </w:rPr>
      </w:pPr>
    </w:p>
    <w:p>
      <w:pPr>
        <w:jc w:val="both"/>
        <w:ind w:left="380" w:right="299" w:hanging="330"/>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group room nights booked includes approximately 72,000 and 169,000 group room cancellations in the three months ended June 30, 2022 and 2021, respectively, and 250,000 and 490,000 group room cancellations in the six months ended June 30, 2022 and 2021, respectively.</w:t>
      </w:r>
    </w:p>
    <w:p>
      <w:pPr>
        <w:spacing w:after="0" w:line="135" w:lineRule="exact"/>
        <w:rPr>
          <w:sz w:val="20"/>
          <w:szCs w:val="20"/>
          <w:color w:val="auto"/>
        </w:rPr>
      </w:pPr>
    </w:p>
    <w:p>
      <w:pPr>
        <w:ind w:left="60" w:right="439"/>
        <w:spacing w:after="0" w:line="261" w:lineRule="auto"/>
        <w:rPr>
          <w:sz w:val="20"/>
          <w:szCs w:val="20"/>
          <w:color w:val="auto"/>
        </w:rPr>
      </w:pPr>
      <w:r>
        <w:rPr>
          <w:rFonts w:ascii="Times New Roman" w:cs="Times New Roman" w:eastAsia="Times New Roman" w:hAnsi="Times New Roman"/>
          <w:sz w:val="18"/>
          <w:szCs w:val="18"/>
          <w:color w:val="auto"/>
        </w:rPr>
        <w:t>Total Hospitality segment revenues in the three months and six months ended June 30, 2022 include $15.4 million and $35.0 million, respectively, in attrition and cancellation fee revenue, an increase of $7.8 million and $17.3 million, respectively, from the 2021 period. Since the beginning of 2020, we have recorded $116.3 million in attrition and cancellation fee revenue.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percentage of group versus transient business based on rooms sold for our Hospitality segment for the periods presented was approximately as follows:</w:t>
      </w:r>
    </w:p>
    <w:p>
      <w:pPr>
        <w:spacing w:after="0" w:line="1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780" w:type="dxa"/>
            <w:vAlign w:val="bottom"/>
            <w:gridSpan w:val="5"/>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940" w:type="dxa"/>
            <w:vAlign w:val="bottom"/>
            <w:gridSpan w:val="3"/>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4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Transient</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20"/>
                <w:szCs w:val="20"/>
                <w:color w:val="auto"/>
              </w:rPr>
            </w:pP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63 %</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29 %</w:t>
            </w: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69 %</w:t>
            </w:r>
          </w:p>
        </w:tc>
      </w:tr>
    </w:tbl>
    <w:p>
      <w:pPr>
        <w:spacing w:after="0" w:line="179"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Other hotel expenses for the three months and six months ended June 30, 2022 and 2021 consist of the following (in thousands):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540" w:type="dxa"/>
            <w:vAlign w:val="bottom"/>
            <w:gridSpan w:val="6"/>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60" w:type="dxa"/>
            <w:vAlign w:val="bottom"/>
            <w:gridSpan w:val="5"/>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132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0"/>
                <w:szCs w:val="10"/>
                <w:color w:val="auto"/>
              </w:rPr>
            </w:pPr>
          </w:p>
        </w:tc>
        <w:tc>
          <w:tcPr>
            <w:tcW w:w="480" w:type="dxa"/>
            <w:vAlign w:val="bottom"/>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2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employment costs</w:t>
            </w:r>
          </w:p>
        </w:tc>
        <w:tc>
          <w:tcPr>
            <w:tcW w:w="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$ 37,604</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$ 18,757</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100.5</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36,379</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0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48.1 %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12,151</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41.9 %</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10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42,441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28,286</w:t>
            </w:r>
          </w:p>
        </w:tc>
        <w:tc>
          <w:tcPr>
            <w:tcW w:w="10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50,213</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57.0 %</w:t>
            </w: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hotel expenses</w:t>
            </w: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$ 99,284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$ 61,365</w:t>
            </w:r>
          </w:p>
        </w:tc>
        <w:tc>
          <w:tcPr>
            <w:tcW w:w="1020" w:type="dxa"/>
            <w:vAlign w:val="bottom"/>
            <w:tcBorders>
              <w:top w:val="single" w:sz="8" w:color="CCEEFF"/>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61.8 %</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60.4 %</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the three months and six months ended June 30, 2022, as compared to the same periods in 2021, primarily due to an increase at Gaylord National, which reopened on July 1, 2021, as well as increases at each of our other Gaylord Hotels properties associated with increased business levels. Utility costs increased during the</w:t>
      </w:r>
    </w:p>
    <w:p>
      <w:pPr>
        <w:spacing w:after="0" w:line="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three months and six months ended June 30, 2022, as compared to the same periods in 2021, primarily due to an increase at Gaylord National, which reopened on July 1, 2021, as well as slight increases at our other Gaylord Hotels properties associated with increased usage. Property taxes increased during the three months and six months ended June 30, 2022, as compared to the 2021 periods, primarily due to an increase at Gaylord Palms as a result of increased property taxes related to the 2021 expansion. Other expenses, which include supplies, advertising, maintenance costs and consulting costs, increased during the three months and six months ended June 30, 2022, as compared to the same periods in 2021, primarily as a result of various increases at each of our Gaylord Hotels properties.</w:t>
      </w:r>
    </w:p>
    <w:p>
      <w:pPr>
        <w:spacing w:after="0" w:line="14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Each of our management agreements with Marriott for our Gaylord Hotels properties, excluding Gaylord Rockies, requires us to pay Marriott a base management fee of approximately 2% of gross revenues from the applicable property for each fiscal year or portion thereof. Additionally, an incentive management fee is based on the profitability of our Gaylord Hotels properties, excluding Gaylord Rockies, calculated on a pooled basis. The Gaylord Rockies’s management agreement with Marriott requires Gaylord Rockies to pay a base management fee of 3% of gross revenues for each fiscal year or portion thereof, as well as an incentive management fee based on the profitability of the hotel. In the three months ended June 30, 2022 and 2021, we incurred $9.0 million and $2.9 million, respectively, and in the six months ended June 30, 2022 and 2021, we incurred $14.6 million and $4.5 million, respectively, related to base management fees for our Hospitality segment. In the three months ended June 30, 2022 and 2021, we incurred $3.0 million and $0, respectively, and in the six months ended June 30, 2022 and 2021, we incurred $3.2 million and $0, respectively, related to incentive management fees for our Hospitality segment. Management fees are presented throughout this Quarterly Report on Form 10-Q net of the amortization of the deferred management rights proceeds discussed in Note 10, “Deferred Management Rights Proceeds,” to the accompanying condensed consolidated financial statements included herein.</w:t>
      </w:r>
    </w:p>
    <w:p>
      <w:pPr>
        <w:spacing w:after="0" w:line="160"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Total Hospitality segment depreciation and amortization expense increased in the three months and six months ended June 30, 2022, as compared to the same period in 2021, primarily as a result of the expansion of Gaylord Palms and the rooms renovation at Gaylord National and the associated increase in depreciable asset levels.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Property-Level Results. </w:t>
      </w:r>
      <w:r>
        <w:rPr>
          <w:rFonts w:ascii="Times New Roman" w:cs="Times New Roman" w:eastAsia="Times New Roman" w:hAnsi="Times New Roman"/>
          <w:sz w:val="18"/>
          <w:szCs w:val="18"/>
          <w:color w:val="auto"/>
        </w:rPr>
        <w:t>The following presents the property-level financial results of our Hospitality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and six months ended June 30, 2022 and 2021. The Gaylord Hotels properties experienced higher levels of attrition and cancellations and lower occupancy levels, which are directly related to the COVID-19 pandemic, in the three months and six months ended June 30, 2021. Therefore, the property-level financial results for the three months and six months ended June 30, 2021 are not comparable to historical periods or the 2022 periods. Total revenue at each of our Gaylord Hotels properties was lower than that of historical periods for the three months and six months ended June 30, 2021 due to the COVID-19 pandemic. Operating costs at each of our Gaylord Hotels properties were lower for the three months and six months ended June 30, 2021 as a result of cost containment initiatives and lower variable costs due to lower occupancies due to the COVID-19 pandemic.</w:t>
      </w:r>
    </w:p>
    <w:p>
      <w:pPr>
        <w:spacing w:after="0" w:line="188" w:lineRule="exact"/>
        <w:rPr>
          <w:sz w:val="20"/>
          <w:szCs w:val="20"/>
          <w:color w:val="auto"/>
        </w:rPr>
      </w:pPr>
    </w:p>
    <w:p>
      <w:pPr>
        <w:ind w:left="60" w:right="1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Opryland Results. </w:t>
      </w:r>
      <w:r>
        <w:rPr>
          <w:rFonts w:ascii="Times New Roman" w:cs="Times New Roman" w:eastAsia="Times New Roman" w:hAnsi="Times New Roman"/>
          <w:sz w:val="18"/>
          <w:szCs w:val="18"/>
          <w:color w:val="auto"/>
        </w:rPr>
        <w:t>The results of Gaylord Opryland for the three months and six months ended June 30,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are as 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8"/>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68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0"/>
                <w:szCs w:val="10"/>
                <w:color w:val="auto"/>
              </w:rPr>
            </w:pPr>
          </w:p>
        </w:tc>
        <w:tc>
          <w:tcPr>
            <w:tcW w:w="46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0"/>
                <w:szCs w:val="10"/>
                <w:color w:val="auto"/>
              </w:rPr>
            </w:pPr>
          </w:p>
        </w:tc>
        <w:tc>
          <w:tcPr>
            <w:tcW w:w="48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46,125</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22,832</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102.0 %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76,531</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32,806</w:t>
            </w:r>
          </w:p>
        </w:tc>
        <w:tc>
          <w:tcPr>
            <w:tcW w:w="2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133.3 %</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12,519</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239.2 %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69,508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17,906</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288.2 %</w:t>
            </w:r>
          </w:p>
        </w:tc>
        <w:tc>
          <w:tcPr>
            <w:tcW w:w="0" w:type="dxa"/>
            <w:vAlign w:val="bottom"/>
          </w:tcPr>
          <w:p>
            <w:pPr>
              <w:spacing w:after="0"/>
              <w:rPr>
                <w:sz w:val="1"/>
                <w:szCs w:val="1"/>
                <w:color w:val="auto"/>
              </w:rPr>
            </w:pPr>
          </w:p>
        </w:tc>
      </w:tr>
      <w:tr>
        <w:trPr>
          <w:trHeight w:val="203"/>
        </w:trPr>
        <w:tc>
          <w:tcPr>
            <w:tcW w:w="36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16,903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9,651</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75.1 %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32,977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16,049</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105.5 %</w:t>
            </w:r>
          </w:p>
        </w:tc>
        <w:tc>
          <w:tcPr>
            <w:tcW w:w="0" w:type="dxa"/>
            <w:vAlign w:val="bottom"/>
          </w:tcPr>
          <w:p>
            <w:pPr>
              <w:spacing w:after="0"/>
              <w:rPr>
                <w:sz w:val="1"/>
                <w:szCs w:val="1"/>
                <w:color w:val="auto"/>
              </w:rPr>
            </w:pPr>
          </w:p>
        </w:tc>
      </w:tr>
      <w:tr>
        <w:trPr>
          <w:trHeight w:val="196"/>
        </w:trPr>
        <w:tc>
          <w:tcPr>
            <w:tcW w:w="3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105,497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45,002</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134.4 %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66,761</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168.1 %</w:t>
            </w:r>
          </w:p>
        </w:tc>
        <w:tc>
          <w:tcPr>
            <w:tcW w:w="0" w:type="dxa"/>
            <w:vAlign w:val="bottom"/>
          </w:tcPr>
          <w:p>
            <w:pPr>
              <w:spacing w:after="0"/>
              <w:rPr>
                <w:sz w:val="1"/>
                <w:szCs w:val="1"/>
                <w:color w:val="auto"/>
              </w:rPr>
            </w:pPr>
          </w:p>
        </w:tc>
      </w:tr>
      <w:tr>
        <w:trPr>
          <w:trHeight w:val="20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129.7 %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8,196</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140.4 %</w:t>
            </w:r>
          </w:p>
        </w:tc>
        <w:tc>
          <w:tcPr>
            <w:tcW w:w="0" w:type="dxa"/>
            <w:vAlign w:val="bottom"/>
          </w:tcPr>
          <w:p>
            <w:pPr>
              <w:spacing w:after="0"/>
              <w:rPr>
                <w:sz w:val="1"/>
                <w:szCs w:val="1"/>
                <w:color w:val="auto"/>
              </w:rPr>
            </w:pPr>
          </w:p>
        </w:tc>
      </w:tr>
      <w:tr>
        <w:trPr>
          <w:trHeight w:val="203"/>
        </w:trPr>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8,776</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146.9 %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14,595</w:t>
            </w:r>
          </w:p>
        </w:tc>
        <w:tc>
          <w:tcPr>
            <w:tcW w:w="2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164.4 %</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18,831</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50.4 %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34,857</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46.8 %</w:t>
            </w:r>
          </w:p>
        </w:tc>
        <w:tc>
          <w:tcPr>
            <w:tcW w:w="0" w:type="dxa"/>
            <w:vAlign w:val="bottom"/>
          </w:tcPr>
          <w:p>
            <w:pPr>
              <w:spacing w:after="0"/>
              <w:rPr>
                <w:sz w:val="1"/>
                <w:szCs w:val="1"/>
                <w:color w:val="auto"/>
              </w:rPr>
            </w:pPr>
          </w:p>
        </w:tc>
      </w:tr>
      <w:tr>
        <w:trPr>
          <w:trHeight w:val="203"/>
        </w:trPr>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455.7 %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2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491.7 %</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8,554</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17,137</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196"/>
        </w:trPr>
        <w:tc>
          <w:tcPr>
            <w:tcW w:w="3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expenses (1)</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41,801</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76.1 %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75,627</w:t>
            </w:r>
          </w:p>
        </w:tc>
        <w:tc>
          <w:tcPr>
            <w:tcW w:w="2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74.0 %</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75.1 %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40.2 %</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34.9 pts</w:t>
            </w: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62.0 %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29.3 %</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32.7 pts</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233.68</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216.09</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236.06</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214.22</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10.2 %</w:t>
            </w:r>
          </w:p>
        </w:tc>
        <w:tc>
          <w:tcPr>
            <w:tcW w:w="0" w:type="dxa"/>
            <w:vAlign w:val="bottom"/>
          </w:tcPr>
          <w:p>
            <w:pPr>
              <w:spacing w:after="0"/>
              <w:rPr>
                <w:sz w:val="1"/>
                <w:szCs w:val="1"/>
                <w:color w:val="auto"/>
              </w:rPr>
            </w:pPr>
          </w:p>
        </w:tc>
      </w:tr>
      <w:tr>
        <w:trPr>
          <w:trHeight w:val="203"/>
        </w:trPr>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175.51</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86.88</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102.0 %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146.41</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62.76</w:t>
            </w:r>
          </w:p>
        </w:tc>
        <w:tc>
          <w:tcPr>
            <w:tcW w:w="2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133.3 %</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401.42</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171.23</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134.4 %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342.46</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127.71</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168.2 %</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279" w:hanging="330"/>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Opryland operating expenses do not include a gain on sale of assets of $0.3 million in the six months ended June 30, 2021.</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6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Gaylord Palms Results. </w:t>
      </w:r>
      <w:r>
        <w:rPr>
          <w:rFonts w:ascii="Times New Roman" w:cs="Times New Roman" w:eastAsia="Times New Roman" w:hAnsi="Times New Roman"/>
          <w:sz w:val="18"/>
          <w:szCs w:val="18"/>
          <w:color w:val="auto"/>
        </w:rPr>
        <w:t>Gaylord Palms results include 302 expansion rooms beginning in June 2021. The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Gaylord Palms for the three months and six months ended June 30, 2022 and 2021 are as follows (in thousands, except percentages and performance metrics):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2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16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0"/>
                <w:szCs w:val="10"/>
                <w:color w:val="auto"/>
              </w:rPr>
            </w:pPr>
          </w:p>
        </w:tc>
        <w:tc>
          <w:tcPr>
            <w:tcW w:w="7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0"/>
                <w:szCs w:val="10"/>
                <w:color w:val="auto"/>
              </w:rPr>
            </w:pPr>
          </w:p>
        </w:tc>
        <w:tc>
          <w:tcPr>
            <w:tcW w:w="50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$ 27,012</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$ 14,643</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84.5 %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49,024</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20,589</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138.1 %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32,046</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13,056</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145.5 %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59,442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16,774</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254.4 %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9,231</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5,003</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84.5 %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10,456</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88.1 %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68,289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32,702</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108.8 %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128,137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47,819</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168.0 %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5,556</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85.1 %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115.9 %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16,823</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8,109</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107.5 %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11,683</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164.2 %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20,317</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13,178</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54.2 %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24,394</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60.4 %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251.3 %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323.8 %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5,566</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9,426</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 (1)</w:t>
            </w:r>
          </w:p>
        </w:tc>
        <w:tc>
          <w:tcPr>
            <w:tcW w:w="154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30,105</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66.3 %</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50,841</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85.0 %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74.6 %</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52.2 %</w:t>
            </w:r>
          </w:p>
        </w:tc>
        <w:tc>
          <w:tcPr>
            <w:tcW w:w="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22.4 pts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65.1 %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38.9 %</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26.2 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$ 231.53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$ 199.63</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16.0 %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241.99</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197.28</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$ 172.78</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$ 104.17</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65.9 %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157.65</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76.82</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105.2 %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$ 436.80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$ 232.64</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87.8 %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412.07</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178.42</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131.0 %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619" w:hanging="330"/>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Palms operating expenses do not include preopening costs of $0.2 million and $0.6 million in the three months and six months ended June 30, 2021. See discussion of this item below.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Texan Results. </w:t>
      </w:r>
      <w:r>
        <w:rPr>
          <w:rFonts w:ascii="Times New Roman" w:cs="Times New Roman" w:eastAsia="Times New Roman" w:hAnsi="Times New Roman"/>
          <w:sz w:val="18"/>
          <w:szCs w:val="18"/>
          <w:color w:val="auto"/>
        </w:rPr>
        <w:t>The results of Gaylord Texan for the three months and six months ended June 30, 2022 and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as follows (in thousands, except percentages and performance metrics):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20" w:type="dxa"/>
            <w:vAlign w:val="bottom"/>
            <w:gridSpan w:val="9"/>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146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0"/>
                <w:szCs w:val="10"/>
                <w:color w:val="auto"/>
              </w:rPr>
            </w:pPr>
          </w:p>
        </w:tc>
        <w:tc>
          <w:tcPr>
            <w:tcW w:w="50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$ 28,350</w:t>
            </w:r>
          </w:p>
        </w:tc>
        <w:tc>
          <w:tcPr>
            <w:tcW w:w="14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14,672</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93.2 %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49,258</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21,690</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127.1 %</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13,013</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199.5 %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18,122</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259.4 %</w:t>
            </w:r>
          </w:p>
        </w:tc>
        <w:tc>
          <w:tcPr>
            <w:tcW w:w="0" w:type="dxa"/>
            <w:vAlign w:val="bottom"/>
          </w:tcPr>
          <w:p>
            <w:pPr>
              <w:spacing w:after="0"/>
              <w:rPr>
                <w:sz w:val="1"/>
                <w:szCs w:val="1"/>
                <w:color w:val="auto"/>
              </w:rPr>
            </w:pPr>
          </w:p>
        </w:tc>
      </w:tr>
      <w:tr>
        <w:trPr>
          <w:trHeight w:val="203"/>
        </w:trPr>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10,336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6,384</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61.9 %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12,615</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57.9 %</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8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77,665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34,069</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128.0 %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134,301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52,427</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156.2 %</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102.4 %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5,143</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120.9 %</w:t>
            </w:r>
          </w:p>
        </w:tc>
        <w:tc>
          <w:tcPr>
            <w:tcW w:w="0" w:type="dxa"/>
            <w:vAlign w:val="bottom"/>
          </w:tcPr>
          <w:p>
            <w:pPr>
              <w:spacing w:after="0"/>
              <w:rPr>
                <w:sz w:val="1"/>
                <w:szCs w:val="1"/>
                <w:color w:val="auto"/>
              </w:rPr>
            </w:pPr>
          </w:p>
        </w:tc>
      </w:tr>
      <w:tr>
        <w:trPr>
          <w:trHeight w:val="203"/>
        </w:trPr>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9,317</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116.5 %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13,877</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156.6 %</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11,618</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50.9 %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21,795</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52.1 %</w:t>
            </w:r>
          </w:p>
        </w:tc>
        <w:tc>
          <w:tcPr>
            <w:tcW w:w="0" w:type="dxa"/>
            <w:vAlign w:val="bottom"/>
          </w:tcPr>
          <w:p>
            <w:pPr>
              <w:spacing w:after="0"/>
              <w:rPr>
                <w:sz w:val="1"/>
                <w:szCs w:val="1"/>
                <w:color w:val="auto"/>
              </w:rPr>
            </w:pPr>
          </w:p>
        </w:tc>
      </w:tr>
      <w:tr>
        <w:trPr>
          <w:trHeight w:val="203"/>
        </w:trPr>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316.2 %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345.8 %</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6,194</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12,423</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196"/>
        </w:trPr>
        <w:tc>
          <w:tcPr>
            <w:tcW w:w="2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4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30,791</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68.7 %</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53,930</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77.4 %</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74.3 %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43.7 %</w:t>
            </w:r>
          </w:p>
        </w:tc>
        <w:tc>
          <w:tcPr>
            <w:tcW w:w="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30.6 pts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66.1 %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33.2 %</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32.9 pts</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$ 231.22</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203.43</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13.7 %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226.94</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198.82</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14.1 %</w:t>
            </w:r>
          </w:p>
        </w:tc>
        <w:tc>
          <w:tcPr>
            <w:tcW w:w="0" w:type="dxa"/>
            <w:vAlign w:val="bottom"/>
          </w:tcPr>
          <w:p>
            <w:pPr>
              <w:spacing w:after="0"/>
              <w:rPr>
                <w:sz w:val="1"/>
                <w:szCs w:val="1"/>
                <w:color w:val="auto"/>
              </w:rPr>
            </w:pPr>
          </w:p>
        </w:tc>
      </w:tr>
      <w:tr>
        <w:trPr>
          <w:trHeight w:val="203"/>
        </w:trPr>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$ 171.74</w:t>
            </w:r>
          </w:p>
        </w:tc>
        <w:tc>
          <w:tcPr>
            <w:tcW w:w="14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88.88</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93.2 %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150.02</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127.1 %</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$ 470.48</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206.39</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128.0 %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409.04</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159.68</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156.2 %</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right="3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Gaylord National Results. </w:t>
      </w:r>
      <w:r>
        <w:rPr>
          <w:rFonts w:ascii="Times New Roman" w:cs="Times New Roman" w:eastAsia="Times New Roman" w:hAnsi="Times New Roman"/>
          <w:sz w:val="18"/>
          <w:szCs w:val="18"/>
          <w:color w:val="auto"/>
        </w:rPr>
        <w:t>Gaylord National was closed from late March 2020 and reopened July 1, 2021. The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Gaylord National for the three months and six months ended June 30, 2022 and 2021 are as follows (in thousands, except percentages and performance metrics):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7"/>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70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0"/>
                <w:szCs w:val="10"/>
                <w:color w:val="auto"/>
              </w:rPr>
            </w:pPr>
          </w:p>
        </w:tc>
        <w:tc>
          <w:tcPr>
            <w:tcW w:w="740" w:type="dxa"/>
            <w:vAlign w:val="bottom"/>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0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$ 29,317</w:t>
            </w:r>
          </w:p>
        </w:tc>
        <w:tc>
          <w:tcPr>
            <w:tcW w:w="16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100.0 %</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43,281</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106,711.8 %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50,869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89,143.9 %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6,590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189.4 %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203.6 %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 (1)</w:t>
            </w:r>
          </w:p>
        </w:tc>
        <w:tc>
          <w:tcPr>
            <w:tcW w:w="10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72,223</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3,025.2 %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104,810</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2,837.5 %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1,113.4 %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1,589.1 %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18,955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1,549.7 %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31,415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1,878.3 %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8,362</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141.7 %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16,814</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112.2 %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891.1 %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606.6 %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23.5 %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14,039</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21.1 %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8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17,362</w:t>
            </w: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242.1 %</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103,261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33,142</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211.6 %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64.2 %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64.2 pts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49.9 %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49.9 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$ 251.45</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100.0 %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240.22</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$ 161.40</w:t>
            </w:r>
          </w:p>
        </w:tc>
        <w:tc>
          <w:tcPr>
            <w:tcW w:w="16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100.0 %</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119.80</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$ 397.62</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3,025.9 %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290.11</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2,839.3 %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79" w:hanging="330"/>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National revenue for the three months and six months ended June 30, 2021 consists primarily of attrition and cancellation fee revenue.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99"/>
        <w:spacing w:after="0" w:line="284" w:lineRule="auto"/>
        <w:rPr>
          <w:sz w:val="20"/>
          <w:szCs w:val="20"/>
          <w:color w:val="auto"/>
        </w:rPr>
      </w:pPr>
      <w:r>
        <w:rPr>
          <w:rFonts w:ascii="Times New Roman" w:cs="Times New Roman" w:eastAsia="Times New Roman" w:hAnsi="Times New Roman"/>
          <w:sz w:val="18"/>
          <w:szCs w:val="18"/>
          <w:i w:val="1"/>
          <w:iCs w:val="1"/>
          <w:color w:val="auto"/>
        </w:rPr>
        <w:t>Gaylord Rockies Results</w:t>
      </w:r>
      <w:r>
        <w:rPr>
          <w:rFonts w:ascii="Times New Roman" w:cs="Times New Roman" w:eastAsia="Times New Roman" w:hAnsi="Times New Roman"/>
          <w:sz w:val="18"/>
          <w:szCs w:val="18"/>
          <w:color w:val="auto"/>
        </w:rPr>
        <w:t>. The results of Gaylord Rockies for the three months and six months ended June 30,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are as 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58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39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84"/>
        </w:trPr>
        <w:tc>
          <w:tcPr>
            <w:tcW w:w="3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r>
      <w:tr>
        <w:trPr>
          <w:trHeight w:val="174"/>
        </w:trPr>
        <w:tc>
          <w:tcPr>
            <w:tcW w:w="3940" w:type="dxa"/>
            <w:vAlign w:val="bottom"/>
          </w:tcPr>
          <w:p>
            <w:pPr>
              <w:spacing w:after="0"/>
              <w:rPr>
                <w:sz w:val="15"/>
                <w:szCs w:val="15"/>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9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$ 24,648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22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251.2 %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35,942</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11,134</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222.8 %</w:t>
            </w:r>
          </w:p>
        </w:tc>
      </w:tr>
      <w:tr>
        <w:trPr>
          <w:trHeight w:val="203"/>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6,602</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463.6 %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10,411</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414.1 %</w:t>
            </w:r>
          </w:p>
        </w:tc>
      </w:tr>
      <w:tr>
        <w:trPr>
          <w:trHeight w:val="203"/>
        </w:trPr>
        <w:tc>
          <w:tcPr>
            <w:tcW w:w="3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4,717</w:t>
            </w:r>
          </w:p>
        </w:tc>
        <w:tc>
          <w:tcPr>
            <w:tcW w:w="2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88.7 %</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16,072</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8,763</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83.4 %</w:t>
            </w:r>
          </w:p>
        </w:tc>
      </w:tr>
      <w:tr>
        <w:trPr>
          <w:trHeight w:val="196"/>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70,755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18,338</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285.8 %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105,542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30,308</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248.2 %</w:t>
            </w:r>
          </w:p>
        </w:tc>
      </w:tr>
      <w:tr>
        <w:trPr>
          <w:trHeight w:val="20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182.6 %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4,082</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149.6 %</w:t>
            </w:r>
          </w:p>
        </w:tc>
      </w:tr>
      <w:tr>
        <w:trPr>
          <w:trHeight w:val="203"/>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6,008</w:t>
            </w: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217.8 %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10,747</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188.3 %</w:t>
            </w:r>
          </w:p>
        </w:tc>
      </w:tr>
      <w:tr>
        <w:trPr>
          <w:trHeight w:val="203"/>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7,648</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36.8 %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14,674</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53.4 %</w:t>
            </w:r>
          </w:p>
        </w:tc>
      </w:tr>
      <w:tr>
        <w:trPr>
          <w:trHeight w:val="203"/>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1,480.5 %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431.3 %</w:t>
            </w:r>
          </w:p>
        </w:tc>
      </w:tr>
      <w:tr>
        <w:trPr>
          <w:trHeight w:val="203"/>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22,650</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22,617</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45,308</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w:t>
            </w:r>
          </w:p>
        </w:tc>
      </w:tr>
      <w:tr>
        <w:trPr>
          <w:trHeight w:val="196"/>
        </w:trPr>
        <w:tc>
          <w:tcPr>
            <w:tcW w:w="3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60,540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38,613</w:t>
            </w: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56.8 %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75,399</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48.7 %</w:t>
            </w:r>
          </w:p>
        </w:tc>
      </w:tr>
      <w:tr>
        <w:trPr>
          <w:trHeight w:val="20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76.6 %</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25.7 %</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50.9 pts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58.0 %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21.6 %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36.4 pts</w:t>
            </w:r>
          </w:p>
        </w:tc>
      </w:tr>
      <w:tr>
        <w:trPr>
          <w:trHeight w:val="203"/>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$ 235.69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199.69</w:t>
            </w:r>
          </w:p>
        </w:tc>
        <w:tc>
          <w:tcPr>
            <w:tcW w:w="2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18.0 %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228.22</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189.92</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20.2 %</w:t>
            </w:r>
          </w:p>
        </w:tc>
      </w:tr>
      <w:tr>
        <w:trPr>
          <w:trHeight w:val="203"/>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$ 180.45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w:t>
            </w:r>
          </w:p>
        </w:tc>
        <w:tc>
          <w:tcPr>
            <w:tcW w:w="22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251.2 %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40.98</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222.8 %</w:t>
            </w:r>
          </w:p>
        </w:tc>
      </w:tr>
      <w:tr>
        <w:trPr>
          <w:trHeight w:val="203"/>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$ 518.01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134.25</w:t>
            </w:r>
          </w:p>
        </w:tc>
        <w:tc>
          <w:tcPr>
            <w:tcW w:w="2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285.9 %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388.48</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248.3 %</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Entertainment Segment</w:t>
      </w:r>
    </w:p>
    <w:p>
      <w:pPr>
        <w:spacing w:after="0" w:line="187"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Due to the COVID-19 pandemic, we temporarily closed our Entertainment segment assets in mid-March 2020 and they did not return to full capacity until May 2021. In addition, subsequent to the December 2020 downtown Nashville bombing, the Wildhorse Saloon reopened in April 2021. Therefore, Entertainment segment financial results for the three months and six months ended June 30, 2022 are not comparable to the corresponding 2021 period and the results for 2021 are not comparable to historical periods because of the COVID-19 pandemic. The following presents the financial results of our Entertainment segment for the three months and six months ended June 30, 2022 and 2021 (in thousands, except percentages):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40" w:type="dxa"/>
            <w:vAlign w:val="bottom"/>
            <w:gridSpan w:val="7"/>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6"/>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gridSpan w:val="2"/>
          </w:tcPr>
          <w:p>
            <w:pPr>
              <w:jc w:val="right"/>
              <w:ind w:right="11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$ 68,402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35,173</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106,426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$ 49,546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25,639</w:t>
            </w:r>
          </w:p>
        </w:tc>
        <w:tc>
          <w:tcPr>
            <w:tcW w:w="9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78.1 %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77,401</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74.6 %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9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24.1 %</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39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 (1)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$ 18,240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9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208.5 %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20,981</w:t>
            </w: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(2,006)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1,145.9 %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39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segment operating income does not include preopening costs of $0.2 million and $0.5 million in the three months and six months ended June 30, 2022, respectively. See discussion of this item below.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200" w:lineRule="exact"/>
        <w:rPr>
          <w:sz w:val="20"/>
          <w:szCs w:val="20"/>
          <w:color w:val="auto"/>
        </w:rPr>
      </w:pPr>
    </w:p>
    <w:p>
      <w:pPr>
        <w:ind w:left="60" w:right="10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Corporate and Other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and six months ended June 30, 2022 and 2021 (in thousands, except percentages):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7"/>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00" w:type="dxa"/>
            <w:vAlign w:val="bottom"/>
            <w:gridSpan w:val="5"/>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gridSpan w:val="2"/>
          </w:tcPr>
          <w:p>
            <w:pPr>
              <w:jc w:val="right"/>
              <w:ind w:right="9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0"/>
                <w:szCs w:val="10"/>
                <w:color w:val="auto"/>
              </w:rPr>
            </w:pPr>
          </w:p>
        </w:tc>
        <w:tc>
          <w:tcPr>
            <w:tcW w:w="500" w:type="dxa"/>
            <w:vAlign w:val="bottom"/>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(1)</w:t>
            </w:r>
          </w:p>
        </w:tc>
        <w:tc>
          <w:tcPr>
            <w:tcW w:w="1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16,506</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80" w:type="dxa"/>
            <w:vAlign w:val="bottom"/>
            <w:tcBorders>
              <w:bottom w:val="single" w:sz="8" w:color="CCEEFF"/>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8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259" w:hanging="330"/>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segment operating expenses do not include a loss on sale of assets of $0.5 million in the six months ended June 30, 2022.</w:t>
      </w:r>
    </w:p>
    <w:p>
      <w:pPr>
        <w:spacing w:after="0" w:line="121"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Corporate and Other operating expenses consist primarily of costs associated with senior management salaries and benefits, legal, human resources, accounting, pension, information technology, consulting and other administrative costs. Corporate and Other segment operating expenses increased in the three months and six months ended June 30, 2022, as compared to the prior year periods, primarily as a result of increased employment expenses.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Preopening Costs</w:t>
      </w:r>
    </w:p>
    <w:p>
      <w:pPr>
        <w:spacing w:after="0" w:line="18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Preopening costs during the three months and six months ended June 30, 2022 primarily include costs associated with Ole Red Nashville International Airport, which was completed in May 2022. Preopening costs during the three months and six months ended June 30, 2021 primarily include costs associated with the Gaylord Palms expansion, which was completed in April 2021.</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Gain (Loss) on Sale of Assets</w:t>
      </w:r>
    </w:p>
    <w:p>
      <w:pPr>
        <w:spacing w:after="0" w:line="202"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Loss on sale of assets during the six months ended June 30, 2022 includes the sale of a parcel of land in Nashville, Tennessee. Gain on sale of assets during the six months ended June 30, 2021 includes the sale of certain assets at Gaylord Opryland.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Results Affecting Net Income (Loss)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00"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other factors which affected our net income (loss) for the three months and six months ended June 30, 2022 and 2021 (in thousands, except percentages):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0" w:type="dxa"/>
            <w:vAlign w:val="bottom"/>
            <w:gridSpan w:val="6"/>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40" w:type="dxa"/>
            <w:vAlign w:val="bottom"/>
            <w:gridSpan w:val="4"/>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08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0"/>
                <w:szCs w:val="10"/>
                <w:color w:val="auto"/>
              </w:rPr>
            </w:pPr>
          </w:p>
        </w:tc>
        <w:tc>
          <w:tcPr>
            <w:tcW w:w="580" w:type="dxa"/>
            <w:vAlign w:val="bottom"/>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8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0"/>
                <w:szCs w:val="10"/>
                <w:color w:val="auto"/>
              </w:rPr>
            </w:pPr>
          </w:p>
        </w:tc>
        <w:tc>
          <w:tcPr>
            <w:tcW w:w="600" w:type="dxa"/>
            <w:vAlign w:val="bottom"/>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33,958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$ 29,847</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65,895</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$ 60,643</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4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40" w:type="dxa"/>
            <w:vAlign w:val="bottom"/>
          </w:tcPr>
          <w:p>
            <w:pPr>
              <w:spacing w:after="0"/>
              <w:rPr>
                <w:sz w:val="18"/>
                <w:szCs w:val="18"/>
                <w:color w:val="auto"/>
              </w:rPr>
            </w:pP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47.5 %</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Loss from unconsolidated joint ventures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4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(57.1)%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40" w:type="dxa"/>
            <w:vAlign w:val="bottom"/>
          </w:tcPr>
          <w:p>
            <w:pPr>
              <w:spacing w:after="0"/>
              <w:rPr>
                <w:sz w:val="18"/>
                <w:szCs w:val="18"/>
                <w:color w:val="auto"/>
              </w:rPr>
            </w:pP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40" w:type="dxa"/>
            <w:vAlign w:val="bottom"/>
          </w:tcPr>
          <w:p>
            <w:pPr>
              <w:spacing w:after="0"/>
              <w:rPr>
                <w:sz w:val="20"/>
                <w:szCs w:val="20"/>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(986.5)%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(17,569)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40" w:type="dxa"/>
            <w:vAlign w:val="bottom"/>
          </w:tcPr>
          <w:p>
            <w:pPr>
              <w:spacing w:after="0"/>
              <w:rPr>
                <w:sz w:val="20"/>
                <w:szCs w:val="20"/>
                <w:color w:val="auto"/>
              </w:rPr>
            </w:pP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left="60" w:right="459"/>
        <w:spacing w:after="0" w:line="312" w:lineRule="auto"/>
        <w:rPr>
          <w:sz w:val="20"/>
          <w:szCs w:val="20"/>
          <w:color w:val="auto"/>
        </w:rPr>
      </w:pPr>
      <w:r>
        <w:rPr>
          <w:rFonts w:ascii="Times New Roman" w:cs="Times New Roman" w:eastAsia="Times New Roman" w:hAnsi="Times New Roman"/>
          <w:sz w:val="17"/>
          <w:szCs w:val="17"/>
          <w:color w:val="auto"/>
        </w:rPr>
        <w:t>Interest expense increased $4.1 million and $5.3 million during the three months and six months ended June 30, 2022, respectively, as compared to the same periods in 2021, due primarily to the new OEG Term Loan and the Block 21</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CMBS loan, as well as the prior year including $1.5 million and $2.9 million, respectively, in capitalized interest that did not recur in 2022.</w:t>
      </w:r>
    </w:p>
    <w:p>
      <w:pPr>
        <w:spacing w:after="0" w:line="135"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Cash interest expense increased $2.3 million to $31.6 million in the three months and increased $2.0 million to $61.4 million in the six months ended June 30, 2022, as compared to the same periods in 2021. Non-cash interest expense, which includes amortization and write-off of deferred financing costs and is offset by capitalized interest, increased $1.8 million to $2.4 million in the three months and increased $3.2 million to $4.5 million in the six months ended June 30, 2022, as compared to the same periods in 2021.</w:t>
      </w:r>
    </w:p>
    <w:p>
      <w:pPr>
        <w:spacing w:after="0" w:line="143"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Our weighted average interest rate on our borrowings, excluding capitalized interest, but including the impact of interest rate swaps, was 4.5% and 4.3% for the three months ended June 30, 2022 and 2021, respectively, and 4.4% and 4.5% for the six months ended June 30, 2022 and 2021, respectively.</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Interest income for the three months and six months ended June 30, 2022 and 2021 primarily includes amounts earned on the bonds that were received in connection with the development of Gaylord National, which we hold as notes receivable. See Note 8, “Notes Receivable,” to the accompanying condensed consolidated financial statements included herein for additional discussion of interest income on these bonds.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18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As a result of our repayment of our $300 million term loan A with the proceeds from the OEG Term Loan, we recognized a loss on extinguishment of debt of $1.5 million in the three months and six months ended June 30, 2022.</w:t>
      </w:r>
    </w:p>
    <w:p>
      <w:pPr>
        <w:spacing w:after="0" w:line="135" w:lineRule="exact"/>
        <w:rPr>
          <w:sz w:val="20"/>
          <w:szCs w:val="20"/>
          <w:color w:val="auto"/>
        </w:rPr>
      </w:pPr>
    </w:p>
    <w:p>
      <w:pPr>
        <w:jc w:val="both"/>
        <w:ind w:left="60" w:right="199"/>
        <w:spacing w:after="0" w:line="258" w:lineRule="auto"/>
        <w:rPr>
          <w:sz w:val="20"/>
          <w:szCs w:val="20"/>
          <w:color w:val="auto"/>
        </w:rPr>
      </w:pPr>
      <w:r>
        <w:rPr>
          <w:rFonts w:ascii="Times New Roman" w:cs="Times New Roman" w:eastAsia="Times New Roman" w:hAnsi="Times New Roman"/>
          <w:sz w:val="18"/>
          <w:szCs w:val="18"/>
          <w:color w:val="auto"/>
        </w:rPr>
        <w:t>In February 2021, we commenced a cash tender offer for any and all outstanding $400 million 5% senior notes due 2023 (“$400 Million 5% Senior Notes”) at a redemption price of $1,005.00 per $1,000 principal amount. Pursuant to the tender offer, $161.9 million aggregate principal amount of these notes were validly tendered. As a result of our purchase of these tendered notes, and the subsequent redemption of all untendered $400 Million 5% Senior Notes, we recognized a loss on extinguishment of debt of $2.9 million in the six months ended June 30, 2021.</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from Unconsolidated Joint Ventures</w:t>
      </w:r>
    </w:p>
    <w:p>
      <w:pPr>
        <w:spacing w:after="0" w:line="187"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loss from unconsolidated joint ventures for the three months and six months ended June 30, 2022 and 2021 represents our equity method share of losses associated with Circle.</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Gains and (Losses), net</w:t>
      </w:r>
    </w:p>
    <w:p>
      <w:pPr>
        <w:spacing w:after="0" w:line="187"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Other gains and (losses), net for the three months and six months ended June 30, 2022 and 2021 represents various miscellaneous items.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00"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As a REIT, we generally are not subject to federal corporate income taxes on ordinary taxable income and capital gains income from real estate investments that we distribute to our stockholders. We are required to pay federal and state corporate income taxes on earnings of our TRSs.</w:t>
      </w:r>
    </w:p>
    <w:p>
      <w:pPr>
        <w:spacing w:after="0" w:line="135"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For each of the three months and six months ended June 30, 2022, we recorded an income tax provision of $17.6 million related to our TRSs.</w:t>
      </w:r>
    </w:p>
    <w:p>
      <w:pPr>
        <w:spacing w:after="0" w:line="121"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For the three months and six months ended June 30, 2021, we recorded an income tax provision of $1.6 million and $5.6 million, respectively. The income tax provision for the six months ended June 30, 2021 includes the recording of a valuation allowance of $3.6 million related to our reassessment of the realizability of our deferred tax assets due to the impact of the COVID-19 pandemic.</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02"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We present the following non-GAAP financial measures, which we believe are useful to investors as key measures of our operating performance:</w:t>
      </w:r>
    </w:p>
    <w:p>
      <w:pPr>
        <w:spacing w:after="0" w:line="160" w:lineRule="exact"/>
        <w:rPr>
          <w:sz w:val="20"/>
          <w:szCs w:val="20"/>
          <w:color w:val="auto"/>
        </w:rPr>
      </w:pPr>
    </w:p>
    <w:p>
      <w:pPr>
        <w:ind w:left="60" w:right="159"/>
        <w:spacing w:after="0" w:line="284" w:lineRule="auto"/>
        <w:rPr>
          <w:sz w:val="20"/>
          <w:szCs w:val="20"/>
          <w:color w:val="auto"/>
        </w:rPr>
      </w:pPr>
      <w:r>
        <w:rPr>
          <w:rFonts w:ascii="Times New Roman" w:cs="Times New Roman" w:eastAsia="Times New Roman" w:hAnsi="Times New Roman"/>
          <w:sz w:val="18"/>
          <w:szCs w:val="18"/>
          <w:i w:val="1"/>
          <w:iCs w:val="1"/>
          <w:color w:val="auto"/>
        </w:rPr>
        <w:t>EBITDAre, Adjusted EBITDAre and Adjusted EBITDAre, Excluding Noncontrolling Interest in Consolidated Joint Venture Definition</w:t>
      </w:r>
    </w:p>
    <w:p>
      <w:pPr>
        <w:spacing w:after="0" w:line="158"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or the affiliate, and adjustments to reflect the entity’s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182"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then calculated as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plus to the extent the following adjustments occurred during the periods presented:</w:t>
      </w:r>
    </w:p>
    <w:p>
      <w:pPr>
        <w:spacing w:after="0" w:line="160"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transactions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5"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color w:val="auto"/>
        </w:rPr>
        <w:t>We then exclude the pro rata share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related to noncontrolling interests in consolidated joint ventures to calculate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w:t>
      </w:r>
    </w:p>
    <w:p>
      <w:pPr>
        <w:spacing w:after="0" w:line="15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use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when evaluating our performance because we believe that presenting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provides useful information to investors regarding our operating performance and debt leverage metrics.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FFO, Adjusted FFO, and Adjusted FFO available to common shareholders and unit holders Definition</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FFO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To calculate Adjusted FFO available to common shareholders and unit holders, we then exclude, to the extent the following adjustments occurred during the periods presented:</w:t>
      </w:r>
    </w:p>
    <w:p>
      <w:pPr>
        <w:spacing w:after="0" w:line="162"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 amortization;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discounts or premiums and amortization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 rata adjustments from unconsolidated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other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costs on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expense (benefit);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7" w:lineRule="exact"/>
        <w:rPr>
          <w:sz w:val="20"/>
          <w:szCs w:val="20"/>
          <w:color w:val="auto"/>
        </w:rPr>
      </w:pPr>
    </w:p>
    <w:p>
      <w:pPr>
        <w:ind w:left="60" w:right="419"/>
        <w:spacing w:after="0" w:line="312" w:lineRule="auto"/>
        <w:rPr>
          <w:sz w:val="20"/>
          <w:szCs w:val="20"/>
          <w:color w:val="auto"/>
        </w:rPr>
      </w:pPr>
      <w:r>
        <w:rPr>
          <w:rFonts w:ascii="Times New Roman" w:cs="Times New Roman" w:eastAsia="Times New Roman" w:hAnsi="Times New Roman"/>
          <w:sz w:val="17"/>
          <w:szCs w:val="17"/>
          <w:color w:val="auto"/>
        </w:rPr>
        <w:t>FFO available to common shareholders and unit holders and Adjusted FFO available to common shareholders and unit holders exclude the ownership portion of the Gaylord Rockies joint venture not controlled or owned by the Company.</w:t>
      </w:r>
    </w:p>
    <w:p>
      <w:pPr>
        <w:spacing w:after="0" w:line="140"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believe that the presentation of FFO available to common shareholders and unit holders and Adjusted FFO available to common shareholders and unit holders provides useful information to investors regarding the performance of our ongoing operations because they are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8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caution investors that amounts presented in accordance with our definitions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FFO available to common shareholders and unit holders, and Adjusted FFO available to common shareholders and unit holders may not be comparable to similar measures disclosed by other companies, because not all companies calculate these non-GAAP measures in the same manner. These non-GAAP financial measures, and any related per share measures, should not be considered as alternative measures of our Net Income (Loss),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39"/>
        <w:spacing w:after="0" w:line="284"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(loss)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the three months and six months ended June 30, 2022 and 2021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50,924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(63,049)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26,127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(180,170)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32,579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63,135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17,569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112,743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loss on sale of assets</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 rata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17"/>
                <w:szCs w:val="17"/>
                <w:i w:val="1"/>
                <w:iCs w:val="1"/>
                <w:color w:val="auto"/>
              </w:rPr>
              <w:t>re</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157,733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219,946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Preopening costs</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Pension settlement charge</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 on Gaylord National bonds</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Transaction costs of acquisitions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28,155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236,619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2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of noncontrolling interest in consolidated joint</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venture</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(1,131)</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(1,131)</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1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 in consolidated</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166,494</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28,428</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235,488</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6,723</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joint venture</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(loss) to FFO and Adjusted FFO for the three months and six months ended June 30, 2022 and 2021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8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(180,170)</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 in consolidated joint venture</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0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(loss) available to common shareholders and unit</w:t>
            </w: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(58,341)</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(163,669)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available to common shareholders and unit holders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(66,790)</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on other assets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discounts and premiums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costs of acquisitions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expense</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FFO available to common shareholders and unit 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114,875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149,689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ind w:left="60" w:right="159"/>
        <w:spacing w:after="0" w:line="272" w:lineRule="auto"/>
        <w:rPr>
          <w:sz w:val="20"/>
          <w:szCs w:val="20"/>
          <w:color w:val="auto"/>
        </w:rPr>
      </w:pPr>
      <w:r>
        <w:rPr>
          <w:rFonts w:ascii="Times New Roman" w:cs="Times New Roman" w:eastAsia="Times New Roman" w:hAnsi="Times New Roman"/>
          <w:sz w:val="17"/>
          <w:szCs w:val="17"/>
          <w:i w:val="1"/>
          <w:iCs w:val="1"/>
          <w:color w:val="auto"/>
        </w:rPr>
        <w:t>Cash Flows Provided By (Used In) Operating Activities</w:t>
      </w:r>
      <w:r>
        <w:rPr>
          <w:rFonts w:ascii="Times New Roman" w:cs="Times New Roman" w:eastAsia="Times New Roman" w:hAnsi="Times New Roman"/>
          <w:sz w:val="17"/>
          <w:szCs w:val="17"/>
          <w:color w:val="auto"/>
        </w:rPr>
        <w:t>. Historically, cash flow from operating activities has been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principal source of cash used to fund our operating expenses, interest payments on debt, maintenance capital expenditures, and dividends to stockholders. During the six months ended June 30, 2022, our net cash flows provided by operating activities were $127.6 million, primarily reflecting our net income before depreciation expense, amortization expense and other non-cash charges of $156.8 million, offset by unfavorable changes in working capital of $29.2 million. The unfavorable changes in working capital primarily resulted from an increase in accounts receivable due to an increase in group business at our Gaylord Hotels properties, partially offset by a increase in accounts payable and accrued liabilities related to increased advanced ticket purchases at our OEG venues and advanced deposits on future hotel room stays.</w:t>
      </w:r>
    </w:p>
    <w:p>
      <w:pPr>
        <w:spacing w:after="0" w:line="133"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2021, with most of our hotels and other assets operating at limited capacity, our net cash flows used in operating activities were $27.9 million, primarily reflecting our net loss before depreciation expense, amortization expense and other non-cash charges of $53.4 million, partially offset by favorable changes in working capital of $25.5 million. The favorable changes in working capital primarily resulted from a decrease in property tax rebates receivable at Gaylord Rockies.</w:t>
      </w:r>
    </w:p>
    <w:p>
      <w:pPr>
        <w:spacing w:after="0" w:line="141"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Used In Investing Activities. </w:t>
      </w:r>
      <w:r>
        <w:rPr>
          <w:rFonts w:ascii="Times New Roman" w:cs="Times New Roman" w:eastAsia="Times New Roman" w:hAnsi="Times New Roman"/>
          <w:sz w:val="18"/>
          <w:szCs w:val="18"/>
          <w:color w:val="auto"/>
        </w:rPr>
        <w:t>During the six months ended June 30, 2022, our primary uses of funds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activities were the use of $94.0 million in net cash to fund a portion of the purchase price of Block 21 and purchases of property and equipment, which totaled $24.7 million, and consisted primarily of a re-concepting of the food and beverage options at Gaylord National, enhancements at Gaylord Rockies to better position the property for our group customers, the construction of Ole Red Nashville International Airport, and ongoing maintenance capital expenditures for our existing properties.</w:t>
      </w:r>
    </w:p>
    <w:p>
      <w:pPr>
        <w:spacing w:after="0" w:line="157" w:lineRule="exact"/>
        <w:rPr>
          <w:sz w:val="20"/>
          <w:szCs w:val="20"/>
          <w:color w:val="auto"/>
        </w:rPr>
      </w:pPr>
    </w:p>
    <w:p>
      <w:pPr>
        <w:ind w:left="60" w:right="179"/>
        <w:spacing w:after="0" w:line="281" w:lineRule="auto"/>
        <w:rPr>
          <w:sz w:val="20"/>
          <w:szCs w:val="20"/>
          <w:color w:val="auto"/>
        </w:rPr>
      </w:pPr>
      <w:r>
        <w:rPr>
          <w:rFonts w:ascii="Times New Roman" w:cs="Times New Roman" w:eastAsia="Times New Roman" w:hAnsi="Times New Roman"/>
          <w:sz w:val="17"/>
          <w:szCs w:val="17"/>
          <w:color w:val="auto"/>
        </w:rPr>
        <w:t>During the six months ended June 30, 2021, our primary use of funds for investing activities was the $210.0 million purchase of the remaining 35% interest in the Gaylord Rockies joint venture and adjacent, undeveloped land. In addition, we spent $53.5 million for purchases of property and equipment, which consisted primarily of the expansion of Gaylord Palms, a rooms renovation at Gaylord National, and ongoing maintenance capital expenditures for our existing properties.</w:t>
      </w:r>
    </w:p>
    <w:p>
      <w:pPr>
        <w:spacing w:after="0" w:line="122"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i w:val="1"/>
          <w:iCs w:val="1"/>
          <w:color w:val="auto"/>
        </w:rPr>
        <w:t>Cash Flows Provided By Financing Activities</w:t>
      </w:r>
      <w:r>
        <w:rPr>
          <w:rFonts w:ascii="Times New Roman" w:cs="Times New Roman" w:eastAsia="Times New Roman" w:hAnsi="Times New Roman"/>
          <w:sz w:val="18"/>
          <w:szCs w:val="18"/>
          <w:color w:val="auto"/>
        </w:rPr>
        <w:t>. Our cash flows from financing activities primarily reflect the incurrence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the repayment of long-term debt and, prior to the COVID-19 pandemic, the payment of cash dividends. During the six months ended June 30, 2022, our net cash flows provided by financing activities were $62.8 million, primarily reflecting the net proceeds from the OEG Transaction of $286.5 million and the issuance of the OEG Term Loan and the repayment of our existing term loan A, partially offset by the net repayment of $204.7 million under our various debt agreements and the payment of $14.8 million in deferred financing costs.</w:t>
      </w:r>
    </w:p>
    <w:p>
      <w:pPr>
        <w:spacing w:after="0" w:line="144"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2021, our net cash flows provided by financing activities were $299.4 million, primarily reflecting net senior note borrowing of $200.0 million and net borrowings under our credit facility of $116.5 million, partially offset by the payment of $10.6 million in deferred financing costs.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8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At June 30, 2022, we had $179.2 million in unrestricted cash and $754.6 million available for borrowing under our revolving credit facility and the OEG revolving credit facility. During the six months ended June 30, 2022, we received net proceeds of $286.5 million related to the OEG Transaction, repaid $492.5 million under our existing debt agreements, borrowed $288.0 million under the new OEG Term Loan, paid $94.0 million in net cash for the purchase of Block 21 after the assumption of the Block 21 CMBS Loan and incurred capital expenditures of $24.7 million. These changes, and the cash flows provided by operations discussed above, were the primary factors in the increase in our cash balance from December 31, 2021 to June 30, 2022.</w:t>
      </w:r>
    </w:p>
    <w:p>
      <w:pPr>
        <w:spacing w:after="0" w:line="148"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We anticipate investing in our operations during the remainder of 2022 by spending between approximately $60 million and $90 million in capital expenditures, which primarily includes enhancements at Gaylord Rockies to better position the property for our group customers, enhancements to the offerings at Block 21, the construction of Ole Red Las Vegas,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99"/>
        <w:spacing w:after="0" w:line="266" w:lineRule="auto"/>
        <w:rPr>
          <w:sz w:val="20"/>
          <w:szCs w:val="20"/>
          <w:color w:val="auto"/>
        </w:rPr>
      </w:pPr>
      <w:r>
        <w:rPr>
          <w:rFonts w:ascii="Times New Roman" w:cs="Times New Roman" w:eastAsia="Times New Roman" w:hAnsi="Times New Roman"/>
          <w:sz w:val="18"/>
          <w:szCs w:val="18"/>
          <w:color w:val="auto"/>
        </w:rPr>
        <w:t>and ongoing maintenance capital of our current facilities. In addition, we intend to contribute up to an additional $6.0 million in capital to the Circle joint venture for working capital needs. We currently have no debt maturities until July 2023. We believe we will be able to refinance our debt agreements prior to their maturities.</w:t>
      </w:r>
    </w:p>
    <w:p>
      <w:pPr>
        <w:spacing w:after="0" w:line="14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believe that our cash on hand, together with amounts available for borrowing under our revolving credit facility and the OEG revolving credit facility, will be adequate to fund our general short-term commitments, as well as: (i) current operating expenses, (ii) interest expense on long-term debt obligations, (iii) financing lease and operating lease obligations, and (iv) the capital expenditures described above. Our ability to draw on our credit facilities is subject to the satisfaction of provisions of the credit facilities, as amended.</w:t>
      </w:r>
    </w:p>
    <w:p>
      <w:pPr>
        <w:spacing w:after="0" w:line="143"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Our outstanding principal debt agreements are described below. At June 30, 2022, there were no defaults under the covenants related to our outstanding debt based on the amended terms of our credit agreement.</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Debt Agreements</w:t>
      </w:r>
    </w:p>
    <w:p>
      <w:pPr>
        <w:spacing w:after="0" w:line="198"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On October 31, 2019, we entered into a Sixth Amended and Restated Credit Agreement (the “Base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 which amended and restated the Company’s existing credit facility. As amended, our credit facility consists of a $700.0 million senior secured revolving credit facility (the “Revolver”), prior to its repayment on June 16, 2022, a $300.0 million senior secured term loan A (the “Term Loan A”), and a $500.0 million senior secured term loan B (the “Term Loan B”), each as discussed below. In 2020, we entered into three amendments (the “2020 Amendments”) to the Base Credit Agreement among the same parties, as discussed below. Additionally, we further amended the Base Credit Agreement in April 2021 and further in October 2021 to permit an acquisition during the Credit Agreement’s Restricted Period (as defined below) and an assumption of indebtedness, subject to certain conditions (such amendments, together with the 2020 Amendments, the “Amendments”; the Base Credit Agreement, as amended by the Amendments, the “Existing Credit Agreement”; the Existing Credit Agreement, as amended by the Fifth Amendment (as hereinafter defined), the “Credit Agreement”).</w:t>
      </w:r>
    </w:p>
    <w:p>
      <w:pPr>
        <w:spacing w:after="0" w:line="14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Each of the Revolver and Term Loan B is guaranteed by us, each of our subsidiaries that own the Gaylord Hotels properties, other than Gaylord Rockies, and certain of our other subsidiaries. Each is secured by (i) a first mortgage lien on the real property of each of our Gaylord Hotels properties, excluding Gaylord Rockies, (ii) pledges of equity interests in our subsidiaries that own the Gaylord Hotels properties, excluding Gaylord Rockies, (iii) pledges of equity interests in the Operating Partnership, our subsidiaries that guarantee the Credit Agreement, and certain other of our subsidiaries, (iv) our personal property and the personal property of the Operating Partnership and our guarantor subsidiaries and (v) all proceeds and products from our Gaylord Hotels properties, excluding Gaylord Rockies. Advances are subject to a 55% borrowing base, based on the appraisal value of the Gaylord Hotels properties (reduced to 50% in the event one of the Gaylord Hotels properties is sold), excluding Gaylord Rockies. Assets of Gaylord Rockies are not subject to the liens of our credit facility.</w:t>
      </w:r>
    </w:p>
    <w:p>
      <w:pPr>
        <w:spacing w:after="0" w:line="154"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Each of the Revolver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53" w:lineRule="exact"/>
        <w:rPr>
          <w:sz w:val="20"/>
          <w:szCs w:val="20"/>
          <w:color w:val="auto"/>
        </w:rPr>
      </w:pPr>
    </w:p>
    <w:p>
      <w:pPr>
        <w:ind w:left="720" w:right="45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funded indebtedness to total asset value ratio as of the end of each calendar quarter of not more than .65 to 1.0.</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fixed charge coverage ratio (as defined in the Credit Agreement) of not less than 1.50 to 1.00.</w:t>
      </w:r>
    </w:p>
    <w:p>
      <w:pPr>
        <w:spacing w:after="0" w:line="121"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Amendments provided for a waiver of the foregoing financial covenants through March 31, 2022 (the “Temporary Waiver Period”) and modified covenants through June 30, 2022. In addition, the Amendments contain a covenant that we must maintain unrestricted liquidity (in the form of unrestricted cash on hand or undrawn availability under the Revolver) of at least $100 million. In the event we are unable to comply with the Credit Agreement’s financial covenants, we expect to further amend the Credit Agreement or take other mitigating actions prior to a potential breach.</w:t>
      </w:r>
    </w:p>
    <w:p>
      <w:pPr>
        <w:spacing w:after="0" w:line="15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Beginning with the quarter ended June 30, 2022, we calculate compliance with the financial covenants in the Credit Agreement using a designated annualized calculation based on our most recently completed fiscal quarter. Thereafter, we will be required to satisfy financial covenants at the levels set forth in the Credit Agreement using a designated annualized calculation based on our most recently completed fiscal quarters, as applicable. Pursuant to the Amendments, we are required to use any proceeds from borrowings drawn until we demonstrate financial covenant compliance following the expiration of the Temporary Waiver Period (the “Restricted Period”) to fund operating expenses, debt service of the Company and its subsidiaries, and permitted capital expenditures and investments. We demonstrated such financial compliance in May 2022 and thereby ended the restricted period.</w:t>
      </w:r>
    </w:p>
    <w:p>
      <w:pPr>
        <w:spacing w:after="0" w:line="15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April 4, 2022, we entered into Amendment No. 5 (the “Fifth Amendment”) to the Existing Credit Agreement, among the Company, as a guarantor, its subsidiary RHP Hotel Properties, LP, as borrower, certain other subsidiaries of the Company party thereto, as guarantors, certain subsidiaries of the Company party thereto, as pledgors, the lenders party thereto and Wells Fargo Bank, National Association, as administrative agent. The Fifth Amendment provides for certain amendments to the Existing Credit Agreement, each of which was effective upon the closing of the OEG Transaction. These amendments include, among others, the exclusion of OEG from negative covenants and certain restrictions related to certain equity issuances, investments, acquisitions, dispositions and indebtedness; changes to certain financial covenant requirements through December 2022; and a requirement that, following January 1, 2023, the Company satisfy the financial covenants currently provided for in the Credit Agreement.</w:t>
      </w:r>
    </w:p>
    <w:p>
      <w:pPr>
        <w:spacing w:after="0" w:line="148"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47" w:lineRule="exact"/>
        <w:rPr>
          <w:sz w:val="20"/>
          <w:szCs w:val="20"/>
          <w:color w:val="auto"/>
        </w:rPr>
      </w:pPr>
    </w:p>
    <w:p>
      <w:pPr>
        <w:ind w:left="60" w:right="259"/>
        <w:spacing w:after="0" w:line="277" w:lineRule="auto"/>
        <w:rPr>
          <w:sz w:val="20"/>
          <w:szCs w:val="20"/>
          <w:color w:val="auto"/>
        </w:rPr>
      </w:pPr>
      <w:r>
        <w:rPr>
          <w:rFonts w:ascii="Times New Roman" w:cs="Times New Roman" w:eastAsia="Times New Roman" w:hAnsi="Times New Roman"/>
          <w:sz w:val="17"/>
          <w:szCs w:val="17"/>
          <w:i w:val="1"/>
          <w:iCs w:val="1"/>
          <w:color w:val="auto"/>
        </w:rPr>
        <w:t>Revolving Credit Facility</w:t>
      </w:r>
      <w:r>
        <w:rPr>
          <w:rFonts w:ascii="Times New Roman" w:cs="Times New Roman" w:eastAsia="Times New Roman" w:hAnsi="Times New Roman"/>
          <w:sz w:val="17"/>
          <w:szCs w:val="17"/>
          <w:color w:val="auto"/>
        </w:rPr>
        <w:t>. The maturity date of the Revolver is March 31, 2024, with two additional six-month extension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options, at our election. Borrowings under the Revolver bear interest at an annual rate equal to, at our option, either</w:t>
      </w:r>
    </w:p>
    <w:p>
      <w:pPr>
        <w:spacing w:after="0" w:line="1" w:lineRule="exact"/>
        <w:rPr>
          <w:sz w:val="20"/>
          <w:szCs w:val="20"/>
          <w:color w:val="auto"/>
        </w:rPr>
      </w:pPr>
    </w:p>
    <w:p>
      <w:pPr>
        <w:ind w:left="60" w:right="99" w:hanging="10"/>
        <w:spacing w:after="0" w:line="277" w:lineRule="auto"/>
        <w:tabs>
          <w:tab w:leader="none" w:pos="27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LIBOR plus the applicable margin ranging from 1.40% to 1.95%, dependent upon our funded debt to total asset value ratio (as defined in the Credit Agreement) or (ii) a base rate as set forth in the Credit Agreement. At June 30, 2022, the interest rate on LIBOR-based borrowings under the Revolver is LIBOR plus 1.55%. Principal is payable in full at maturity.</w:t>
      </w:r>
    </w:p>
    <w:p>
      <w:pPr>
        <w:spacing w:after="0" w:line="128" w:lineRule="exact"/>
        <w:rPr>
          <w:sz w:val="20"/>
          <w:szCs w:val="20"/>
          <w:color w:val="auto"/>
        </w:rPr>
      </w:pPr>
    </w:p>
    <w:p>
      <w:pPr>
        <w:ind w:left="60" w:right="359"/>
        <w:spacing w:after="0" w:line="258" w:lineRule="auto"/>
        <w:rPr>
          <w:sz w:val="20"/>
          <w:szCs w:val="20"/>
          <w:color w:val="auto"/>
        </w:rPr>
      </w:pPr>
      <w:r>
        <w:rPr>
          <w:rFonts w:ascii="Times New Roman" w:cs="Times New Roman" w:eastAsia="Times New Roman" w:hAnsi="Times New Roman"/>
          <w:sz w:val="18"/>
          <w:szCs w:val="18"/>
          <w:color w:val="auto"/>
        </w:rPr>
        <w:t>At June 30, 2022, no amounts were outstanding under the Revolver, and the lending banks had issued $10.4 million of letters of credit under the Credit Agreement, which left $689.6 million of availability under the Revolver (subject to the satisfaction of debt incurrence tests under the indentures governing our $600 million in aggregate principal amount of senior notes due 2029 (the “$600 Million 4.50% Senior Notes”) and our $700 million in aggregate principal amount of senior notes due 2027 (the “$700 Million 4.75% Senior Notes”), which we met at June 30, 2022).</w:t>
      </w:r>
    </w:p>
    <w:p>
      <w:pPr>
        <w:spacing w:after="0" w:line="141"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Term Loan A Facility. </w:t>
      </w:r>
      <w:r>
        <w:rPr>
          <w:rFonts w:ascii="Times New Roman" w:cs="Times New Roman" w:eastAsia="Times New Roman" w:hAnsi="Times New Roman"/>
          <w:sz w:val="18"/>
          <w:szCs w:val="18"/>
          <w:color w:val="auto"/>
        </w:rPr>
        <w:t>The original maturity date of the Term Loan A was March 31, 2025. Borrowings bore interest at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rate equal to, at our option, either (i) LIBOR plus the applicable margin ranging from 1.35% to 1.90%, dependent upon our funded debt to total asset value ratio (as defined in the Credit Agreement) or (ii) a base rate as set forth in the Credit Agreement. As discussed below, in June 2022, we paid off the Term Loan A with proceeds from the OEG Term Loan.</w:t>
      </w:r>
    </w:p>
    <w:p>
      <w:pPr>
        <w:spacing w:after="0" w:line="15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Term Loan B Facility. </w:t>
      </w:r>
      <w:r>
        <w:rPr>
          <w:rFonts w:ascii="Times New Roman" w:cs="Times New Roman" w:eastAsia="Times New Roman" w:hAnsi="Times New Roman"/>
          <w:sz w:val="18"/>
          <w:szCs w:val="18"/>
          <w:color w:val="auto"/>
        </w:rPr>
        <w:t>The Term Loan B has a maturity date of May 11, 2024. The applicable interest rate margins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the Term Loan B are, at our option, either (i) LIBOR plus 2.00% or (ii) a base rate as set forth in the Credit Agreement. At June 30, 2022, the interest rate on the Term Loan B was LIBOR plus 2.00%. In October 2019, we entered into four interest rate swaps with a total notional amount of $350.0 million to fix the LIBOR portion of the interest rate, at rates between 1.2235% and 1.2315%, through May 11, 2023. We have designated these interest rate swaps as effective cash flow hedges. The Term Loan B amortizes in equal quarterly installments in aggregate annual amounts equal to 1.0% of the original principal amount of $500.0 million, with the balance due at maturity. In addition,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if for any fiscal year, there is Excess Cash Flow (as defined in the Credit Agreement), an additional principal amount is required. Amounts borrowed under the Term Loan B that are repaid or prepaid may not be reborrowed. At June 30, 2022, $373.8 million in borrowings were outstanding under the Term Loan B.</w:t>
      </w:r>
    </w:p>
    <w:p>
      <w:pPr>
        <w:spacing w:after="0" w:line="14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$700 Million 4.75% Senior Notes. </w:t>
      </w:r>
      <w:r>
        <w:rPr>
          <w:rFonts w:ascii="Times New Roman" w:cs="Times New Roman" w:eastAsia="Times New Roman" w:hAnsi="Times New Roman"/>
          <w:sz w:val="18"/>
          <w:szCs w:val="18"/>
          <w:color w:val="auto"/>
        </w:rPr>
        <w:t>In September 2019, the Operating Partnership and Finco completed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of $500.0 million in aggregate principal amount of senior notes due 2027 (the “$500 Million 4.75% Senior Notes”),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The $500 Million 4.75% Senior Notes are general unsecured and unsubordinated obligations of the issuing subsidiaries and rank equal in right of payment with such subsidiaries’ existing and future senior unsecured indebtedness, including the $600 Million 4.50%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56" w:lineRule="exact"/>
        <w:rPr>
          <w:sz w:val="20"/>
          <w:szCs w:val="20"/>
          <w:color w:val="auto"/>
        </w:rPr>
      </w:pPr>
    </w:p>
    <w:p>
      <w:pPr>
        <w:ind w:left="60" w:right="159"/>
        <w:spacing w:after="0" w:line="270" w:lineRule="auto"/>
        <w:rPr>
          <w:sz w:val="20"/>
          <w:szCs w:val="20"/>
          <w:color w:val="auto"/>
        </w:rPr>
      </w:pPr>
      <w:r>
        <w:rPr>
          <w:rFonts w:ascii="Times New Roman" w:cs="Times New Roman" w:eastAsia="Times New Roman" w:hAnsi="Times New Roman"/>
          <w:sz w:val="17"/>
          <w:szCs w:val="17"/>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3"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4.75% Senior Notes”). All other terms and conditions of the additional 2027 notes are identical to the $500 Million 4.75% Senior Notes.</w:t>
      </w:r>
    </w:p>
    <w:p>
      <w:pPr>
        <w:spacing w:after="0" w:line="181" w:lineRule="exact"/>
        <w:rPr>
          <w:sz w:val="20"/>
          <w:szCs w:val="20"/>
          <w:color w:val="auto"/>
        </w:rPr>
      </w:pPr>
    </w:p>
    <w:p>
      <w:pPr>
        <w:ind w:left="60" w:right="319"/>
        <w:spacing w:after="0" w:line="256" w:lineRule="auto"/>
        <w:rPr>
          <w:sz w:val="20"/>
          <w:szCs w:val="20"/>
          <w:color w:val="auto"/>
        </w:rPr>
      </w:pPr>
      <w:r>
        <w:rPr>
          <w:rFonts w:ascii="Times New Roman" w:cs="Times New Roman" w:eastAsia="Times New Roman" w:hAnsi="Times New Roman"/>
          <w:sz w:val="18"/>
          <w:szCs w:val="18"/>
          <w:color w:val="auto"/>
        </w:rPr>
        <w:t>The $700 Million 4.75% Senior Notes are redeemable before October 15, 2022, in whole or in part, at 100.00%, plus accrued and unpaid interest thereon to, but not including, the redemption date, plus a make-whole premium. The $700 Million 4.75% Senior Notes will be redeemable, in whole or in part, at any time on or after October 15, 2022 at a redemption price expressed as a percentage of the principal amount thereof, which percentage is 103.563%, 102.375%, 101.188%, and 100.00% beginning on October 15 of 2022, 2023, 2024, and 2025, respectively, plus accrued and unpaid interest thereon to, but not including, the redemption date.</w:t>
      </w:r>
    </w:p>
    <w:p>
      <w:pPr>
        <w:spacing w:after="0" w:line="147"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completed a registered offer to exchange the $700 Million 4.75% Senior Notes for registered notes with substantially identical terms as the $700 Million 4.75% Senior Notes in July 2020.</w:t>
      </w:r>
    </w:p>
    <w:p>
      <w:pPr>
        <w:spacing w:after="0" w:line="133" w:lineRule="exact"/>
        <w:rPr>
          <w:sz w:val="20"/>
          <w:szCs w:val="20"/>
          <w:color w:val="auto"/>
        </w:rPr>
      </w:pPr>
    </w:p>
    <w:p>
      <w:pPr>
        <w:ind w:left="60" w:right="219"/>
        <w:spacing w:after="0" w:line="269" w:lineRule="auto"/>
        <w:rPr>
          <w:sz w:val="20"/>
          <w:szCs w:val="20"/>
          <w:color w:val="auto"/>
        </w:rPr>
      </w:pPr>
      <w:r>
        <w:rPr>
          <w:rFonts w:ascii="Times New Roman" w:cs="Times New Roman" w:eastAsia="Times New Roman" w:hAnsi="Times New Roman"/>
          <w:sz w:val="17"/>
          <w:szCs w:val="17"/>
          <w:i w:val="1"/>
          <w:iCs w:val="1"/>
          <w:color w:val="auto"/>
        </w:rPr>
        <w:t>$600 Million 4.50% Senior Notes</w:t>
      </w:r>
      <w:r>
        <w:rPr>
          <w:rFonts w:ascii="Times New Roman" w:cs="Times New Roman" w:eastAsia="Times New Roman" w:hAnsi="Times New Roman"/>
          <w:sz w:val="17"/>
          <w:szCs w:val="17"/>
          <w:color w:val="auto"/>
        </w:rPr>
        <w:t>. On February 17, 2021, the Operating Partnership and Finco completed the private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placement of $600.0 million in aggregate principal amount of 4.50% senior notes due 2029, which are guaranteed by the Company and its subsidiaries that guarantee the Credit Agreement. The $600 Million 4.50% Senior Notes and guarantees were issued pursuant to an indenture by and among the issuing subsidiaries and the guarantors and U.S. Bank National Association as trustee. The $600 Million 5% Senior Notes have a maturity date of February 15, 2029 and bear interest at 4.50% per annum, payable semi-annually in cash in arrears on February 15 and August 15 each year. The $600 Million</w:t>
      </w:r>
    </w:p>
    <w:p>
      <w:pPr>
        <w:spacing w:after="0" w:line="2" w:lineRule="exact"/>
        <w:rPr>
          <w:sz w:val="20"/>
          <w:szCs w:val="20"/>
          <w:color w:val="auto"/>
        </w:rPr>
      </w:pPr>
    </w:p>
    <w:p>
      <w:pPr>
        <w:ind w:left="60" w:right="399"/>
        <w:spacing w:after="0" w:line="265" w:lineRule="auto"/>
        <w:rPr>
          <w:sz w:val="20"/>
          <w:szCs w:val="20"/>
          <w:color w:val="auto"/>
        </w:rPr>
      </w:pPr>
      <w:r>
        <w:rPr>
          <w:rFonts w:ascii="Times New Roman" w:cs="Times New Roman" w:eastAsia="Times New Roman" w:hAnsi="Times New Roman"/>
          <w:sz w:val="17"/>
          <w:szCs w:val="17"/>
          <w:color w:val="auto"/>
        </w:rPr>
        <w:t>4.50% Senior Notes are general unsecured and unsubordinated obligations of the issuing subsidiaries and rank equal in right of payment with such subsidiaries’ existing and future senior unsecured indebtedness, including the $700 Million</w:t>
      </w: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4.75%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$600 Million 4.50% Senior Notes are redeemable before February 15, 2024, in whole or in part, at 100.00%, plus accrued and unpaid interest thereon to, but not including, the redemption date, plus a make-whole premium. The $600 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5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i w:val="1"/>
          <w:iCs w:val="1"/>
          <w:color w:val="auto"/>
        </w:rPr>
        <w:t>$800 Million Term Loan (Gaylord Rockies)</w:t>
      </w:r>
      <w:r>
        <w:rPr>
          <w:rFonts w:ascii="Times New Roman" w:cs="Times New Roman" w:eastAsia="Times New Roman" w:hAnsi="Times New Roman"/>
          <w:sz w:val="18"/>
          <w:szCs w:val="18"/>
          <w:color w:val="auto"/>
        </w:rPr>
        <w:t>. On July 2, 2019, Aurora Convention Center Hotel, LLC (“Hotel Owner”)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Aurora Convention Center Hotel Lessee, LLC (“Tenant” and collectively, with Hotel Owner, the “Loan Parties”), subsidiaries of the entities that comprised the Gaylord Rockies joint venture, entered into a Second Amended and Restated Loan Agreement (the “Gaylord Rockies Loan”) with Wells Fargo Bank, National Association, as administrative agent, which refinanced the Gaylord Rockies joint venture’s existing $500 million construction loan and $39 million mezzanine loan, which were scheduled to mature in December 2019. The Gaylord Rockies Loan consists of an $800.0 million secured term loan facility and also includes the option for an additional $80.0 million of borrowing capacity should we pursue an expansion of Gaylord Rockies, which was announced in February 2020 but has been postponed as a result of the COVID-19 pandemic. The Gaylord Rockies Loan matures July 2, 2023 with three, one-year extension options, subject to certain requirements in the Gaylord Rockies Loan, and bears interest at LIBOR plus 2.50%. Simultaneous with closing, the Gaylord Rockies joint venture entered into an interest rate swap to fix the LIBOR portion of the interest rate at 1.65% for the first three years of the loan. Additionally, we have entered into an additional interest rate swap to fix the LIBOR portion of the interest rate at 3.3410% for the fourth year of the loan. We have designated these interest rate swaps as effective cash flow hedges.</w:t>
      </w:r>
    </w:p>
    <w:p>
      <w:pPr>
        <w:spacing w:after="0" w:line="18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Gaylord Rockies Loan is secured by a deed of trust lien on the Gaylord Rockies real estate and related assets. We have entered into limited repayment and carry guaranties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(ii) a completion guaranty in the event the expansion is pursued, and (iii) customary non-recourse carve-outs.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June 30, 2020, the Loan Parties entered into Amendment No. 1 (the “Loan Amendment”) to the Gaylord Rockies Loan, by and among the Loan Parties, Wells Fargo Bank, National Association, as administrative agent, and the lenders from time to time party thereto.</w:t>
      </w:r>
    </w:p>
    <w:p>
      <w:pPr>
        <w:spacing w:after="0" w:line="176" w:lineRule="exact"/>
        <w:rPr>
          <w:sz w:val="20"/>
          <w:szCs w:val="20"/>
          <w:color w:val="auto"/>
        </w:rPr>
      </w:pPr>
    </w:p>
    <w:p>
      <w:pPr>
        <w:jc w:val="both"/>
        <w:ind w:left="60" w:right="339"/>
        <w:spacing w:after="0" w:line="261" w:lineRule="auto"/>
        <w:rPr>
          <w:sz w:val="20"/>
          <w:szCs w:val="20"/>
          <w:color w:val="auto"/>
        </w:rPr>
      </w:pPr>
      <w:r>
        <w:rPr>
          <w:rFonts w:ascii="Times New Roman" w:cs="Times New Roman" w:eastAsia="Times New Roman" w:hAnsi="Times New Roman"/>
          <w:sz w:val="18"/>
          <w:szCs w:val="18"/>
          <w:color w:val="auto"/>
        </w:rPr>
        <w:t>The Loan Amendment modified the Gaylord Rockies Loan to (i) provide for the ability to use cash for certain purposes, even during a Cash Sweep Period (as defined in the Loan Agreement), which the Gaylord Rockies joint venture was in beginning in July 2020, (ii) extend the deadline for Hotel Owner to commence construction of an expansion to Gaylord Rockies, and (iii) provide favorable changes to the debt service coverage ratio provisions.</w:t>
      </w:r>
    </w:p>
    <w:p>
      <w:pPr>
        <w:spacing w:after="0" w:line="180" w:lineRule="exact"/>
        <w:rPr>
          <w:sz w:val="20"/>
          <w:szCs w:val="20"/>
          <w:color w:val="auto"/>
        </w:rPr>
      </w:pPr>
    </w:p>
    <w:p>
      <w:pPr>
        <w:jc w:val="both"/>
        <w:ind w:left="60" w:right="339"/>
        <w:spacing w:after="0" w:line="282" w:lineRule="auto"/>
        <w:rPr>
          <w:sz w:val="20"/>
          <w:szCs w:val="20"/>
          <w:color w:val="auto"/>
        </w:rPr>
      </w:pPr>
      <w:r>
        <w:rPr>
          <w:rFonts w:ascii="Times New Roman" w:cs="Times New Roman" w:eastAsia="Times New Roman" w:hAnsi="Times New Roman"/>
          <w:sz w:val="18"/>
          <w:szCs w:val="18"/>
          <w:color w:val="auto"/>
        </w:rPr>
        <w:t>The Loan Amendment includes restrictions on distributions to our subsidiaries that own Gaylord Rockies and requires a certain level of equity financing for a Gaylord Rockies expansion.</w:t>
      </w:r>
    </w:p>
    <w:p>
      <w:pPr>
        <w:spacing w:after="0" w:line="160"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i w:val="1"/>
          <w:iCs w:val="1"/>
          <w:color w:val="auto"/>
        </w:rPr>
        <w:t>OEG Credit Agreement</w:t>
      </w:r>
      <w:r>
        <w:rPr>
          <w:rFonts w:ascii="Times New Roman" w:cs="Times New Roman" w:eastAsia="Times New Roman" w:hAnsi="Times New Roman"/>
          <w:sz w:val="18"/>
          <w:szCs w:val="18"/>
          <w:color w:val="auto"/>
        </w:rPr>
        <w:t>. On June 16, 2022, OEG Borrower, LLC (“OEG Borrower”) and OEG Finance, LLC (“OEG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each a wholly owned direct or indirect subsidiary of OEG, entered into a credit agreement (the “OEG Credit Agreement”) among OEG Borrower, as borrower, OEG Finance, certain subsidiaries of OEG Borrower from time to time party thereto as guarantors, the lenders party thereto and JPMorgan Chase Bank, N.A., as administrative agent. The OEG Credit Agreement provides for (i) a senior secured term loan facility in the aggregate principal amount of $300.0 million (the “OEG Term Loan”) and (ii) a senior secured revolving credit facility in an aggregate principal amount not to exceed $65.0 million (the “OEG Revolver”). The OEG Term Loan matures on June 16, 2029 and the OEG Revolver matures on June 16, 2027. The OEG Term Loan bears interest at a rate equal to either, at OEG Borrower’s election, (i) the Alternate Base Rate plus 4.00% or (b) Adjusted Term SOFR plus 5.00% (all as specifically more described in the OEG Credit Agreement). The OEG Revolver bears interest at a rate equal to either, at OEG Borrower’s election, (i) the Alternate Base Rate plus 3.75% or (b) Adjusted Term SOFR plus 4.75%, which shall be subject to reduction in the applicable margin based upon OEG’s First Lien Leverage Ratio (all as specifically more described in the OEG Credit Agreement). The OEG Term Loan and OEG Revolver are each secured by substantially all of the assets of OEG Finance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and each of its subsidiaries (other than Block 21 and Circle, as more specifically described in the OEG Credit Agreement). The net proceeds we received from the OEG Term Loan were used to repay the outstanding balance of our existing $300 million Term Loan A. No revolving credit advances were made under the OEG Revolver at closing.</w:t>
      </w:r>
    </w:p>
    <w:p>
      <w:pPr>
        <w:spacing w:after="0" w:line="174"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i w:val="1"/>
          <w:iCs w:val="1"/>
          <w:color w:val="auto"/>
        </w:rPr>
        <w:t>Block 21 CMBS Loan</w:t>
      </w:r>
      <w:r>
        <w:rPr>
          <w:rFonts w:ascii="Times New Roman" w:cs="Times New Roman" w:eastAsia="Times New Roman" w:hAnsi="Times New Roman"/>
          <w:sz w:val="18"/>
          <w:szCs w:val="18"/>
          <w:color w:val="auto"/>
        </w:rPr>
        <w:t>. At the closing of the purchase of Block 21 on May 31, 2022, a subsidiary of the Company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$136 million, ten-year, non-recourse term loan secured by a mortgage on Block 21 (the “Block 21 CMBS Loan”). The Block 21 CMBS Loan has a fixed interest rate of 5.58% per annum, payable monthly, matures January 5, 2026, and payments are due monthly based on a 30-year amortization.</w:t>
      </w:r>
    </w:p>
    <w:p>
      <w:pPr>
        <w:spacing w:after="0" w:line="155"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Block 21 CMBS Loan contains customary financial covenants and other restrictions, including sponsor net worth and liquidity requirements, and debt service coverage ratio targets that Block 21 must meet in order to avoid a “Trigger Period,” the occurrence of which does not constitute a default. Block 21 was in a Trigger Period as of our purchase date. During the Trigger Period, any cash generated in excess of amounts necessary to fund loan obligations, budgeted operating expenses and specified reserves will not be distributed to Block 21.</w:t>
      </w:r>
    </w:p>
    <w:p>
      <w:pPr>
        <w:spacing w:after="0" w:line="181"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Additional Debt Limitations</w:t>
      </w:r>
      <w:r>
        <w:rPr>
          <w:rFonts w:ascii="Times New Roman" w:cs="Times New Roman" w:eastAsia="Times New Roman" w:hAnsi="Times New Roman"/>
          <w:sz w:val="18"/>
          <w:szCs w:val="18"/>
          <w:color w:val="auto"/>
        </w:rPr>
        <w:t>. Pursuant to the terms of the management agreements and pooling agreement with Marriott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Gaylord Hotels properties, excluding Gaylord Rockies, we are subject to certain debt limitations described below.</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720" w:right="35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encumbering the hotel shall be no greater than 75% of the fair market value of the hotel; and</w:t>
      </w:r>
    </w:p>
    <w:p>
      <w:pPr>
        <w:spacing w:after="0" w:line="134"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pooled limitations on Secured Debt (as defined in the pooling agreement) are as follows:</w:t>
      </w:r>
    </w:p>
    <w:p>
      <w:pPr>
        <w:spacing w:after="0" w:line="185" w:lineRule="exact"/>
        <w:rPr>
          <w:sz w:val="20"/>
          <w:szCs w:val="20"/>
          <w:color w:val="auto"/>
        </w:rPr>
      </w:pPr>
    </w:p>
    <w:p>
      <w:pPr>
        <w:ind w:left="720" w:right="19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on Pooled Hotels (as defined in the pooling agreement), shall be no more than 75% of the fair market value of Pooled Hotels.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pooling agreement) of Pooled Hotels in the</w:t>
      </w:r>
    </w:p>
    <w:p>
      <w:pPr>
        <w:spacing w:after="0" w:line="27" w:lineRule="exact"/>
        <w:rPr>
          <w:rFonts w:ascii="Times New Roman" w:cs="Times New Roman" w:eastAsia="Times New Roman" w:hAnsi="Times New Roman"/>
          <w:sz w:val="18"/>
          <w:szCs w:val="18"/>
          <w:color w:val="auto"/>
        </w:rPr>
      </w:pPr>
    </w:p>
    <w:p>
      <w:pPr>
        <w:ind w:left="720" w:right="2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prior to closing on any mortgage or mezzanine debt to (b) annual debt service for the Pooled Hotels, shall equal or exceed 1.2:1.</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is not a Pooled Hotel for this purpose.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Estimated Interest on Principal Debt Agreements</w:t>
      </w:r>
    </w:p>
    <w:p>
      <w:pPr>
        <w:spacing w:after="0" w:line="200"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Based on the stated interest rates on our fixed-rate debt and the rates in effect at June 30, 2022 for our variable-rate debt after considering interest rate swaps, our estimated interest obligations through 2026 are $446.2 million. These estimated obligations are $66.8 million for the remainder of 2022, $117.5 million in 2023, $93.2 million in 2024, $88.2 million in 2025, and $80.5 million in 2026.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2021 for a discussion of the interest we paid during 2021, 2020 and 2019.</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187" w:lineRule="exact"/>
        <w:rPr>
          <w:sz w:val="20"/>
          <w:szCs w:val="20"/>
          <w:color w:val="auto"/>
        </w:rPr>
      </w:pPr>
    </w:p>
    <w:p>
      <w:pPr>
        <w:ind w:left="60" w:right="359"/>
        <w:spacing w:after="0" w:line="277" w:lineRule="auto"/>
        <w:rPr>
          <w:sz w:val="20"/>
          <w:szCs w:val="20"/>
          <w:color w:val="auto"/>
        </w:rPr>
      </w:pPr>
      <w:r>
        <w:rPr>
          <w:rFonts w:ascii="Times New Roman" w:cs="Times New Roman" w:eastAsia="Times New Roman" w:hAnsi="Times New Roman"/>
          <w:sz w:val="17"/>
          <w:szCs w:val="17"/>
          <w:color w:val="auto"/>
        </w:rPr>
        <w:t>The Company’s $600 Million 4.50% Senior Notes and $700 Million 4.75% Senior Notes were each issued by the Operating Partnership and RHP Finance Corporation, a Delaware corporation (collectively, the “Issuers”), and are guaranteed on a senior unsecured basis by the Company (as the parent company), each of the Operating Partnership’s subsidiaries that own the Gaylord Hotels properties, excluding Gaylord Rockies, and certain other of the Company’s subsidiaries, each of which also guarantees the Operating Partnership’s Credit Agreement, as amended (such subsidiary</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 Company’s $600 Million 4.50% Senior Notes and $700 Million 4.75% Senior Notes, and the guarantees are structurally subordinated to all indebtedness and other obligations of such subsidiaries that have not guaranteed the Company’s $600 Million 4.50% Senior Notes and $700 Million 4.75% Senior Notes.</w:t>
      </w:r>
    </w:p>
    <w:p>
      <w:pPr>
        <w:spacing w:after="0" w:line="162"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Issuers and the Guarantors on a combined basis. The intercompany balances and transactions between these parties, as well as any investments in or equity in earnings from non-guarantor subsidiaries, have been eliminated (amounts in thousands).</w:t>
      </w:r>
    </w:p>
    <w:p>
      <w:pPr>
        <w:spacing w:after="0" w:line="13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payables due to non-guarantor subsidiaries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1,789,650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Total noncontrolling interest</w:t>
            </w:r>
          </w:p>
        </w:tc>
        <w:tc>
          <w:tcPr>
            <w:tcW w:w="9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14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third-parties</w:t>
            </w:r>
          </w:p>
        </w:tc>
        <w:tc>
          <w:tcPr>
            <w:tcW w:w="9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(excluding expenses to non-guarantor subsidiaries)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Expenses to non-guarantor subsidiaries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non-guarantor subsidiaries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credit losses on financial assets, stock-based compensation, derivative financial instruments, depreciation and amortization, income taxes, pension plans,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2021. There were no newly identified critical accounting policies in the first six months of 2022, nor were there any material changes to the critical accounting policies and estimates discussed in our Annual Report on Form 10-K for the year ended December 31, 2021.</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At June 30, 2022, borrowings under the OEG Term Loan bore interest at an annual rate of SOFR plus 5.00%. If SOFR were to increase by 100 basis points, our annual interest cost on the $300.0 million in borrowings outstanding under the OEG Term Loan at June 30, 2022 would increase by approximately $3.0 million.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Other than the above, there have been no material changes in our quantitative and qualitative market risks since December 31, 2021. For a discussion of the Company’s exposure to market risk, refer to the Company’s market risk disclosures set forth in Part II, Item 7A. “Quantitative and Qualitative Disclosures About Market Risk” of the Company’s Annual Report on Form 10-K for the year ended December 31, 2021.</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54"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11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On May 31, 2022, we acquired Block 21 through a business combination. We are currently in the process of assessing Block 21’s internal control over financial reporting and integrating Block 21’s internal control over financial reporting with our existing internal control over financial reporting. As permitted by SEC regulations, we intend to exclude Block 21 from our assessment of internal control over financial reporting as of December 31, 2022 since we acquired Block 21 in May 2022.</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is a party to certain litigation in the ordinary course, as described in Note 15, “Commitments and Contingencies,” to our condensed consolidated financial statements included herein and which our management deems will not have a material effect on our financial statements.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Except as otherwise described herein, there have been no material changes from the risk factors disclosed in Part I, Item 1A, “Risk Factors,” of our Annual Report on Form 10-K for the fiscal year ended December 31, 2021.</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intended long-term economic benefits of the OEG Transaction or the Block 21 Acquisition.</w:t>
      </w:r>
    </w:p>
    <w:p>
      <w:pPr>
        <w:spacing w:after="0" w:line="18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An inability to realize the full extent of the anticipated long-term economic benefits of the OEG Transaction or the Block 21 Acquisition could have an adverse effect on our business, financial condition, results of operations and our public reputation.</w:t>
      </w:r>
    </w:p>
    <w:p>
      <w:pPr>
        <w:spacing w:after="0" w:line="131"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the operations of our Entertainment segment through OEG and our ownership is subject to the terms of agreements with Atairos. Any disagreement with Atairos may adversely affect our interest in OEG.</w:t>
      </w:r>
    </w:p>
    <w:p>
      <w:pPr>
        <w:spacing w:after="0" w:line="132"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The limited liability company agreement for OEG gives Atairos certain rights, including consent rights regarding certain major decisions, which may limit our flexibility with respect to OEG. Atairos may have economic or other business interests or goals which are inconsistent with ours, and we could become engaged in a dispute or disagreement with them that might affect our ability to develop or operate the Entertainment business in any manner in which we see fit, thereby adversely affecting our ownership interest in OEG.</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gridSpan w:val="15"/>
          </w:tcPr>
          <w:p>
            <w:pPr>
              <w:ind w:left="82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64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Amended and Restated Certificate of Incorporation of Ryman Hospitality Properties, Inc.</w:t>
              </w:r>
            </w:hyperlink>
          </w:p>
        </w:tc>
        <w:tc>
          <w:tcPr>
            <w:tcW w:w="1000" w:type="dxa"/>
            <w:vAlign w:val="bottom"/>
            <w:gridSpan w:val="1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20"/>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(incorporated by reference to Exhibit 3.1 to the Company’s Current Report on Form 8-K filed</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October 1, 2012).</w:t>
              </w:r>
            </w:hyperlink>
          </w:p>
        </w:tc>
        <w:tc>
          <w:tcPr>
            <w:tcW w:w="5460" w:type="dxa"/>
            <w:vAlign w:val="bottom"/>
            <w:tcBorders>
              <w:top w:val="single" w:sz="8" w:color="0000EE"/>
            </w:tcBorders>
            <w:gridSpan w:val="6"/>
          </w:tcPr>
          <w:p>
            <w:pPr>
              <w:spacing w:after="0"/>
              <w:rPr>
                <w:sz w:val="17"/>
                <w:szCs w:val="17"/>
                <w:color w:val="auto"/>
              </w:rPr>
            </w:pPr>
          </w:p>
        </w:tc>
        <w:tc>
          <w:tcPr>
            <w:tcW w:w="700" w:type="dxa"/>
            <w:vAlign w:val="bottom"/>
            <w:gridSpan w:val="12"/>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7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Amended and Restated Bylaws of Ryman Hospitality Properties, Inc. (incorporated by reference to</w:t>
              </w:r>
            </w:hyperlink>
          </w:p>
        </w:tc>
        <w:tc>
          <w:tcPr>
            <w:tcW w:w="30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20"/>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Exhibit 3.2 to the Company’s Current Report on Form 8-K filed October 1, 2012).</w:t>
              </w:r>
            </w:hyperlink>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69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Investment Agreement, dated as of April 4, 2022, by and among the Company, OEG Attractions</w:t>
              </w:r>
            </w:hyperlink>
          </w:p>
        </w:tc>
        <w:tc>
          <w:tcPr>
            <w:tcW w:w="480" w:type="dxa"/>
            <w:vAlign w:val="bottom"/>
            <w:gridSpan w:val="9"/>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Holdings, LLC, RHP Hotels, LLC, RHP Hotel Properties, LP, A-OEG Holdings, LLC and Atairos</w:t>
              </w:r>
            </w:hyperlink>
          </w:p>
        </w:tc>
        <w:tc>
          <w:tcPr>
            <w:tcW w:w="340" w:type="dxa"/>
            <w:vAlign w:val="bottom"/>
            <w:gridSpan w:val="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Group, Inc. (incorporated by reference to Exhibit 10.1 to the Company’s Current Report on Form 8-K</w:t>
              </w:r>
            </w:hyperlink>
          </w:p>
        </w:tc>
        <w:tc>
          <w:tcPr>
            <w:tcW w:w="10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filed April 5, 2022).</w:t>
              </w:r>
            </w:hyperlink>
          </w:p>
        </w:tc>
        <w:tc>
          <w:tcPr>
            <w:tcW w:w="5980" w:type="dxa"/>
            <w:vAlign w:val="bottom"/>
            <w:gridSpan w:val="17"/>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72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First Amendment to Investment Agreement, dated as of May 26, 2022, by and among the Company,</w:t>
            </w:r>
          </w:p>
        </w:tc>
        <w:tc>
          <w:tcPr>
            <w:tcW w:w="22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OEG Attractions Holdings, LLC, RHP Hotels, LLC, RHP Hotel Properties, LP, A-OEG Holdings,</w:t>
            </w:r>
          </w:p>
        </w:tc>
        <w:tc>
          <w:tcPr>
            <w:tcW w:w="36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LLC and Atairos Group, Inc.</w:t>
            </w:r>
          </w:p>
        </w:tc>
        <w:tc>
          <w:tcPr>
            <w:tcW w:w="5340" w:type="dxa"/>
            <w:vAlign w:val="bottom"/>
            <w:gridSpan w:val="16"/>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74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Second Amendment to Investment Agreement, dated as of June 15, 2022, by and among the Company,</w:t>
            </w:r>
          </w:p>
        </w:tc>
        <w:tc>
          <w:tcPr>
            <w:tcW w:w="2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OEG Attractions Holdings, LLC, RHP Hotels, LLC, RHP Hotel Properties, LP, A-OEG Holdings,</w:t>
            </w:r>
          </w:p>
        </w:tc>
        <w:tc>
          <w:tcPr>
            <w:tcW w:w="36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LLC and Atairos Group, Inc.</w:t>
            </w:r>
          </w:p>
        </w:tc>
        <w:tc>
          <w:tcPr>
            <w:tcW w:w="5340" w:type="dxa"/>
            <w:vAlign w:val="bottom"/>
            <w:gridSpan w:val="16"/>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440" w:type="dxa"/>
            <w:vAlign w:val="bottom"/>
            <w:gridSpan w:val="20"/>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Second Amended and Restated Limited Liability Company Agreement for OEG Attractions Holdings,</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LLC dated June 16, 2022 (incorporated by reference to Exhibit 10.1 to the Company’s Current Report</w:t>
              </w:r>
            </w:hyperlink>
          </w:p>
        </w:tc>
        <w:tc>
          <w:tcPr>
            <w:tcW w:w="6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on Form 8-K filed June 16, 2022).</w:t>
              </w:r>
            </w:hyperlink>
          </w:p>
        </w:tc>
        <w:tc>
          <w:tcPr>
            <w:tcW w:w="4860" w:type="dxa"/>
            <w:vAlign w:val="bottom"/>
            <w:tcBorders>
              <w:top w:val="single" w:sz="8" w:color="0000EE"/>
            </w:tcBorders>
            <w:gridSpan w:val="12"/>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4"/>
                <w:szCs w:val="24"/>
                <w:color w:val="auto"/>
              </w:rPr>
            </w:pPr>
          </w:p>
        </w:tc>
        <w:tc>
          <w:tcPr>
            <w:tcW w:w="69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Amendment No. 5 to Sixth Amended and Restated Credit Agreement, dated as of April 4, 2022,</w:t>
              </w:r>
            </w:hyperlink>
          </w:p>
        </w:tc>
        <w:tc>
          <w:tcPr>
            <w:tcW w:w="500" w:type="dxa"/>
            <w:vAlign w:val="bottom"/>
            <w:gridSpan w:val="10"/>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20"/>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among Ryman Hospitality Properties, Inc., as guarantor, RHP Hotel Properties, LP, as borrower,</w:t>
              </w:r>
            </w:hyperlink>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20" w:type="dxa"/>
            <w:vAlign w:val="bottom"/>
            <w:gridSpan w:val="9"/>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certain other subsidiary of Ryman Hospitality Properties, Inc. party thereto, as guarantors, certain</w:t>
              </w:r>
            </w:hyperlink>
          </w:p>
        </w:tc>
        <w:tc>
          <w:tcPr>
            <w:tcW w:w="420" w:type="dxa"/>
            <w:vAlign w:val="bottom"/>
            <w:gridSpan w:val="8"/>
          </w:tcPr>
          <w:p>
            <w:pPr>
              <w:spacing w:after="0"/>
              <w:rPr>
                <w:sz w:val="17"/>
                <w:szCs w:val="17"/>
                <w:color w:val="auto"/>
              </w:rPr>
            </w:pPr>
          </w:p>
        </w:tc>
      </w:tr>
    </w:tbl>
    <w:p>
      <w:pPr>
        <w:spacing w:after="0" w:line="9" w:lineRule="exact"/>
        <w:rPr>
          <w:sz w:val="20"/>
          <w:szCs w:val="20"/>
          <w:color w:val="auto"/>
        </w:rPr>
      </w:pPr>
    </w:p>
    <w:p>
      <w:pPr>
        <w:ind w:left="1520" w:right="199"/>
        <w:spacing w:after="0" w:line="266" w:lineRule="auto"/>
        <w:rPr>
          <w:rFonts w:ascii="Times New Roman" w:cs="Times New Roman" w:eastAsia="Times New Roman" w:hAnsi="Times New Roman"/>
          <w:sz w:val="18"/>
          <w:szCs w:val="18"/>
          <w:u w:val="single" w:color="auto"/>
          <w:color w:val="0000EE"/>
        </w:rPr>
      </w:pPr>
      <w:hyperlink r:id="rId61">
        <w:r>
          <w:rPr>
            <w:rFonts w:ascii="Times New Roman" w:cs="Times New Roman" w:eastAsia="Times New Roman" w:hAnsi="Times New Roman"/>
            <w:sz w:val="18"/>
            <w:szCs w:val="18"/>
            <w:u w:val="single" w:color="auto"/>
            <w:color w:val="0000EE"/>
          </w:rPr>
          <w:t>subsidiaries of Ryman Hospitality Properties, Inc. party thereto, as pledgors, the lenders party thereto</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and Wells Fargo Bank, National Association, as administrative agent (incorporated by reference to</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Exhibit 10.3 to the Company’s Current Report on Form 8-K filed April 5, 2022).</w:t>
        </w:r>
      </w:hyperlink>
    </w:p>
    <w:p>
      <w:pPr>
        <w:spacing w:after="0" w:line="176" w:lineRule="exact"/>
        <w:rPr>
          <w:rFonts w:ascii="Times New Roman" w:cs="Times New Roman" w:eastAsia="Times New Roman" w:hAnsi="Times New Roman"/>
          <w:sz w:val="18"/>
          <w:szCs w:val="18"/>
          <w:u w:val="single" w:color="auto"/>
          <w:color w:val="0000EE"/>
        </w:rPr>
      </w:pPr>
    </w:p>
    <w:p>
      <w:pPr>
        <w:ind w:left="1520" w:right="299" w:hanging="978"/>
        <w:spacing w:after="0" w:line="312" w:lineRule="auto"/>
        <w:tabs>
          <w:tab w:leader="none" w:pos="1520" w:val="left"/>
        </w:tabs>
        <w:numPr>
          <w:ilvl w:val="0"/>
          <w:numId w:val="25"/>
        </w:numPr>
        <w:rPr>
          <w:rFonts w:ascii="Times New Roman" w:cs="Times New Roman" w:eastAsia="Times New Roman" w:hAnsi="Times New Roman"/>
          <w:sz w:val="17"/>
          <w:szCs w:val="17"/>
          <w:u w:val="single" w:color="auto"/>
          <w:color w:val="0000EE"/>
        </w:rPr>
      </w:pPr>
      <w:hyperlink r:id="rId62">
        <w:r>
          <w:rPr>
            <w:rFonts w:ascii="Times New Roman" w:cs="Times New Roman" w:eastAsia="Times New Roman" w:hAnsi="Times New Roman"/>
            <w:sz w:val="17"/>
            <w:szCs w:val="17"/>
            <w:u w:val="single" w:color="auto"/>
            <w:color w:val="0000EE"/>
          </w:rPr>
          <w:t>List of Parent and Subsidiary Guarantors (incorporated by reference to Exhibit 22 to the Company’s</w:t>
        </w:r>
      </w:hyperlink>
      <w:r>
        <w:rPr>
          <w:rFonts w:ascii="Times New Roman" w:cs="Times New Roman" w:eastAsia="Times New Roman" w:hAnsi="Times New Roman"/>
          <w:sz w:val="17"/>
          <w:szCs w:val="17"/>
          <w:u w:val="single" w:color="auto"/>
          <w:color w:val="0000EE"/>
        </w:rPr>
        <w:t xml:space="preserve"> </w:t>
      </w:r>
      <w:hyperlink r:id="rId62">
        <w:r>
          <w:rPr>
            <w:rFonts w:ascii="Times New Roman" w:cs="Times New Roman" w:eastAsia="Times New Roman" w:hAnsi="Times New Roman"/>
            <w:sz w:val="17"/>
            <w:szCs w:val="17"/>
            <w:u w:val="single" w:color="auto"/>
            <w:color w:val="0000EE"/>
          </w:rPr>
          <w:t>Annual Report on Form 10-K for the year ended December 31, 2021, filed February 25, 2022).</w:t>
        </w:r>
      </w:hyperlink>
    </w:p>
    <w:p>
      <w:pPr>
        <w:spacing w:after="0" w:line="140" w:lineRule="exact"/>
        <w:rPr>
          <w:rFonts w:ascii="Times New Roman" w:cs="Times New Roman" w:eastAsia="Times New Roman" w:hAnsi="Times New Roman"/>
          <w:sz w:val="17"/>
          <w:szCs w:val="17"/>
          <w:color w:val="auto"/>
        </w:rPr>
      </w:pPr>
    </w:p>
    <w:p>
      <w:pPr>
        <w:ind w:left="540"/>
        <w:spacing w:after="0"/>
        <w:tabs>
          <w:tab w:leader="none" w:pos="15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Colin V. Reed pursuant to Section 302 of Sarbanes-Oxley Act of 2002.</w:t>
      </w:r>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7"/>
          <w:szCs w:val="17"/>
          <w:color w:val="auto"/>
        </w:rPr>
      </w:pPr>
    </w:p>
    <w:p>
      <w:pPr>
        <w:spacing w:after="0" w:line="241"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Jennifer Hutcheson pursuant to Section 302 of Sarbanes-Oxley Act of 2002.</w:t>
            </w:r>
          </w:p>
        </w:tc>
        <w:tc>
          <w:tcPr>
            <w:tcW w:w="760" w:type="dxa"/>
            <w:vAlign w:val="bottom"/>
            <w:gridSpan w:val="2"/>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3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Colin V. Reed and Jennifer Hutcheson pursuant to 18 U.S.C. Section 1350, as adopted</w:t>
            </w:r>
          </w:p>
        </w:tc>
        <w:tc>
          <w:tcPr>
            <w:tcW w:w="4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4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Sarbanes-Oxley Act of 2002.</w:t>
            </w:r>
          </w:p>
        </w:tc>
      </w:tr>
      <w:tr>
        <w:trPr>
          <w:trHeight w:val="20"/>
        </w:trPr>
        <w:tc>
          <w:tcPr>
            <w:tcW w:w="98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r>
      <w:tr>
        <w:trPr>
          <w:trHeight w:val="4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following materials from Ryman Hospitality Properties, Inc.’s Quarterly Report on Form 10-Q for</w:t>
            </w:r>
          </w:p>
        </w:tc>
      </w:tr>
      <w:tr>
        <w:trPr>
          <w:trHeight w:val="216"/>
        </w:trPr>
        <w:tc>
          <w:tcPr>
            <w:tcW w:w="98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quarterly period ended June 30, 2022, formatted in Inline XBRL (eXtensible Business Reporting</w:t>
            </w:r>
          </w:p>
        </w:tc>
      </w:tr>
      <w:tr>
        <w:trPr>
          <w:trHeight w:val="216"/>
        </w:trPr>
        <w:tc>
          <w:tcPr>
            <w:tcW w:w="98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Language): (i) Condensed Consolidated Balance Sheets (unaudited) at June 30, 2022 and</w:t>
            </w:r>
          </w:p>
        </w:tc>
      </w:tr>
      <w:tr>
        <w:trPr>
          <w:trHeight w:val="216"/>
        </w:trPr>
        <w:tc>
          <w:tcPr>
            <w:tcW w:w="98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2021, (ii) Condensed Consolidated Statements of Operations and Comprehensive</w:t>
            </w:r>
          </w:p>
        </w:tc>
      </w:tr>
      <w:tr>
        <w:trPr>
          <w:trHeight w:val="216"/>
        </w:trPr>
        <w:tc>
          <w:tcPr>
            <w:tcW w:w="98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(Loss) (unaudited) for the three months and six months ended June 30, 2022 and 2021,</w:t>
            </w:r>
          </w:p>
        </w:tc>
      </w:tr>
      <w:tr>
        <w:trPr>
          <w:trHeight w:val="216"/>
        </w:trPr>
        <w:tc>
          <w:tcPr>
            <w:tcW w:w="98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(iii) Condensed Consolidated Statements of Cash Flows (unaudited) for the six months ended June 30,</w:t>
            </w:r>
          </w:p>
        </w:tc>
      </w:tr>
      <w:tr>
        <w:trPr>
          <w:trHeight w:val="216"/>
        </w:trPr>
        <w:tc>
          <w:tcPr>
            <w:tcW w:w="98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2022 and 2021, (iv) Condensed Consolidated Statements of Equity (Deficit) (unaudited) for the three</w:t>
            </w:r>
          </w:p>
        </w:tc>
      </w:tr>
      <w:tr>
        <w:trPr>
          <w:trHeight w:val="216"/>
        </w:trPr>
        <w:tc>
          <w:tcPr>
            <w:tcW w:w="98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months and six months ended June 30, 2022 and 2021, and (v) Notes to Condensed Consolidated</w:t>
            </w:r>
          </w:p>
        </w:tc>
      </w:tr>
      <w:tr>
        <w:trPr>
          <w:trHeight w:val="234"/>
        </w:trPr>
        <w:tc>
          <w:tcPr>
            <w:tcW w:w="980" w:type="dxa"/>
            <w:vAlign w:val="bottom"/>
          </w:tcPr>
          <w:p>
            <w:pPr>
              <w:spacing w:after="0"/>
              <w:rPr>
                <w:sz w:val="20"/>
                <w:szCs w:val="20"/>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60" w:hanging="310"/>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58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2022</w:t>
            </w:r>
          </w:p>
        </w:tc>
        <w:tc>
          <w:tcPr>
            <w:tcW w:w="58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By:/s/ Colin V. Reed</w:t>
            </w:r>
          </w:p>
        </w:tc>
      </w:tr>
      <w:tr>
        <w:trPr>
          <w:trHeight w:val="191"/>
        </w:trPr>
        <w:tc>
          <w:tcPr>
            <w:tcW w:w="3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Colin V. Reed</w:t>
            </w:r>
          </w:p>
        </w:tc>
      </w:tr>
      <w:tr>
        <w:trPr>
          <w:trHeight w:val="216"/>
        </w:trPr>
        <w:tc>
          <w:tcPr>
            <w:tcW w:w="3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of the Board of Directors and</w:t>
            </w:r>
          </w:p>
        </w:tc>
      </w:tr>
      <w:tr>
        <w:trPr>
          <w:trHeight w:val="234"/>
        </w:trPr>
        <w:tc>
          <w:tcPr>
            <w:tcW w:w="3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040" w:type="dxa"/>
            <w:vAlign w:val="bottom"/>
          </w:tcPr>
          <w:p>
            <w:pPr>
              <w:spacing w:after="0"/>
              <w:rPr>
                <w:sz w:val="24"/>
                <w:szCs w:val="24"/>
                <w:color w:val="auto"/>
              </w:rPr>
            </w:pPr>
          </w:p>
        </w:tc>
        <w:tc>
          <w:tcPr>
            <w:tcW w:w="58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By:/s/ Jennifer Hutcheson</w:t>
            </w:r>
          </w:p>
        </w:tc>
      </w:tr>
      <w:tr>
        <w:trPr>
          <w:trHeight w:val="191"/>
        </w:trPr>
        <w:tc>
          <w:tcPr>
            <w:tcW w:w="3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r>
      <w:tr>
        <w:trPr>
          <w:trHeight w:val="216"/>
        </w:trPr>
        <w:tc>
          <w:tcPr>
            <w:tcW w:w="3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Financial</w:t>
            </w:r>
          </w:p>
        </w:tc>
      </w:tr>
      <w:tr>
        <w:trPr>
          <w:trHeight w:val="234"/>
        </w:trPr>
        <w:tc>
          <w:tcPr>
            <w:tcW w:w="3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jc w:val="right"/>
        <w:ind w:right="219"/>
        <w:spacing w:after="0"/>
        <w:rPr>
          <w:sz w:val="20"/>
          <w:szCs w:val="20"/>
          <w:color w:val="auto"/>
        </w:rPr>
      </w:pPr>
      <w:r>
        <w:rPr>
          <w:rFonts w:ascii="Times New Roman" w:cs="Times New Roman" w:eastAsia="Times New Roman" w:hAnsi="Times New Roman"/>
          <w:sz w:val="22"/>
          <w:szCs w:val="22"/>
          <w:color w:val="auto"/>
        </w:rPr>
        <w:t>Exhibit 10.2</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FIRST AMENDMENT TO INVESTMENT AGREEMENT</w:t>
      </w:r>
    </w:p>
    <w:p>
      <w:pPr>
        <w:spacing w:after="0" w:line="22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This FIRST AMENDMENT TO INVESTMENT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May 31, 2022, is by and among OEG Attractions Holdings, LLC (f/k/a RHP Operations and Attractions Holdings,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RHP Hotels, LLC, a Delaware limited liability company (the “</w:t>
      </w:r>
      <w:r>
        <w:rPr>
          <w:rFonts w:ascii="Times New Roman" w:cs="Times New Roman" w:eastAsia="Times New Roman" w:hAnsi="Times New Roman"/>
          <w:sz w:val="22"/>
          <w:szCs w:val="22"/>
          <w:u w:val="single" w:color="auto"/>
          <w:color w:val="auto"/>
        </w:rPr>
        <w:t>RHP Member</w:t>
      </w:r>
      <w:r>
        <w:rPr>
          <w:rFonts w:ascii="Times New Roman" w:cs="Times New Roman" w:eastAsia="Times New Roman" w:hAnsi="Times New Roman"/>
          <w:sz w:val="22"/>
          <w:szCs w:val="22"/>
          <w:color w:val="auto"/>
        </w:rPr>
        <w:t>”), RHP Hotel Properties, LP, a Delaware limited partnership (the “</w:t>
      </w:r>
      <w:r>
        <w:rPr>
          <w:rFonts w:ascii="Times New Roman" w:cs="Times New Roman" w:eastAsia="Times New Roman" w:hAnsi="Times New Roman"/>
          <w:sz w:val="22"/>
          <w:szCs w:val="22"/>
          <w:u w:val="single" w:color="auto"/>
          <w:color w:val="auto"/>
        </w:rPr>
        <w:t>RHP Operating Partnership</w:t>
      </w:r>
      <w:r>
        <w:rPr>
          <w:rFonts w:ascii="Times New Roman" w:cs="Times New Roman" w:eastAsia="Times New Roman" w:hAnsi="Times New Roman"/>
          <w:sz w:val="22"/>
          <w:szCs w:val="22"/>
          <w:color w:val="auto"/>
        </w:rPr>
        <w:t>” and together with the Company and the RHP Member, the “</w:t>
      </w:r>
      <w:r>
        <w:rPr>
          <w:rFonts w:ascii="Times New Roman" w:cs="Times New Roman" w:eastAsia="Times New Roman" w:hAnsi="Times New Roman"/>
          <w:sz w:val="22"/>
          <w:szCs w:val="22"/>
          <w:u w:val="single" w:color="auto"/>
          <w:color w:val="auto"/>
        </w:rPr>
        <w:t>RHP Parties</w:t>
      </w:r>
      <w:r>
        <w:rPr>
          <w:rFonts w:ascii="Times New Roman" w:cs="Times New Roman" w:eastAsia="Times New Roman" w:hAnsi="Times New Roman"/>
          <w:sz w:val="22"/>
          <w:szCs w:val="22"/>
          <w:color w:val="auto"/>
        </w:rPr>
        <w:t>”), A-OEG Holdings, LLC, a Delaware limited liability company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and Atairos Group, Inc., a Cayman Islands exempted company (“</w:t>
      </w:r>
      <w:r>
        <w:rPr>
          <w:rFonts w:ascii="Times New Roman" w:cs="Times New Roman" w:eastAsia="Times New Roman" w:hAnsi="Times New Roman"/>
          <w:sz w:val="22"/>
          <w:szCs w:val="22"/>
          <w:u w:val="single" w:color="auto"/>
          <w:color w:val="auto"/>
        </w:rPr>
        <w:t>Purchaser Guarantor</w:t>
      </w:r>
      <w:r>
        <w:rPr>
          <w:rFonts w:ascii="Times New Roman" w:cs="Times New Roman" w:eastAsia="Times New Roman" w:hAnsi="Times New Roman"/>
          <w:sz w:val="22"/>
          <w:szCs w:val="22"/>
          <w:color w:val="auto"/>
        </w:rPr>
        <w:t xml:space="preserve">”), and solely for the limited purpose of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8.2(c)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10.12(b)</w:t>
      </w:r>
      <w:r>
        <w:rPr>
          <w:rFonts w:ascii="Times New Roman" w:cs="Times New Roman" w:eastAsia="Times New Roman" w:hAnsi="Times New Roman"/>
          <w:sz w:val="22"/>
          <w:szCs w:val="22"/>
          <w:color w:val="auto"/>
        </w:rPr>
        <w:t xml:space="preserve"> and for no other purpose, Ryman Hospitality Properties, Inc., a Delaware corporation and ultimate parent of the Company, the RHP Member and the RHP Operating Partnership (“</w:t>
      </w:r>
      <w:r>
        <w:rPr>
          <w:rFonts w:ascii="Times New Roman" w:cs="Times New Roman" w:eastAsia="Times New Roman" w:hAnsi="Times New Roman"/>
          <w:sz w:val="22"/>
          <w:szCs w:val="22"/>
          <w:u w:val="single" w:color="auto"/>
          <w:color w:val="auto"/>
        </w:rPr>
        <w:t>Ultimate Parent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left="200" w:right="239" w:firstLine="657"/>
        <w:spacing w:after="0" w:line="256" w:lineRule="auto"/>
        <w:tabs>
          <w:tab w:leader="none" w:pos="14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desire to amend that certain Investment Agreement, dated as of April 4, 2022, between and among the RHP Parties, Purchaser, Purchaser Guarantor (for certain limited purposes) and Ultimate Parent (for certain limited purposes)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on the terms set forth below,</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4"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21"/>
          <w:szCs w:val="21"/>
          <w:color w:val="auto"/>
        </w:rPr>
        <w:t>NOW, THEREFORE, in consideration of the foregoing and the mutual covenants and agreements hereinafter set forth, the parties, intended to be legally bound, hereby agree as follows:</w:t>
      </w:r>
    </w:p>
    <w:p>
      <w:pPr>
        <w:spacing w:after="0" w:line="135" w:lineRule="exact"/>
        <w:rPr>
          <w:sz w:val="20"/>
          <w:szCs w:val="20"/>
          <w:color w:val="auto"/>
        </w:rPr>
      </w:pPr>
    </w:p>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Amendments to LLC Agreement</w:t>
      </w:r>
      <w:r>
        <w:rPr>
          <w:rFonts w:ascii="Times New Roman" w:cs="Times New Roman" w:eastAsia="Times New Roman" w:hAnsi="Times New Roman"/>
          <w:sz w:val="22"/>
          <w:szCs w:val="22"/>
          <w:color w:val="auto"/>
        </w:rPr>
        <w:t>. The LLC Agreement attached as Exhibit C to the Agreement shall be amended and modified as follows:</w:t>
      </w:r>
    </w:p>
    <w:p>
      <w:pPr>
        <w:spacing w:after="0" w:line="158" w:lineRule="exact"/>
        <w:rPr>
          <w:sz w:val="20"/>
          <w:szCs w:val="20"/>
          <w:color w:val="auto"/>
        </w:rPr>
      </w:pPr>
    </w:p>
    <w:p>
      <w:pPr>
        <w:ind w:left="1500" w:right="239" w:hanging="643"/>
        <w:spacing w:after="0" w:line="271" w:lineRule="auto"/>
        <w:tabs>
          <w:tab w:leader="none" w:pos="15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C. Item (3)</w:t>
      </w:r>
      <w:r>
        <w:rPr>
          <w:rFonts w:ascii="Times New Roman" w:cs="Times New Roman" w:eastAsia="Times New Roman" w:hAnsi="Times New Roman"/>
          <w:sz w:val="22"/>
          <w:szCs w:val="22"/>
          <w:color w:val="auto"/>
        </w:rPr>
        <w:t>. The Major Decision listed in Item (3) shall be amended and restated as follows:</w:t>
      </w:r>
    </w:p>
    <w:p>
      <w:pPr>
        <w:spacing w:after="0" w:line="211" w:lineRule="exact"/>
        <w:rPr>
          <w:rFonts w:ascii="Times New Roman" w:cs="Times New Roman" w:eastAsia="Times New Roman" w:hAnsi="Times New Roman"/>
          <w:sz w:val="22"/>
          <w:szCs w:val="22"/>
          <w:color w:val="auto"/>
        </w:rPr>
      </w:pPr>
    </w:p>
    <w:p>
      <w:pPr>
        <w:jc w:val="both"/>
        <w:ind w:left="1500" w:right="859"/>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“Creating, obtaining, incurring, assuming, extending, refinancing or guarantying any indebtedness, including any refinancing of or amendment to the Company Credit Facility (as defined in Schedule D), other than any indebtedness that is in conformity with the Permitted Refinancing Terms (it being understood that Debt-Like Preferred Equity of the Company or any of its subsidiaries shall constitute indebtedness for these purposes). Notwithstanding the foregoing, for so long as the Block 21 Loan (as defined in Schedule D) remains outstanding, Investor Member approval under this Item (3) or any other provision of this Agreement will not be required for the refinancing the Block 21 Loan (but upon the completion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480060</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3" w:name="page54"/>
    <w:bookmarkEnd w:id="53"/>
    <w:p>
      <w:pPr>
        <w:ind w:left="1500" w:right="859"/>
        <w:spacing w:after="0" w:line="271" w:lineRule="auto"/>
        <w:rPr>
          <w:sz w:val="20"/>
          <w:szCs w:val="20"/>
          <w:color w:val="auto"/>
        </w:rPr>
      </w:pPr>
      <w:r>
        <w:rPr>
          <w:rFonts w:ascii="Times New Roman" w:cs="Times New Roman" w:eastAsia="Times New Roman" w:hAnsi="Times New Roman"/>
          <w:sz w:val="22"/>
          <w:szCs w:val="22"/>
          <w:color w:val="auto"/>
        </w:rPr>
        <w:t>refinancing, in whatever form, the Block 21 Loan will no longer be deemed to outstanding for any purpose of this Schedule C).”</w:t>
      </w:r>
    </w:p>
    <w:p>
      <w:pPr>
        <w:spacing w:after="0" w:line="225" w:lineRule="exact"/>
        <w:rPr>
          <w:sz w:val="20"/>
          <w:szCs w:val="20"/>
          <w:color w:val="auto"/>
        </w:rPr>
      </w:pPr>
    </w:p>
    <w:p>
      <w:pPr>
        <w:ind w:left="1500" w:right="239" w:hanging="643"/>
        <w:spacing w:after="0" w:line="271" w:lineRule="auto"/>
        <w:tabs>
          <w:tab w:leader="none" w:pos="15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C. Item (4)</w:t>
      </w:r>
      <w:r>
        <w:rPr>
          <w:rFonts w:ascii="Times New Roman" w:cs="Times New Roman" w:eastAsia="Times New Roman" w:hAnsi="Times New Roman"/>
          <w:sz w:val="22"/>
          <w:szCs w:val="22"/>
          <w:color w:val="auto"/>
        </w:rPr>
        <w:t>. Clause (iii) of the Major Decision listed in Item (4) shall be amended and restated as follows:</w:t>
      </w:r>
    </w:p>
    <w:p>
      <w:pPr>
        <w:spacing w:after="0" w:line="211" w:lineRule="exact"/>
        <w:rPr>
          <w:rFonts w:ascii="Times New Roman" w:cs="Times New Roman" w:eastAsia="Times New Roman" w:hAnsi="Times New Roman"/>
          <w:sz w:val="22"/>
          <w:szCs w:val="22"/>
          <w:color w:val="auto"/>
        </w:rPr>
      </w:pPr>
    </w:p>
    <w:p>
      <w:pPr>
        <w:jc w:val="both"/>
        <w:ind w:left="1500" w:right="879"/>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effect any sale or other disposition transaction involving the Company and/or its Subsidiaries and/or any of their respective businesses or assets having a value greater than $150,000,000 per transaction or series of transactions (provided that, for so long as the Block 21 Loan remains outstanding, Investor Member approval under this Item (4) or any other provision of this Agreement will not be required for Company’s decision to sell Block 21 (as defined herein)).</w:t>
      </w:r>
    </w:p>
    <w:p>
      <w:pPr>
        <w:spacing w:after="0" w:line="234" w:lineRule="exact"/>
        <w:rPr>
          <w:rFonts w:ascii="Times New Roman" w:cs="Times New Roman" w:eastAsia="Times New Roman" w:hAnsi="Times New Roman"/>
          <w:sz w:val="22"/>
          <w:szCs w:val="22"/>
          <w:color w:val="auto"/>
        </w:rPr>
      </w:pPr>
    </w:p>
    <w:p>
      <w:pPr>
        <w:ind w:left="1500" w:right="239" w:hanging="643"/>
        <w:spacing w:after="0" w:line="271" w:lineRule="auto"/>
        <w:tabs>
          <w:tab w:leader="none" w:pos="15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C. Item (14)</w:t>
      </w:r>
      <w:r>
        <w:rPr>
          <w:rFonts w:ascii="Times New Roman" w:cs="Times New Roman" w:eastAsia="Times New Roman" w:hAnsi="Times New Roman"/>
          <w:sz w:val="22"/>
          <w:szCs w:val="22"/>
          <w:color w:val="auto"/>
        </w:rPr>
        <w:t>. The Major Decision listed in Item (14) shall be amended by adding the following proviso at the end of Item (14):</w:t>
      </w:r>
    </w:p>
    <w:p>
      <w:pPr>
        <w:spacing w:after="0" w:line="225" w:lineRule="exact"/>
        <w:rPr>
          <w:rFonts w:ascii="Times New Roman" w:cs="Times New Roman" w:eastAsia="Times New Roman" w:hAnsi="Times New Roman"/>
          <w:sz w:val="22"/>
          <w:szCs w:val="22"/>
          <w:color w:val="auto"/>
        </w:rPr>
      </w:pPr>
    </w:p>
    <w:p>
      <w:pPr>
        <w:jc w:val="both"/>
        <w:ind w:left="1500" w:right="879"/>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however, that for so long as the Block 21 Loan remains outstanding, Investor Member approval rights under this Item (14) or any other provision of this Agreement will not be required for Company’s decision to effect the bankruptcy or liquidation of RHP Block 21, LLC (or</w:t>
      </w:r>
    </w:p>
    <w:p>
      <w:pPr>
        <w:ind w:left="1500" w:right="879"/>
        <w:spacing w:after="0" w:line="243" w:lineRule="auto"/>
        <w:rPr>
          <w:sz w:val="20"/>
          <w:szCs w:val="20"/>
          <w:color w:val="auto"/>
        </w:rPr>
      </w:pPr>
      <w:r>
        <w:rPr>
          <w:rFonts w:ascii="Times New Roman" w:cs="Times New Roman" w:eastAsia="Times New Roman" w:hAnsi="Times New Roman"/>
          <w:sz w:val="22"/>
          <w:szCs w:val="22"/>
          <w:color w:val="auto"/>
        </w:rPr>
        <w:t>any affiliate of Company that is a successor borrower under the Block 21 Loan).”</w:t>
      </w:r>
    </w:p>
    <w:p>
      <w:pPr>
        <w:spacing w:after="0" w:line="1" w:lineRule="exact"/>
        <w:rPr>
          <w:sz w:val="20"/>
          <w:szCs w:val="20"/>
          <w:color w:val="auto"/>
        </w:rPr>
      </w:pPr>
    </w:p>
    <w:p>
      <w:pPr>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Amendment may be signed in counterparts, including with electronic signatures.</w:t>
      </w:r>
    </w:p>
    <w:p>
      <w:pPr>
        <w:spacing w:after="0" w:line="200" w:lineRule="exact"/>
        <w:rPr>
          <w:sz w:val="20"/>
          <w:szCs w:val="20"/>
          <w:color w:val="auto"/>
        </w:rPr>
      </w:pPr>
    </w:p>
    <w:p>
      <w:pPr>
        <w:spacing w:after="0" w:line="24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913765</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4" w:name="page55"/>
    <w:bookmarkEnd w:id="54"/>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executed and delivered this Agreement as of the date first written above.</w:t>
      </w:r>
    </w:p>
    <w:p>
      <w:pPr>
        <w:spacing w:after="0" w:line="16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7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OEG Attractions Holdings, LLC</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(f/k/a RHP Operations and Attractions Holdings, LLC)</w:t>
      </w:r>
    </w:p>
    <w:p>
      <w:pPr>
        <w:spacing w:after="0" w:line="200" w:lineRule="exact"/>
        <w:rPr>
          <w:sz w:val="20"/>
          <w:szCs w:val="20"/>
          <w:color w:val="auto"/>
        </w:rPr>
      </w:pPr>
    </w:p>
    <w:p>
      <w:pPr>
        <w:spacing w:after="0" w:line="333" w:lineRule="exact"/>
        <w:rPr>
          <w:sz w:val="20"/>
          <w:szCs w:val="20"/>
          <w:color w:val="auto"/>
        </w:rPr>
      </w:pPr>
    </w:p>
    <w:p>
      <w:pPr>
        <w:ind w:left="344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Scott J. Lynn</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Scott J. Lynn</w:t>
      </w:r>
    </w:p>
    <w:p>
      <w:pPr>
        <w:spacing w:after="0" w:line="4" w:lineRule="exact"/>
        <w:rPr>
          <w:sz w:val="20"/>
          <w:szCs w:val="20"/>
          <w:color w:val="auto"/>
        </w:rPr>
      </w:pPr>
    </w:p>
    <w:p>
      <w:pPr>
        <w:ind w:left="344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u w:val="single" w:color="auto"/>
          <w:color w:val="auto"/>
        </w:rPr>
        <w:t>Secretary</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RHP MEMBER:</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RHP HOTELS, LLC</w:t>
      </w:r>
    </w:p>
    <w:p>
      <w:pPr>
        <w:spacing w:after="0" w:line="200" w:lineRule="exact"/>
        <w:rPr>
          <w:sz w:val="20"/>
          <w:szCs w:val="20"/>
          <w:color w:val="auto"/>
        </w:rPr>
      </w:pPr>
    </w:p>
    <w:p>
      <w:pPr>
        <w:spacing w:after="0" w:line="357" w:lineRule="exact"/>
        <w:rPr>
          <w:sz w:val="20"/>
          <w:szCs w:val="20"/>
          <w:color w:val="auto"/>
        </w:rPr>
      </w:pPr>
    </w:p>
    <w:p>
      <w:pPr>
        <w:ind w:left="344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Scott J. Lynn</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Scott J. Lynn</w:t>
      </w:r>
    </w:p>
    <w:p>
      <w:pPr>
        <w:spacing w:after="0" w:line="4" w:lineRule="exact"/>
        <w:rPr>
          <w:sz w:val="20"/>
          <w:szCs w:val="20"/>
          <w:color w:val="auto"/>
        </w:rPr>
      </w:pPr>
    </w:p>
    <w:p>
      <w:pPr>
        <w:ind w:left="344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u w:val="single" w:color="auto"/>
          <w:color w:val="auto"/>
        </w:rPr>
        <w:t>Vice-President</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OPERATING PARTNERSHIP:</w:t>
      </w:r>
    </w:p>
    <w:p>
      <w:pPr>
        <w:spacing w:after="0" w:line="27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RHP HOTEL PROPERTIES, LP</w:t>
      </w:r>
    </w:p>
    <w:p>
      <w:pPr>
        <w:spacing w:after="0" w:line="287" w:lineRule="exact"/>
        <w:rPr>
          <w:sz w:val="20"/>
          <w:szCs w:val="20"/>
          <w:color w:val="auto"/>
        </w:rPr>
      </w:pPr>
    </w:p>
    <w:p>
      <w:pPr>
        <w:ind w:left="344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RHP PARTNER, LLC</w:t>
      </w:r>
    </w:p>
    <w:p>
      <w:pPr>
        <w:spacing w:after="0" w:line="28" w:lineRule="exact"/>
        <w:rPr>
          <w:sz w:val="20"/>
          <w:szCs w:val="20"/>
          <w:color w:val="auto"/>
        </w:rPr>
      </w:pPr>
    </w:p>
    <w:p>
      <w:pPr>
        <w:ind w:left="3440"/>
        <w:spacing w:after="0"/>
        <w:tabs>
          <w:tab w:leader="none" w:pos="40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0" w:lineRule="exact"/>
        <w:rPr>
          <w:sz w:val="20"/>
          <w:szCs w:val="20"/>
          <w:color w:val="auto"/>
        </w:rPr>
      </w:pPr>
    </w:p>
    <w:p>
      <w:pPr>
        <w:spacing w:after="0" w:line="333" w:lineRule="exact"/>
        <w:rPr>
          <w:sz w:val="20"/>
          <w:szCs w:val="20"/>
          <w:color w:val="auto"/>
        </w:rPr>
      </w:pPr>
    </w:p>
    <w:p>
      <w:pPr>
        <w:ind w:left="344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Scott J. Lynn</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Scott J. Lynn</w:t>
      </w:r>
    </w:p>
    <w:p>
      <w:pPr>
        <w:spacing w:after="0" w:line="4" w:lineRule="exact"/>
        <w:rPr>
          <w:sz w:val="20"/>
          <w:szCs w:val="20"/>
          <w:color w:val="auto"/>
        </w:rPr>
      </w:pPr>
    </w:p>
    <w:p>
      <w:pPr>
        <w:ind w:left="344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u w:val="single" w:color="auto"/>
          <w:color w:val="auto"/>
        </w:rPr>
        <w:t>Vice-President</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ULTIMATE PARENT:</w:t>
      </w:r>
    </w:p>
    <w:p>
      <w:pPr>
        <w:spacing w:after="0" w:line="278" w:lineRule="exact"/>
        <w:rPr>
          <w:sz w:val="20"/>
          <w:szCs w:val="20"/>
          <w:color w:val="auto"/>
        </w:rPr>
      </w:pPr>
    </w:p>
    <w:p>
      <w:pPr>
        <w:jc w:val="both"/>
        <w:ind w:left="3440" w:right="219"/>
        <w:spacing w:after="0" w:line="257" w:lineRule="auto"/>
        <w:rPr>
          <w:sz w:val="20"/>
          <w:szCs w:val="20"/>
          <w:color w:val="auto"/>
        </w:rPr>
      </w:pPr>
      <w:r>
        <w:rPr>
          <w:rFonts w:ascii="Times New Roman" w:cs="Times New Roman" w:eastAsia="Times New Roman" w:hAnsi="Times New Roman"/>
          <w:sz w:val="22"/>
          <w:szCs w:val="22"/>
          <w:color w:val="auto"/>
        </w:rPr>
        <w:t xml:space="preserve">RYMAN HOSPITALITY PROPERTIES, INC., solely for the purpose of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8.2(c)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10.12(b)</w:t>
      </w:r>
      <w:r>
        <w:rPr>
          <w:rFonts w:ascii="Times New Roman" w:cs="Times New Roman" w:eastAsia="Times New Roman" w:hAnsi="Times New Roman"/>
          <w:sz w:val="22"/>
          <w:szCs w:val="22"/>
          <w:color w:val="auto"/>
        </w:rPr>
        <w:t xml:space="preserve"> and for no other purpose</w:t>
      </w:r>
    </w:p>
    <w:p>
      <w:pPr>
        <w:spacing w:after="0" w:line="200" w:lineRule="exact"/>
        <w:rPr>
          <w:sz w:val="20"/>
          <w:szCs w:val="20"/>
          <w:color w:val="auto"/>
        </w:rPr>
      </w:pPr>
    </w:p>
    <w:p>
      <w:pPr>
        <w:spacing w:after="0" w:line="310" w:lineRule="exact"/>
        <w:rPr>
          <w:sz w:val="20"/>
          <w:szCs w:val="20"/>
          <w:color w:val="auto"/>
        </w:rPr>
      </w:pPr>
    </w:p>
    <w:p>
      <w:pPr>
        <w:ind w:left="344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Scott J. Lynn</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Scott J. Lynn</w:t>
      </w:r>
    </w:p>
    <w:p>
      <w:pPr>
        <w:spacing w:after="0" w:line="4" w:lineRule="exact"/>
        <w:rPr>
          <w:sz w:val="20"/>
          <w:szCs w:val="20"/>
          <w:color w:val="auto"/>
        </w:rPr>
      </w:pPr>
    </w:p>
    <w:p>
      <w:pPr>
        <w:ind w:left="344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u w:val="single" w:color="auto"/>
          <w:color w:val="auto"/>
        </w:rPr>
        <w:t>EVP &amp;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5" w:name="page56"/>
    <w:bookmarkEnd w:id="55"/>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executed and delivered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PURCHASER:</w:t>
      </w:r>
    </w:p>
    <w:p>
      <w:pPr>
        <w:spacing w:after="0" w:line="28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A-OEG Holdings, LLC</w:t>
      </w:r>
    </w:p>
    <w:p>
      <w:pPr>
        <w:spacing w:after="0" w:line="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Atairos Group, Inc., its sole member</w:t>
      </w:r>
    </w:p>
    <w:p>
      <w:pPr>
        <w:spacing w:after="0" w:line="250" w:lineRule="exact"/>
        <w:rPr>
          <w:sz w:val="20"/>
          <w:szCs w:val="20"/>
          <w:color w:val="auto"/>
        </w:rPr>
      </w:pPr>
    </w:p>
    <w:p>
      <w:pPr>
        <w:ind w:left="344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Alexander D. Evans</w:t>
      </w:r>
    </w:p>
    <w:p>
      <w:pPr>
        <w:spacing w:after="0" w:line="2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Alexander D. Evans</w:t>
      </w:r>
    </w:p>
    <w:p>
      <w:pPr>
        <w:spacing w:after="0" w:line="15" w:lineRule="exact"/>
        <w:rPr>
          <w:sz w:val="20"/>
          <w:szCs w:val="20"/>
          <w:color w:val="auto"/>
        </w:rPr>
      </w:pPr>
    </w:p>
    <w:p>
      <w:pPr>
        <w:ind w:left="344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u w:val="single" w:color="auto"/>
          <w:color w:val="auto"/>
        </w:rPr>
        <w:t>Authorized Signatory</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PURCHASER GUARANTOR:</w:t>
      </w:r>
    </w:p>
    <w:p>
      <w:pPr>
        <w:spacing w:after="0" w:line="27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Atairos Group, Inc.</w:t>
      </w:r>
    </w:p>
    <w:p>
      <w:pPr>
        <w:spacing w:after="0" w:line="291" w:lineRule="exact"/>
        <w:rPr>
          <w:sz w:val="20"/>
          <w:szCs w:val="20"/>
          <w:color w:val="auto"/>
        </w:rPr>
      </w:pPr>
    </w:p>
    <w:p>
      <w:pPr>
        <w:ind w:left="344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Alexander D. Evans</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Alexander D. Evans</w:t>
      </w:r>
    </w:p>
    <w:p>
      <w:pPr>
        <w:spacing w:after="0" w:line="4" w:lineRule="exact"/>
        <w:rPr>
          <w:sz w:val="20"/>
          <w:szCs w:val="20"/>
          <w:color w:val="auto"/>
        </w:rPr>
      </w:pPr>
    </w:p>
    <w:p>
      <w:pPr>
        <w:ind w:left="344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u w:val="single" w:color="auto"/>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6" w:name="page57"/>
    <w:bookmarkEnd w:id="56"/>
    <w:p>
      <w:pPr>
        <w:ind w:left="7740"/>
        <w:spacing w:after="0"/>
        <w:rPr>
          <w:sz w:val="20"/>
          <w:szCs w:val="20"/>
          <w:color w:val="auto"/>
        </w:rPr>
      </w:pPr>
      <w:r>
        <w:rPr>
          <w:rFonts w:ascii="Times New Roman" w:cs="Times New Roman" w:eastAsia="Times New Roman" w:hAnsi="Times New Roman"/>
          <w:sz w:val="21"/>
          <w:szCs w:val="21"/>
          <w:color w:val="auto"/>
        </w:rPr>
        <w:t>Exhibit 10.3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SECOND AMENDMENT TO INVESTMENT AGREEMENT</w:t>
      </w:r>
    </w:p>
    <w:p>
      <w:pPr>
        <w:spacing w:after="0" w:line="22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This SECOND AMENDMENT TO INVESTMENT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June 14, 2022, is by and among OEG Attractions Holdings, LLC (f/k/a RHP Operations and Attractions Holdings,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RHP Hotels, LLC, a Delaware limited liability company (the “</w:t>
      </w:r>
      <w:r>
        <w:rPr>
          <w:rFonts w:ascii="Times New Roman" w:cs="Times New Roman" w:eastAsia="Times New Roman" w:hAnsi="Times New Roman"/>
          <w:sz w:val="22"/>
          <w:szCs w:val="22"/>
          <w:u w:val="single" w:color="auto"/>
          <w:color w:val="auto"/>
        </w:rPr>
        <w:t>RHP Member</w:t>
      </w:r>
      <w:r>
        <w:rPr>
          <w:rFonts w:ascii="Times New Roman" w:cs="Times New Roman" w:eastAsia="Times New Roman" w:hAnsi="Times New Roman"/>
          <w:sz w:val="22"/>
          <w:szCs w:val="22"/>
          <w:color w:val="auto"/>
        </w:rPr>
        <w:t>”), RHP Hotel Properties, LP, a Delaware limited partnership (the “</w:t>
      </w:r>
      <w:r>
        <w:rPr>
          <w:rFonts w:ascii="Times New Roman" w:cs="Times New Roman" w:eastAsia="Times New Roman" w:hAnsi="Times New Roman"/>
          <w:sz w:val="22"/>
          <w:szCs w:val="22"/>
          <w:u w:val="single" w:color="auto"/>
          <w:color w:val="auto"/>
        </w:rPr>
        <w:t>RHP Operating Partnership</w:t>
      </w:r>
      <w:r>
        <w:rPr>
          <w:rFonts w:ascii="Times New Roman" w:cs="Times New Roman" w:eastAsia="Times New Roman" w:hAnsi="Times New Roman"/>
          <w:sz w:val="22"/>
          <w:szCs w:val="22"/>
          <w:color w:val="auto"/>
        </w:rPr>
        <w:t>” and together with the Company and the RHP Member, the “</w:t>
      </w:r>
      <w:r>
        <w:rPr>
          <w:rFonts w:ascii="Times New Roman" w:cs="Times New Roman" w:eastAsia="Times New Roman" w:hAnsi="Times New Roman"/>
          <w:sz w:val="22"/>
          <w:szCs w:val="22"/>
          <w:u w:val="single" w:color="auto"/>
          <w:color w:val="auto"/>
        </w:rPr>
        <w:t>RHP Parties</w:t>
      </w:r>
      <w:r>
        <w:rPr>
          <w:rFonts w:ascii="Times New Roman" w:cs="Times New Roman" w:eastAsia="Times New Roman" w:hAnsi="Times New Roman"/>
          <w:sz w:val="22"/>
          <w:szCs w:val="22"/>
          <w:color w:val="auto"/>
        </w:rPr>
        <w:t>”), A-OEG Holdings, LLC, a Delaware limited liability company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and Atairos Group, Inc., a Cayman Islands exempted company (“</w:t>
      </w:r>
      <w:r>
        <w:rPr>
          <w:rFonts w:ascii="Times New Roman" w:cs="Times New Roman" w:eastAsia="Times New Roman" w:hAnsi="Times New Roman"/>
          <w:sz w:val="22"/>
          <w:szCs w:val="22"/>
          <w:u w:val="single" w:color="auto"/>
          <w:color w:val="auto"/>
        </w:rPr>
        <w:t>Purchaser Guarantor</w:t>
      </w:r>
      <w:r>
        <w:rPr>
          <w:rFonts w:ascii="Times New Roman" w:cs="Times New Roman" w:eastAsia="Times New Roman" w:hAnsi="Times New Roman"/>
          <w:sz w:val="22"/>
          <w:szCs w:val="22"/>
          <w:color w:val="auto"/>
        </w:rPr>
        <w:t xml:space="preserve">”), and solely for the limited purpose of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8.2(c)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10.12(b)</w:t>
      </w:r>
      <w:r>
        <w:rPr>
          <w:rFonts w:ascii="Times New Roman" w:cs="Times New Roman" w:eastAsia="Times New Roman" w:hAnsi="Times New Roman"/>
          <w:sz w:val="22"/>
          <w:szCs w:val="22"/>
          <w:color w:val="auto"/>
        </w:rPr>
        <w:t xml:space="preserve"> and for no other purpose, Ryman Hospitality Properties, Inc., a Delaware corporation and ultimate parent of the Company, the RHP Member and the RHP Operating Partnership (“</w:t>
      </w:r>
      <w:r>
        <w:rPr>
          <w:rFonts w:ascii="Times New Roman" w:cs="Times New Roman" w:eastAsia="Times New Roman" w:hAnsi="Times New Roman"/>
          <w:sz w:val="22"/>
          <w:szCs w:val="22"/>
          <w:u w:val="single" w:color="auto"/>
          <w:color w:val="auto"/>
        </w:rPr>
        <w:t>Ultimate Parent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left="200" w:right="219" w:firstLine="657"/>
        <w:spacing w:after="0" w:line="253" w:lineRule="auto"/>
        <w:tabs>
          <w:tab w:leader="none" w:pos="149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desire to amend that certain Investment Agreement, dated as of April 4, 2022 (as amended by that certain First Amendment to Investment Agreement, dated as of May 6, 2022), between and among the RHP Parties, Purchaser, Purchaser Guarantor (for certain limited purposes) and Ultimate Parent (for certain limited purposes)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on the terms set forth below,</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4"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21"/>
          <w:szCs w:val="21"/>
          <w:color w:val="auto"/>
        </w:rPr>
        <w:t>NOW, THEREFORE, in consideration of the foregoing and the mutual covenants and agreements hereinafter set forth, the parties, intended to be legally bound, hereby agree as follows:</w:t>
      </w:r>
    </w:p>
    <w:p>
      <w:pPr>
        <w:spacing w:after="0" w:line="135"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Amendment to Investment Agreement</w:t>
      </w:r>
      <w:r>
        <w:rPr>
          <w:rFonts w:ascii="Times New Roman" w:cs="Times New Roman" w:eastAsia="Times New Roman" w:hAnsi="Times New Roman"/>
          <w:sz w:val="22"/>
          <w:szCs w:val="22"/>
          <w:color w:val="auto"/>
        </w:rPr>
        <w:t>. The definition of Balance Sheet Cash Amount in the Agreement shall be amended and restated as follows:</w:t>
      </w:r>
    </w:p>
    <w:p>
      <w:pPr>
        <w:spacing w:after="0" w:line="158" w:lineRule="exact"/>
        <w:rPr>
          <w:sz w:val="20"/>
          <w:szCs w:val="20"/>
          <w:color w:val="auto"/>
        </w:rPr>
      </w:pPr>
    </w:p>
    <w:p>
      <w:pPr>
        <w:jc w:val="both"/>
        <w:ind w:left="200" w:right="219"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Balance Sheet Cash Amount</w:t>
      </w:r>
      <w:r>
        <w:rPr>
          <w:rFonts w:ascii="Times New Roman" w:cs="Times New Roman" w:eastAsia="Times New Roman" w:hAnsi="Times New Roman"/>
          <w:sz w:val="22"/>
          <w:szCs w:val="22"/>
          <w:color w:val="auto"/>
        </w:rPr>
        <w:t xml:space="preserve">” means an amount equal to the Estimated Closing Cash;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amount shall be at least $10,000,000.”</w:t>
      </w:r>
    </w:p>
    <w:p>
      <w:pPr>
        <w:spacing w:after="0" w:line="158"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Except as expressly modified by this Agreement, all of the terms and conditions of the Agreement shall remain in full force and effect. In the event of any conflict or inconsistency between the terms and conditions of the Agreement and this Amendment, the terms and conditions of this Amendment shall control and govern. This Amendment may be executed in multiple counterparts which, when taken together, shall constitute one and the same document. This Amendment may be executed in any number of counterparts, including by facsimile or by email with .pdf attachments, each of which shall be deemed to be an original but all of which shall constitute one and the same instrument. This Amendment shall become effective when each party has received counterparts thereof signed and delivered (by electronic communication, facsimile or otherwise) by all of the other parties.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622300</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7" w:name="page58"/>
    <w:bookmarkEnd w:id="57"/>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executed and delivered this Agreement as of the date first written above.</w:t>
      </w:r>
    </w:p>
    <w:p>
      <w:pPr>
        <w:spacing w:after="0" w:line="15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6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OEG Attractions Holdings, LLC</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(f/k/a RHP Operations and Attractions Holdings, LLC)</w:t>
      </w:r>
    </w:p>
    <w:p>
      <w:pPr>
        <w:spacing w:after="0" w:line="200" w:lineRule="exact"/>
        <w:rPr>
          <w:sz w:val="20"/>
          <w:szCs w:val="20"/>
          <w:color w:val="auto"/>
        </w:rPr>
      </w:pPr>
    </w:p>
    <w:p>
      <w:pPr>
        <w:spacing w:after="0" w:line="293" w:lineRule="exact"/>
        <w:rPr>
          <w:sz w:val="20"/>
          <w:szCs w:val="20"/>
          <w:color w:val="auto"/>
        </w:rPr>
      </w:pPr>
    </w:p>
    <w:p>
      <w:pPr>
        <w:ind w:left="344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Scott J. Lynn</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Scott J. Lynn</w:t>
      </w:r>
    </w:p>
    <w:p>
      <w:pPr>
        <w:spacing w:after="0" w:line="4" w:lineRule="exact"/>
        <w:rPr>
          <w:sz w:val="20"/>
          <w:szCs w:val="20"/>
          <w:color w:val="auto"/>
        </w:rPr>
      </w:pPr>
    </w:p>
    <w:p>
      <w:pPr>
        <w:ind w:left="344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u w:val="single" w:color="auto"/>
          <w:color w:val="auto"/>
        </w:rPr>
        <w:t>Secretary</w:t>
      </w:r>
    </w:p>
    <w:p>
      <w:pPr>
        <w:spacing w:after="0" w:line="200" w:lineRule="exact"/>
        <w:rPr>
          <w:sz w:val="20"/>
          <w:szCs w:val="20"/>
          <w:color w:val="auto"/>
        </w:rPr>
      </w:pPr>
    </w:p>
    <w:p>
      <w:pPr>
        <w:spacing w:after="0" w:line="28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RHP MEMBER:</w:t>
      </w:r>
    </w:p>
    <w:p>
      <w:pPr>
        <w:spacing w:after="0" w:line="2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RHP HOTELS, LLC</w:t>
      </w:r>
    </w:p>
    <w:p>
      <w:pPr>
        <w:spacing w:after="0" w:line="200" w:lineRule="exact"/>
        <w:rPr>
          <w:sz w:val="20"/>
          <w:szCs w:val="20"/>
          <w:color w:val="auto"/>
        </w:rPr>
      </w:pPr>
    </w:p>
    <w:p>
      <w:pPr>
        <w:spacing w:after="0" w:line="317" w:lineRule="exact"/>
        <w:rPr>
          <w:sz w:val="20"/>
          <w:szCs w:val="20"/>
          <w:color w:val="auto"/>
        </w:rPr>
      </w:pPr>
    </w:p>
    <w:p>
      <w:pPr>
        <w:ind w:left="344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Scott J. Lynn</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Scott J. Lynn</w:t>
      </w:r>
    </w:p>
    <w:p>
      <w:pPr>
        <w:spacing w:after="0" w:line="4" w:lineRule="exact"/>
        <w:rPr>
          <w:sz w:val="20"/>
          <w:szCs w:val="20"/>
          <w:color w:val="auto"/>
        </w:rPr>
      </w:pPr>
    </w:p>
    <w:p>
      <w:pPr>
        <w:ind w:left="344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u w:val="single" w:color="auto"/>
          <w:color w:val="auto"/>
        </w:rPr>
        <w:t>Vice-President</w:t>
      </w:r>
    </w:p>
    <w:p>
      <w:pPr>
        <w:spacing w:after="0" w:line="200" w:lineRule="exact"/>
        <w:rPr>
          <w:sz w:val="20"/>
          <w:szCs w:val="20"/>
          <w:color w:val="auto"/>
        </w:rPr>
      </w:pPr>
    </w:p>
    <w:p>
      <w:pPr>
        <w:spacing w:after="0" w:line="28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OPERATING PARTNERSHIP:</w:t>
      </w:r>
    </w:p>
    <w:p>
      <w:pPr>
        <w:spacing w:after="0" w:line="26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RHP HOTEL PROPERTIES, LP</w:t>
      </w:r>
    </w:p>
    <w:p>
      <w:pPr>
        <w:spacing w:after="0" w:line="260" w:lineRule="exact"/>
        <w:rPr>
          <w:sz w:val="20"/>
          <w:szCs w:val="20"/>
          <w:color w:val="auto"/>
        </w:rPr>
      </w:pPr>
    </w:p>
    <w:p>
      <w:pPr>
        <w:ind w:left="344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RHP PARTNER, LLC</w:t>
      </w:r>
    </w:p>
    <w:p>
      <w:pPr>
        <w:spacing w:after="0" w:line="28" w:lineRule="exact"/>
        <w:rPr>
          <w:sz w:val="20"/>
          <w:szCs w:val="20"/>
          <w:color w:val="auto"/>
        </w:rPr>
      </w:pPr>
    </w:p>
    <w:p>
      <w:pPr>
        <w:ind w:left="3440"/>
        <w:spacing w:after="0"/>
        <w:tabs>
          <w:tab w:leader="none" w:pos="40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0" w:lineRule="exact"/>
        <w:rPr>
          <w:sz w:val="20"/>
          <w:szCs w:val="20"/>
          <w:color w:val="auto"/>
        </w:rPr>
      </w:pPr>
    </w:p>
    <w:p>
      <w:pPr>
        <w:spacing w:after="0" w:line="293" w:lineRule="exact"/>
        <w:rPr>
          <w:sz w:val="20"/>
          <w:szCs w:val="20"/>
          <w:color w:val="auto"/>
        </w:rPr>
      </w:pPr>
    </w:p>
    <w:p>
      <w:pPr>
        <w:ind w:left="344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Scott J. Lynn</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Scott J. Lynn</w:t>
      </w:r>
    </w:p>
    <w:p>
      <w:pPr>
        <w:spacing w:after="0" w:line="4" w:lineRule="exact"/>
        <w:rPr>
          <w:sz w:val="20"/>
          <w:szCs w:val="20"/>
          <w:color w:val="auto"/>
        </w:rPr>
      </w:pPr>
    </w:p>
    <w:p>
      <w:pPr>
        <w:ind w:left="344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u w:val="single" w:color="auto"/>
          <w:color w:val="auto"/>
        </w:rPr>
        <w:t>Vice-President</w:t>
      </w:r>
    </w:p>
    <w:p>
      <w:pPr>
        <w:spacing w:after="0" w:line="200" w:lineRule="exact"/>
        <w:rPr>
          <w:sz w:val="20"/>
          <w:szCs w:val="20"/>
          <w:color w:val="auto"/>
        </w:rPr>
      </w:pPr>
    </w:p>
    <w:p>
      <w:pPr>
        <w:spacing w:after="0" w:line="28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ULTIMATE PARENT:</w:t>
      </w:r>
    </w:p>
    <w:p>
      <w:pPr>
        <w:spacing w:after="0" w:line="264" w:lineRule="exact"/>
        <w:rPr>
          <w:sz w:val="20"/>
          <w:szCs w:val="20"/>
          <w:color w:val="auto"/>
        </w:rPr>
      </w:pPr>
    </w:p>
    <w:p>
      <w:pPr>
        <w:jc w:val="both"/>
        <w:ind w:left="3440" w:right="219"/>
        <w:spacing w:after="0" w:line="257" w:lineRule="auto"/>
        <w:rPr>
          <w:sz w:val="20"/>
          <w:szCs w:val="20"/>
          <w:color w:val="auto"/>
        </w:rPr>
      </w:pPr>
      <w:r>
        <w:rPr>
          <w:rFonts w:ascii="Times New Roman" w:cs="Times New Roman" w:eastAsia="Times New Roman" w:hAnsi="Times New Roman"/>
          <w:sz w:val="22"/>
          <w:szCs w:val="22"/>
          <w:color w:val="auto"/>
        </w:rPr>
        <w:t xml:space="preserve">RYMAN HOSPITALITY PROPERTIES, INC., solely for the purpose of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8.2(c)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10.12(b)</w:t>
      </w:r>
      <w:r>
        <w:rPr>
          <w:rFonts w:ascii="Times New Roman" w:cs="Times New Roman" w:eastAsia="Times New Roman" w:hAnsi="Times New Roman"/>
          <w:sz w:val="22"/>
          <w:szCs w:val="22"/>
          <w:color w:val="auto"/>
        </w:rPr>
        <w:t xml:space="preserve"> and for no other purpose</w:t>
      </w:r>
    </w:p>
    <w:p>
      <w:pPr>
        <w:spacing w:after="0" w:line="200" w:lineRule="exact"/>
        <w:rPr>
          <w:sz w:val="20"/>
          <w:szCs w:val="20"/>
          <w:color w:val="auto"/>
        </w:rPr>
      </w:pPr>
    </w:p>
    <w:p>
      <w:pPr>
        <w:spacing w:after="0" w:line="270" w:lineRule="exact"/>
        <w:rPr>
          <w:sz w:val="20"/>
          <w:szCs w:val="20"/>
          <w:color w:val="auto"/>
        </w:rPr>
      </w:pPr>
    </w:p>
    <w:p>
      <w:pPr>
        <w:ind w:left="344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Scott J. Lynn</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Scott J. Lynn</w:t>
      </w:r>
    </w:p>
    <w:p>
      <w:pPr>
        <w:spacing w:after="0" w:line="4" w:lineRule="exact"/>
        <w:rPr>
          <w:sz w:val="20"/>
          <w:szCs w:val="20"/>
          <w:color w:val="auto"/>
        </w:rPr>
      </w:pPr>
    </w:p>
    <w:p>
      <w:pPr>
        <w:ind w:left="344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u w:val="single" w:color="auto"/>
          <w:color w:val="auto"/>
        </w:rPr>
        <w:t>EVP &amp;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509905</wp:posOffset>
            </wp:positionV>
            <wp:extent cx="545211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58" w:name="page59"/>
    <w:bookmarkEnd w:id="58"/>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executed and delivered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PURCHASER:</w:t>
      </w:r>
    </w:p>
    <w:p>
      <w:pPr>
        <w:spacing w:after="0" w:line="26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A-OEG Holdings, LLC</w:t>
      </w:r>
    </w:p>
    <w:p>
      <w:pPr>
        <w:spacing w:after="0" w:line="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Atairos Group, Inc., its sole member</w:t>
      </w:r>
    </w:p>
    <w:p>
      <w:pPr>
        <w:spacing w:after="0" w:line="236" w:lineRule="exact"/>
        <w:rPr>
          <w:sz w:val="20"/>
          <w:szCs w:val="20"/>
          <w:color w:val="auto"/>
        </w:rPr>
      </w:pPr>
    </w:p>
    <w:p>
      <w:pPr>
        <w:ind w:left="344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Alexander D. Evans</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Alexander D. Evans</w:t>
      </w:r>
    </w:p>
    <w:p>
      <w:pPr>
        <w:spacing w:after="0" w:line="4" w:lineRule="exact"/>
        <w:rPr>
          <w:sz w:val="20"/>
          <w:szCs w:val="20"/>
          <w:color w:val="auto"/>
        </w:rPr>
      </w:pPr>
    </w:p>
    <w:p>
      <w:pPr>
        <w:ind w:left="344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u w:val="single" w:color="auto"/>
          <w:color w:val="auto"/>
        </w:rPr>
        <w:t>Authorized Signatory</w:t>
      </w:r>
    </w:p>
    <w:p>
      <w:pPr>
        <w:spacing w:after="0" w:line="200" w:lineRule="exact"/>
        <w:rPr>
          <w:sz w:val="20"/>
          <w:szCs w:val="20"/>
          <w:color w:val="auto"/>
        </w:rPr>
      </w:pPr>
    </w:p>
    <w:p>
      <w:pPr>
        <w:spacing w:after="0" w:line="28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PURCHASER GUARANTOR:</w:t>
      </w:r>
    </w:p>
    <w:p>
      <w:pPr>
        <w:spacing w:after="0" w:line="27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Atairos Group, Inc.</w:t>
      </w:r>
    </w:p>
    <w:p>
      <w:pPr>
        <w:spacing w:after="0" w:line="264" w:lineRule="exact"/>
        <w:rPr>
          <w:sz w:val="20"/>
          <w:szCs w:val="20"/>
          <w:color w:val="auto"/>
        </w:rPr>
      </w:pPr>
    </w:p>
    <w:p>
      <w:pPr>
        <w:ind w:left="344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Alexander D. Evans</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Alexander D. Evans</w:t>
      </w:r>
    </w:p>
    <w:p>
      <w:pPr>
        <w:spacing w:after="0" w:line="4" w:lineRule="exact"/>
        <w:rPr>
          <w:sz w:val="20"/>
          <w:szCs w:val="20"/>
          <w:color w:val="auto"/>
        </w:rPr>
      </w:pPr>
    </w:p>
    <w:p>
      <w:pPr>
        <w:ind w:left="344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u w:val="single" w:color="auto"/>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501650</wp:posOffset>
            </wp:positionV>
            <wp:extent cx="54521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Colin V. Reed, certify that:</w:t>
      </w:r>
    </w:p>
    <w:p>
      <w:pPr>
        <w:spacing w:after="0" w:line="225"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656"/>
        <w:spacing w:after="0" w:line="266"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right="580" w:firstLine="656"/>
        <w:spacing w:after="0" w:line="266"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60" w:firstLine="656"/>
        <w:spacing w:after="0" w:line="282"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22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9832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Colin V. Reed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Chairman of the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Hutcheson, certify that:</w:t>
      </w:r>
    </w:p>
    <w:p>
      <w:pPr>
        <w:spacing w:after="0" w:line="225" w:lineRule="exact"/>
        <w:rPr>
          <w:sz w:val="20"/>
          <w:szCs w:val="20"/>
          <w:color w:val="auto"/>
        </w:rPr>
      </w:pPr>
    </w:p>
    <w:p>
      <w:pPr>
        <w:ind w:left="680" w:hanging="672"/>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right="400" w:firstLine="8"/>
        <w:spacing w:after="0" w:line="266" w:lineRule="auto"/>
        <w:tabs>
          <w:tab w:leader="none" w:pos="6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32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40" w:firstLine="656"/>
        <w:spacing w:after="0" w:line="266" w:lineRule="auto"/>
        <w:tabs>
          <w:tab w:leader="none" w:pos="129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32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29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66" w:lineRule="auto"/>
        <w:tabs>
          <w:tab w:leader="none" w:pos="6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right="560" w:firstLine="656"/>
        <w:spacing w:after="0" w:line="266" w:lineRule="auto"/>
        <w:tabs>
          <w:tab w:leader="none" w:pos="131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80" w:firstLine="656"/>
        <w:spacing w:after="0" w:line="282" w:lineRule="auto"/>
        <w:tabs>
          <w:tab w:leader="none" w:pos="128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4517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Jennifer Hutcheson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Executive Vice President, Chief Financial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Ryman Hospitality Properties, Inc. (the "Company") on Form 10-Q for the quarter ended June 30, 2022, as filed with the Securities and Exchange Commission on the date hereof (the "Report"), each of the undersigned certifies, pursuant to 18 U.S.C. § 1350, as adopted pursuant to §906 of the Sarbanes-Oxley Act of 2002, that:</w:t>
      </w:r>
    </w:p>
    <w:p>
      <w:pPr>
        <w:spacing w:after="0" w:line="176" w:lineRule="exact"/>
        <w:rPr>
          <w:sz w:val="20"/>
          <w:szCs w:val="20"/>
          <w:color w:val="auto"/>
        </w:rPr>
      </w:pPr>
    </w:p>
    <w:p>
      <w:pPr>
        <w:ind w:left="1260" w:hanging="604"/>
        <w:spacing w:after="0"/>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656"/>
        <w:spacing w:after="0" w:line="282" w:lineRule="auto"/>
        <w:tabs>
          <w:tab w:leader="none" w:pos="1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Colin V. Reed</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August 2, 2022</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Jennifer Hutcheson</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and Chief Accounting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August 2, 2022</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lowerRoman"/>
      <w:start w:val="2"/>
    </w:lvl>
  </w:abstractNum>
  <w:abstractNum w:abstractNumId="3">
    <w:nsid w:val="3F2DBA31"/>
    <w:multiLevelType w:val="hybridMultilevel"/>
    <w:lvl w:ilvl="0">
      <w:lvlJc w:val="left"/>
      <w:lvlText w:val="%1."/>
      <w:numFmt w:val="decimal"/>
      <w:start w:val="2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lowerRoman"/>
      <w:start w:val="7"/>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upperLetter"/>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lowerRoman"/>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22"/>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upperLetter"/>
      <w:start w:val="1"/>
    </w:lvl>
  </w:abstractNum>
  <w:abstractNum w:abstractNumId="27">
    <w:nsid w:val="1E7FF521"/>
    <w:multiLevelType w:val="hybridMultilevel"/>
    <w:lvl w:ilvl="0">
      <w:lvlJc w:val="left"/>
      <w:lvlText w:val="(%1)"/>
      <w:numFmt w:val="lowerRoman"/>
      <w:start w:val="1"/>
    </w:lvl>
  </w:abstractNum>
  <w:abstractNum w:abstractNumId="28">
    <w:nsid w:val="7C3DBD3D"/>
    <w:multiLevelType w:val="hybridMultilevel"/>
    <w:lvl w:ilvl="0">
      <w:lvlJc w:val="left"/>
      <w:lvlText w:val="(%1)"/>
      <w:numFmt w:val="lowerRoman"/>
      <w:start w:val="2"/>
    </w:lvl>
  </w:abstractNum>
  <w:abstractNum w:abstractNumId="29">
    <w:nsid w:val="737B8DDC"/>
    <w:multiLevelType w:val="hybridMultilevel"/>
    <w:lvl w:ilvl="0">
      <w:lvlJc w:val="left"/>
      <w:lvlText w:val="%1."/>
      <w:numFmt w:val="upp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57" Type="http://schemas.openxmlformats.org/officeDocument/2006/relationships/hyperlink" Target="http://www.sec.gov/Archives/edgar/data/1040829/000119312512410191/d419132dex31.htm" TargetMode="External"/><Relationship Id="rId58" Type="http://schemas.openxmlformats.org/officeDocument/2006/relationships/hyperlink" Target="http://www.sec.gov/Archives/edgar/data/1040829/000119312512410191/d419132dex32.htm" TargetMode="External"/><Relationship Id="rId59" Type="http://schemas.openxmlformats.org/officeDocument/2006/relationships/hyperlink" Target="https://www.sec.gov/Archives/edgar/data/1040829/000110465922042464/tm2211530d1_ex10-1.htm" TargetMode="External"/><Relationship Id="rId60" Type="http://schemas.openxmlformats.org/officeDocument/2006/relationships/hyperlink" Target="https://www.sec.gov/Archives/edgar/data/1040829/000110465922071928/tm2218606d1_ex10-1.htm" TargetMode="External"/><Relationship Id="rId61" Type="http://schemas.openxmlformats.org/officeDocument/2006/relationships/hyperlink" Target="https://www.sec.gov/Archives/edgar/data/1040829/000110465922042464/tm2211530d1_ex10-3.htm" TargetMode="External"/><Relationship Id="rId62" Type="http://schemas.openxmlformats.org/officeDocument/2006/relationships/hyperlink" Target="https://www.sec.gov/Archives/edgar/data/1040829/000155837022002101/rhp-202112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2022-08-02T13:06:22Z</dcterms:created>
  <dcterms:modified xsi:type="dcterms:W3CDTF">2022-08-02T13:06:22Z</dcterms:modified>
</cp:coreProperties>
</file>