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280" w:right="980" w:hanging="3272"/>
        <w:spacing w:after="0" w:line="282" w:lineRule="auto"/>
        <w:tabs>
          <w:tab w:leader="none" w:pos="2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2025</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ind w:right="7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as of April 30, 2025</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60,000,865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4"/>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13"/>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2025</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March 31, 2025 and December 31,</w:t>
            </w:r>
          </w:p>
        </w:tc>
        <w:tc>
          <w:tcPr>
            <w:tcW w:w="3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 For the Three Months Ended March 31, 2025 and 2024</w:t>
            </w:r>
          </w:p>
        </w:tc>
        <w:tc>
          <w:tcPr>
            <w:tcW w:w="720" w:type="dxa"/>
            <w:vAlign w:val="bottom"/>
            <w:tcBorders>
              <w:top w:val="single" w:sz="8" w:color="0000EE"/>
            </w:tcBorders>
          </w:tcPr>
          <w:p>
            <w:pPr>
              <w:spacing w:after="0"/>
              <w:rPr>
                <w:sz w:val="17"/>
                <w:szCs w:val="17"/>
                <w:color w:val="auto"/>
              </w:rPr>
            </w:pPr>
          </w:p>
        </w:tc>
        <w:tc>
          <w:tcPr>
            <w:tcW w:w="120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For the Three Months</w:t>
            </w:r>
          </w:p>
        </w:tc>
        <w:tc>
          <w:tcPr>
            <w:tcW w:w="56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2025 and 2024</w:t>
            </w:r>
          </w:p>
        </w:tc>
        <w:tc>
          <w:tcPr>
            <w:tcW w:w="4560" w:type="dxa"/>
            <w:vAlign w:val="bottom"/>
            <w:gridSpan w:val="11"/>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and Noncontrolling Interest (Unaudited) - For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the Three Months Ended March 31, 2025 and 2024</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42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10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20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5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8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5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56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8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20" w:type="dxa"/>
            <w:vAlign w:val="bottom"/>
            <w:gridSpan w:val="2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9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4,169,575</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4,124,382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413,858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56,767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67,573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167,530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Intangible assets and goodwill, net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183,313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116,376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5,239,107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5,217,573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3,375,026</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463,245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Distributions payable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70,974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164,532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134,728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68,638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4,277,143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 in Opry Entertainment Group</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391,616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60,001 and 59,903 shares issued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outstanding, respectively</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1,464,394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704 and 696 shares, at cost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(24,329)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(893,872)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(15,260)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531,533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38,815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570,348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5,239,107</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5,217,573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3"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189,232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173,633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253,263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235,083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hotel revenue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89,550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587,280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528,345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128,179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hotel expenses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118,813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Management fees, net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17,962</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hotel operating expenses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326,815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309,055</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Preopening costs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on sale of 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63,717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57,202</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471,159</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431,964</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116,121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gains and (losses), net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43,291</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63,014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42,761</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noncontrolling interest in Opry Entertainment Group</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loss attributable to other noncontrolling interests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43,056</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income per share available to common stockholders</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Diluted income per share available to common stockholders</w:t>
            </w:r>
          </w:p>
        </w:tc>
        <w:tc>
          <w:tcPr>
            <w:tcW w:w="36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1.00</w:t>
            </w:r>
          </w:p>
        </w:tc>
        <w:tc>
          <w:tcPr>
            <w:tcW w:w="46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0.67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net of taxes</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62,926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44,169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Comprehensive (income) loss, net of taxes, attributable to noncontrolling interest in Opry Entertainment</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Group</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Comprehensive (income) loss, net of taxes, attributable to other noncontrolling interests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net of taxes, available to common stockholders</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44,169</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0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900" w:type="dxa"/>
            <w:vAlign w:val="bottom"/>
            <w:gridSpan w:val="2"/>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63,014</w:t>
            </w:r>
          </w:p>
        </w:tc>
        <w:tc>
          <w:tcPr>
            <w:tcW w:w="360" w:type="dxa"/>
            <w:vAlign w:val="bottom"/>
            <w:gridSpan w:val="2"/>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42,761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to net cash flows provided by operating activities:</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(benefit) for deferred income taxes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2,933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63,717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57,202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loss from unconsolidated joint ventures</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Equity-based compensation expense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3,622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3,862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(36,536)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(15,584)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(16,381)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(79,054)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15,127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(3,915)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7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98,219</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7,473</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(112,727)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(79,430)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7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(18,400)</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7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(131,127)</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(79,251)</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(734)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(201,250)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revolving credit facility</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revolving credit facility</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(9,000)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(782)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(721)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Gaylord Rockies term loan</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(16,815)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distributions</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(70,258)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(67,135)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(5,441)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(12,092)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7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financing activities</w:t>
            </w:r>
          </w:p>
        </w:tc>
        <w:tc>
          <w:tcPr>
            <w:tcW w:w="7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(81,995)</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(81,781)</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(114,903)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(153,559)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7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576,228</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700,441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94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720" w:type="dxa"/>
            <w:vAlign w:val="bottom"/>
          </w:tcPr>
          <w:p>
            <w:pPr>
              <w:spacing w:after="0"/>
              <w:rPr>
                <w:sz w:val="17"/>
                <w:szCs w:val="17"/>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461,325</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546,882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9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900" w:type="dxa"/>
            <w:vAlign w:val="bottom"/>
            <w:gridSpan w:val="2"/>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413,858</w:t>
            </w:r>
          </w:p>
        </w:tc>
        <w:tc>
          <w:tcPr>
            <w:tcW w:w="360" w:type="dxa"/>
            <w:vAlign w:val="bottom"/>
            <w:gridSpan w:val="2"/>
            <w:shd w:val="clear" w:color="auto" w:fill="CCEEFF"/>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465,311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47,467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81,571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7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461,325</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546,882</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140" w:type="dxa"/>
            <w:vAlign w:val="bottom"/>
          </w:tcPr>
          <w:p>
            <w:pPr>
              <w:spacing w:after="0"/>
              <w:rPr>
                <w:sz w:val="11"/>
                <w:szCs w:val="11"/>
                <w:color w:val="auto"/>
              </w:rPr>
            </w:pPr>
          </w:p>
        </w:tc>
        <w:tc>
          <w:tcPr>
            <w:tcW w:w="64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140" w:type="dxa"/>
            <w:vAlign w:val="bottom"/>
          </w:tcPr>
          <w:p>
            <w:pPr>
              <w:spacing w:after="0"/>
              <w:rPr>
                <w:sz w:val="12"/>
                <w:szCs w:val="12"/>
                <w:color w:val="auto"/>
              </w:rPr>
            </w:pPr>
          </w:p>
        </w:tc>
        <w:tc>
          <w:tcPr>
            <w:tcW w:w="64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5"/>
              </w:rPr>
              <w:t>in OEG</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2024</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$ 1,475,211</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(23,526)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(888,132)</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(15,172)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548,980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3,657</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$ 552,637</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381,945</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62,961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(658)</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62,303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711</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(8,960)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(8,960)</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(8,960)</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8,960</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Purchase of interest in consolidated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joint venture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36,270</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($1.15 per 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(68,701)</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(69,335)</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(454)</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(69,789)</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(5,648)</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(5,647)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(5,647)</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2025</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$ 1,464,394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(24,329)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(893,872)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(15,260)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531,533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38,815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$ 570,348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391,616</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551"/>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140" w:type="dxa"/>
            <w:vAlign w:val="bottom"/>
          </w:tcPr>
          <w:p>
            <w:pPr>
              <w:spacing w:after="0"/>
              <w:rPr>
                <w:sz w:val="11"/>
                <w:szCs w:val="11"/>
                <w:color w:val="auto"/>
              </w:rPr>
            </w:pPr>
          </w:p>
        </w:tc>
        <w:tc>
          <w:tcPr>
            <w:tcW w:w="64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140" w:type="dxa"/>
            <w:vAlign w:val="bottom"/>
          </w:tcPr>
          <w:p>
            <w:pPr>
              <w:spacing w:after="0"/>
              <w:rPr>
                <w:sz w:val="12"/>
                <w:szCs w:val="12"/>
                <w:color w:val="auto"/>
              </w:rPr>
            </w:pPr>
          </w:p>
        </w:tc>
        <w:tc>
          <w:tcPr>
            <w:tcW w:w="64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5"/>
              </w:rPr>
              <w:t>in OEG</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2023</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$ 1,502,710</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(894,259)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(19,387)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569,153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3,624</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$ 572,777</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345,126</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43,340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(579)</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9,318</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(66,335)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(66,174)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(66,609)</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$ 1,485,360</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(917,538)</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(17,979)</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529,934</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3,473</w:t>
            </w:r>
          </w:p>
        </w:tc>
        <w:tc>
          <w:tcPr>
            <w:tcW w:w="1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$ 533,407</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353,865</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Company’s other owned hotel assets managed by Marriott include the JW Marriott San Antonio Hill Country Resort &amp; Spa (“JW Marriott Hill Country”), the Inn at Opryland, an overflow hotel adjacent to Gaylord Opryland, and the AC Hotel at National Harbor, Washington D.C. (“AC Hotel”), an overflow hotel adjacent to Gaylord National.</w:t>
      </w:r>
    </w:p>
    <w:p>
      <w:pPr>
        <w:spacing w:after="0" w:line="14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Company also owns a controlling approximate 70% equity interest in OEG Attractions Holdings, LLC,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Category 10, a Luke Combs-themed bar, music venue and event space that opened in November 2024; Block 21, a mixed-use entertainment, lodging, office, and retail complex located in Austin, Texas (“Block 21”); and as of January 3, 2025, a majority and controlling equity interest in Southern Entertainment, a Charlotte, North Carolina-based national music festival and events production company.</w:t>
      </w:r>
    </w:p>
    <w:p>
      <w:pPr>
        <w:spacing w:after="0" w:line="14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consolidates the assets, liabilities and results of operations of OEG in the accompanying condensed consolidated financial statements. The portion of OEG that the Company does not own is recorded as noncontrolling interest in Opry Entertainment Group, which is classified as mezzanine equity in the accompanying condensed consolidated balance sheets, and any adjustment necessary to reflect the noncontrolling interest at its redemption value is shown in the accompanying condensed consolidated statements of equity and noncontrolling interest. See Note 3, “Income Per Share,” for further disclosure.</w:t>
      </w:r>
    </w:p>
    <w:p>
      <w:pPr>
        <w:spacing w:after="0" w:line="1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2024.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requiring public entities to provide disclosures of significant segment expenses and other segment items, as well as to provide in interim periods all disclosures about a reportable segment’s profit or loss and assets that were previously required annually. The Company retrospectively adopted this guidance for fiscal year 2024 and has retrospectively adopted for interim periods beginning in fiscal year 2025. This adoption did not have a material impact on the Company’s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requiring public entities to provide additional information in the rate reconciliation, to disclose annually income taxes paid disaggregated by federal, state and foreign taxes and to disaggregate the information by jurisdiction based on a quantitative threshold. The guidance is applied prospectively, but with the option to apply retrospectively, and will be effective for the Company for fiscal year 2025. The Company is currently evaluating the impact of this ASU but does not anticipate this adoption to have a material impact on the Company’s financial statements.</w:t>
      </w:r>
    </w:p>
    <w:p>
      <w:pPr>
        <w:spacing w:after="0" w:line="182"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requiring public entities to disclose, on an annual and interim basis, disaggregated information about certain income statement line items, including employee compensation, purchases of inventory, depreciation, intangible asset amortization and depletion for each income statement line item that includes those expenses. The guidance is applied prospectively, but with the option to apply retrospectively, and will be effective for the Company for fiscal year 2027. The Company is currently evaluating the impact of this ASU but does not anticipate this adoption to have a material impact on the Company’s financial statements.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9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8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1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$ 144,574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$ 131,401</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42,232</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175,450</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59,633</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52,754</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22,566</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19,039</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$ 587,280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$ 528,345</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9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1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$ 110,178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$ 103,835</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85,463</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84,902</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68,274</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63,822</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JW Marriott Hill Country</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49,941</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 Hotel</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Inn at Opryland and other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$ 497,730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$ 461,470</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Las Vegas, Nevada; and Austin, Texas.</w:t>
      </w:r>
    </w:p>
    <w:p>
      <w:pPr>
        <w:spacing w:after="0" w:line="135"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The Company records deferred revenues when cash payments are received in advance of its performance obligations, primarily related to advanced deposits on hotel rooms and advanced ticketing at its OEG venues. At March 31, 2025 and December 31, 2024, the Company had $226.3 million and $173.0 million, respectively, in deferred revenues, which are included in accounts payable and accrued liabilities in the accompanying condensed consolidated balance sheets. Of the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amount outstanding at December 31, 2024, approximately $95.8 million was recognized in revenue during the three months ended March 31, 2025.</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INCOME PER SHARE: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per share data):</w:t>
      </w:r>
    </w:p>
    <w:p>
      <w:pPr>
        <w:spacing w:after="0" w:line="19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3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2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 in OEG</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 - if-converted method</w:t>
            </w:r>
          </w:p>
        </w:tc>
        <w:tc>
          <w:tcPr>
            <w:tcW w:w="7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63,672</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42,477</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equity-based compensation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7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63,813</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63,404</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more fully discussed in Note 1 to the consolidated financial statements included in the Company’s Annual Report on Form 10-K for the year ended December 31, 2024, although currently not exercisable, the minority investor of OEG has certain put rights (the “OEG Put Rights”) to require the Company to purchase the minority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minority investor’s noncontrolling equity interest was redeemed in exchange for shares of the Company’s common stock.</w:t>
      </w:r>
    </w:p>
    <w:p>
      <w:pPr>
        <w:spacing w:after="0" w:line="16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in RHP Hotel Properties, LP (the “Operating Partnership”) have been excluded from the denominator of the diluted income per share calculation for the three months ended March 31, 2025 and 2024 as there would be no effect on the calculation of diluted income per share because the income or loss attributable to the OP Units held by the noncontrolling interest holders would also be added or subtracted to derive net income available to common stockholders.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ACCUMULATED OTHER COMPREHENSIVE LOSS: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frozen noncontributory defined benefit pension plan, interest rate derivatives designated as cash flow hedges related to the Company’s outstanding debt as discussed in Note 7, “Debt,” and amounts related to an other-than-temporary impairment of a held-to-maturity investment that existed prior to 2020 with respect to the notes receivable discussed in Note 6, “Notes Receivable,” to the condensed consolidated financial statements included herein.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for the three months ended March 31, 2025 and 2024 consisted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(15,172)</w:t>
            </w:r>
          </w:p>
        </w:tc>
        <w:tc>
          <w:tcPr>
            <w:tcW w:w="0" w:type="dxa"/>
            <w:vAlign w:val="bottom"/>
          </w:tcPr>
          <w:p>
            <w:pPr>
              <w:spacing w:after="0"/>
              <w:rPr>
                <w:sz w:val="1"/>
                <w:szCs w:val="1"/>
                <w:color w:val="auto"/>
              </w:rPr>
            </w:pP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Losses arising during period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2025</w:t>
            </w:r>
          </w:p>
        </w:tc>
        <w:tc>
          <w:tcPr>
            <w:tcW w:w="4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(12,301)</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(19,387)</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4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(15,260)</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gridSpan w:val="2"/>
          </w:tcPr>
          <w:p>
            <w:pPr>
              <w:spacing w:after="0"/>
              <w:rPr>
                <w:sz w:val="17"/>
                <w:szCs w:val="17"/>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at March 31, 2025 and December 31, 2024 is summarized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613,870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4,623,486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4,593,839</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1,359,057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1,329,039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110,897</w:t>
            </w: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6,648,662</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(2,524,280)</w:t>
            </w:r>
          </w:p>
        </w:tc>
      </w:tr>
      <w:tr>
        <w:trPr>
          <w:trHeight w:val="20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4,169,575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4,124,382</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189"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As further discussed in the Company’s Annual Report on Form 10-K for the year ended December 31, 2024, in connection with the development of Gaylord National, the Company holds two issuances of governmental bonds (“Series A bond” and “Series B bond”) with a total carrying value and approximate fair value of $56.8 million and $57.8 million at March 31, 2025 and December 31, 2024, respectively, net of credit loss reserve of $38.0 million at each of March 31, 2025 and December 31, 2024. The Company receives debt service and principal payments thereon, payable from property tax increments, hotel taxes and special hotel rental taxes generated from Gaylord National through the maturity dates of July 1, 2034 and September 1, 2037, respectively. Interest income is recorded on an accrual basis to the extent that such amounts are expected to be collected. During the periods presented, the Company has accrued interest only on the Series A bond.</w:t>
      </w:r>
    </w:p>
    <w:p>
      <w:pPr>
        <w:spacing w:after="0" w:line="145" w:lineRule="exact"/>
        <w:rPr>
          <w:sz w:val="20"/>
          <w:szCs w:val="20"/>
          <w:color w:val="auto"/>
        </w:rPr>
      </w:pPr>
    </w:p>
    <w:p>
      <w:pPr>
        <w:jc w:val="both"/>
        <w:ind w:left="60" w:right="279"/>
        <w:spacing w:after="0" w:line="281" w:lineRule="auto"/>
        <w:rPr>
          <w:sz w:val="20"/>
          <w:szCs w:val="20"/>
          <w:color w:val="auto"/>
        </w:rPr>
      </w:pPr>
      <w:r>
        <w:rPr>
          <w:rFonts w:ascii="Times New Roman" w:cs="Times New Roman" w:eastAsia="Times New Roman" w:hAnsi="Times New Roman"/>
          <w:sz w:val="17"/>
          <w:szCs w:val="17"/>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life of the bonds as well as certain cumulative priority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payments due to others, the Series B bond is fully reserved. The Series A bond is of higher priority than other tranches which fall between the Company’s two issuances.</w:t>
      </w:r>
    </w:p>
    <w:p>
      <w:pPr>
        <w:spacing w:after="0" w:line="135"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interest income of $1.1 million and $1.2 million, respectively, on these bonds. The Company received interest payments of $2.2 million and $2.4 million during the three months ended March 31, 2025 and 2024, respectively, relating to these notes receivables.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March 31, 2025 and December 31, 2024 consisted of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interest at SOFR plus 1.50%, maturing May 18, 2027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Term Loan B, interest at SOFR plus 2.00%, maturing May 18, 2030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292,791</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7.25%, maturing July 15, 2028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6.50%, maturing April 1, 2032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$80M OEG Revolver, interest at SOFR plus 3.50%, maturing June 28, 2029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OEG Term Loan, interest at SOFR plus 3.50%, maturing June 28, 2031 (see Note 16)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 21 CMBS Loan, interest at 5.58%, original maturity January 5, 2026 (see Note 16)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128,967</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(51,484)</w:t>
            </w: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Unamortized discounts and premiums, net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w:t>
            </w:r>
          </w:p>
        </w:tc>
      </w:tr>
      <w:tr>
        <w:trPr>
          <w:trHeight w:val="209"/>
        </w:trPr>
        <w:tc>
          <w:tcPr>
            <w:tcW w:w="6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3,375,026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3,378,396</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Amounts due within one year of the balance sheet date consist of the Block 21 CMBS Loan, amortization payments for the term loan B of 1.0% of the refinanced $293.5 million principal balance, and amortization payments for the OEG term loan of 1.0% of the original $300 million principal balance.</w:t>
      </w:r>
    </w:p>
    <w:p>
      <w:pPr>
        <w:spacing w:after="0" w:line="149" w:lineRule="exact"/>
        <w:rPr>
          <w:sz w:val="20"/>
          <w:szCs w:val="20"/>
          <w:color w:val="auto"/>
        </w:rPr>
      </w:pPr>
    </w:p>
    <w:p>
      <w:pPr>
        <w:ind w:left="60" w:right="1299"/>
        <w:spacing w:after="0" w:line="453" w:lineRule="auto"/>
        <w:rPr>
          <w:sz w:val="20"/>
          <w:szCs w:val="20"/>
          <w:color w:val="auto"/>
        </w:rPr>
      </w:pPr>
      <w:r>
        <w:rPr>
          <w:rFonts w:ascii="Times New Roman" w:cs="Times New Roman" w:eastAsia="Times New Roman" w:hAnsi="Times New Roman"/>
          <w:sz w:val="18"/>
          <w:szCs w:val="18"/>
          <w:color w:val="auto"/>
        </w:rPr>
        <w:t xml:space="preserve">At March 31, 2025, there were no defaults under the covenants related to the Company’s outstanding debt. </w:t>
      </w:r>
      <w:r>
        <w:rPr>
          <w:rFonts w:ascii="Times New Roman" w:cs="Times New Roman" w:eastAsia="Times New Roman" w:hAnsi="Times New Roman"/>
          <w:sz w:val="18"/>
          <w:szCs w:val="18"/>
          <w:i w:val="1"/>
          <w:iCs w:val="1"/>
          <w:color w:val="auto"/>
        </w:rPr>
        <w:t>Interest Rate Derivatives</w:t>
      </w:r>
    </w:p>
    <w:p>
      <w:pPr>
        <w:spacing w:after="0" w:line="2"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 Company has entered into an interest rate swap to manage interest rate risk associated with a portion of the $300 million OEG term loan. The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5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$0.3 million will be reclassified from accumulated other comprehensive loss to interest expense in the next twelve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March 31, 2025 and December 31, 2024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15"/>
                <w:szCs w:val="15"/>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60" w:type="dxa"/>
            <w:vAlign w:val="bottom"/>
            <w:gridSpan w:val="2"/>
            <w:vMerge w:val="continue"/>
          </w:tcPr>
          <w:p>
            <w:pPr>
              <w:spacing w:after="0"/>
              <w:rPr>
                <w:sz w:val="10"/>
                <w:szCs w:val="10"/>
                <w:color w:val="auto"/>
              </w:rPr>
            </w:pPr>
          </w:p>
        </w:tc>
        <w:tc>
          <w:tcPr>
            <w:tcW w:w="11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80" w:type="dxa"/>
            <w:vAlign w:val="bottom"/>
            <w:gridSpan w:val="2"/>
            <w:vMerge w:val="continue"/>
          </w:tcPr>
          <w:p>
            <w:pPr>
              <w:spacing w:after="0"/>
              <w:rPr>
                <w:sz w:val="10"/>
                <w:szCs w:val="10"/>
                <w:color w:val="auto"/>
              </w:rPr>
            </w:pPr>
          </w:p>
        </w:tc>
        <w:tc>
          <w:tcPr>
            <w:tcW w:w="820" w:type="dxa"/>
            <w:vAlign w:val="bottom"/>
            <w:tcBorders>
              <w:top w:val="single" w:sz="8" w:color="auto"/>
            </w:tcBorders>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2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OEG Term Loan</w:t>
            </w:r>
          </w:p>
        </w:tc>
        <w:tc>
          <w:tcPr>
            <w:tcW w:w="6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4.5330%</w:t>
            </w:r>
          </w:p>
        </w:tc>
        <w:tc>
          <w:tcPr>
            <w:tcW w:w="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3-month SOFR</w:t>
            </w:r>
          </w:p>
        </w:tc>
        <w:tc>
          <w:tcPr>
            <w:tcW w:w="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December 18, 2025</w:t>
            </w: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center"/>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(346)</w:t>
            </w:r>
          </w:p>
        </w:tc>
        <w:tc>
          <w:tcPr>
            <w:tcW w:w="20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121"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5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14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1540" w:type="dxa"/>
            <w:vAlign w:val="bottom"/>
            <w:tcBorders>
              <w:top w:val="single" w:sz="8" w:color="auto"/>
            </w:tcBorders>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660" w:type="dxa"/>
            <w:vAlign w:val="bottom"/>
            <w:tcBorders>
              <w:top w:val="single" w:sz="8" w:color="auto"/>
            </w:tcBorders>
            <w:gridSpan w:val="4"/>
          </w:tcPr>
          <w:p>
            <w:pPr>
              <w:jc w:val="center"/>
              <w:ind w:left="227"/>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140" w:type="dxa"/>
            <w:vAlign w:val="bottom"/>
            <w:tcBorders>
              <w:bottom w:val="single" w:sz="8" w:color="auto"/>
            </w:tcBorders>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560" w:type="dxa"/>
            <w:vAlign w:val="bottom"/>
          </w:tcPr>
          <w:p>
            <w:pPr>
              <w:jc w:val="right"/>
              <w:ind w:right="408"/>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(8)</w:t>
            </w:r>
          </w:p>
        </w:tc>
        <w:tc>
          <w:tcPr>
            <w:tcW w:w="340" w:type="dxa"/>
            <w:vAlign w:val="bottom"/>
          </w:tcPr>
          <w:p>
            <w:pPr>
              <w:jc w:val="right"/>
              <w:ind w:right="18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94"/>
              </w:rPr>
              <w:t>1,975</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640" w:type="dxa"/>
            <w:vAlign w:val="bottom"/>
          </w:tcPr>
          <w:p>
            <w:pPr>
              <w:jc w:val="right"/>
              <w:ind w:right="487"/>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40" w:type="dxa"/>
            <w:vAlign w:val="bottom"/>
          </w:tcPr>
          <w:p>
            <w:pPr>
              <w:spacing w:after="0"/>
              <w:rPr>
                <w:sz w:val="14"/>
                <w:szCs w:val="14"/>
                <w:color w:val="auto"/>
              </w:rPr>
            </w:pPr>
          </w:p>
        </w:tc>
        <w:tc>
          <w:tcPr>
            <w:tcW w:w="660" w:type="dxa"/>
            <w:vAlign w:val="bottom"/>
          </w:tcPr>
          <w:p>
            <w:pPr>
              <w:jc w:val="right"/>
              <w:ind w:right="50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560" w:type="dxa"/>
            <w:vAlign w:val="bottom"/>
            <w:tcBorders>
              <w:top w:val="single" w:sz="8" w:color="auto"/>
              <w:bottom w:val="single" w:sz="8" w:color="auto"/>
            </w:tcBorders>
            <w:shd w:val="clear" w:color="auto" w:fill="CCEEFF"/>
          </w:tcPr>
          <w:p>
            <w:pPr>
              <w:jc w:val="right"/>
              <w:ind w:right="408"/>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Borders>
              <w:top w:val="single" w:sz="8" w:color="auto"/>
              <w:bottom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w w:val="79"/>
              </w:rPr>
              <w:t>(8)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18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4"/>
              </w:rPr>
              <w:t>1,975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487"/>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ind w:right="50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547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the three months ended March 31, 2025 and 2024 was $54.3 million and $60.4 million, respectively.</w:t>
      </w:r>
    </w:p>
    <w:p>
      <w:pPr>
        <w:spacing w:after="0" w:line="14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At March 31, 2025, the fair value of derivatives in a net liability position including accrued interest but excluding any adjustment for nonperformance risk related to these agreements was $0.4 million. As of March 31, 2025,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$0.4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DEFERRED MANAGEMENT RIGHTS PROCEEDS:</w:t>
      </w:r>
    </w:p>
    <w:p>
      <w:pPr>
        <w:spacing w:after="0" w:line="18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is a lessee of a 65.3-acre site in Osceola County, Florida on which Gaylord Palms is located; building or land leases for Ole Red Gatlinburg, Ole Red Orlando, Ole Red Tishomingo, Ole Red Nashville International Airport and Ole Red Las Vegas;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with the exception of Ole Red Nashville International Airport, which has no extension option. Extension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options were not considered reasonably assured to be exercised as of the date of the agreement and, as a result, are not included in the Company’s calculation of its right-of-use assets and lease liabilities.</w:t>
      </w:r>
    </w:p>
    <w:p>
      <w:pPr>
        <w:spacing w:after="0" w:line="162"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costs for the three months ended March 31, 2025 and 2024 are as follows (in thousands):</w:t>
      </w:r>
    </w:p>
    <w:p>
      <w:pPr>
        <w:spacing w:after="0" w:line="22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5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r>
      <w:tr>
        <w:trPr>
          <w:trHeight w:val="216"/>
        </w:trPr>
        <w:tc>
          <w:tcPr>
            <w:tcW w:w="5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r>
      <w:tr>
        <w:trPr>
          <w:trHeight w:val="209"/>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March 31, 2025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545,639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(463,541)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41.3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3.3 years</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7.0 %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5.4 %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STOCK PLANS:</w:t>
      </w:r>
    </w:p>
    <w:p>
      <w:pPr>
        <w:spacing w:after="0" w:line="202"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0.2 million restricted stock units with a weighted-average grant date fair value of $101.64 per unit. There were 0.5 million and 0.4 million restricted stock units outstanding at March 31, 2025 and December 31, 2024.</w:t>
      </w:r>
    </w:p>
    <w:p>
      <w:pPr>
        <w:spacing w:after="0" w:line="13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Compensation expense for the Company’s equity-based compensation plans was $3.6 million and $3.9 million for the three months ended March 31,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Company elected to be taxed as a REIT effective January 1, 2013, pursuant to the U.S. Internal Revenue Code of 1986, as amended. As a REIT, generally the Company is not subject to federal corporate income taxes on ordinary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4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recorded an income tax provision of $4.2 million and $0.5 million, respectively, related to its TRSs.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2025 and December 31, 2024, the Company had no unrecognized tax benefits.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0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2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April 9, 2024, the Company received service of process in a lawsuit naming the Company and a subsidiary as co-defendants with Marriott, as the manager, and multiple contractors in a personal injury lawsuit filed by individual plaintiffs in Colorado state court. The lawsuit relates to a May 2023 incident at the Gaylord Rockies indoor pool amenity involving the collapse of HVAC equipment. The complaint requests an unspecified amount of damages related to alleged injuries to two guests. The Company intends to vigorously defend the lawsuit and believes it has strong defenses. The lawsuit is in its early stages so the Company cannot predict its likely outcome or estimate the range of possible loss, but the Company does not believe that the outcome will have a material impact on the Company’s financial position.</w:t>
      </w:r>
    </w:p>
    <w:p>
      <w:pPr>
        <w:spacing w:after="0" w:line="148"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In addition, 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On February 20, 2025, the Company’s board of directors declared the Company’s first quarter 2025 cash dividend in the amount of $1.15 per share of common stock, or an aggregate of approximately $69.5 million in cash, which was paid on April 15, 2025 to stockholders of record as of the close of business on March 31, 2025.</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March 31, 2025, 0.4 million outstanding OP Units, or 0.7% of the outstanding OP Units, were held by the noncontrolling limited partners and are included as a component of equity in the accompanying condensed consolidated balance sheets. The Company owns, directly or indirectly, the remaining 99.3% of the outstanding OP Units.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202"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5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121"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March 31, 2025 and December 31, 2024, were as follows (in thousands):</w:t>
      </w: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1"/>
                <w:szCs w:val="11"/>
                <w:color w:val="auto"/>
              </w:rPr>
            </w:pPr>
          </w:p>
        </w:tc>
        <w:tc>
          <w:tcPr>
            <w:tcW w:w="9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40" w:type="dxa"/>
            <w:vAlign w:val="bottom"/>
            <w:gridSpan w:val="3"/>
            <w:vMerge w:val="restart"/>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March 31, 2025 are not required to be recorded at fair value, and financial assets and liabilities approximate fair value.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FINANCIAL REPORTING BY BUSINESS SEGMENTS: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the following principal business segments:</w:t>
      </w:r>
    </w:p>
    <w:p>
      <w:pPr>
        <w:spacing w:after="0" w:line="183" w:lineRule="exact"/>
        <w:rPr>
          <w:sz w:val="20"/>
          <w:szCs w:val="20"/>
          <w:color w:val="auto"/>
        </w:rPr>
      </w:pPr>
    </w:p>
    <w:p>
      <w:pPr>
        <w:ind w:left="720" w:right="159" w:hanging="319"/>
        <w:spacing w:after="0" w:line="26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JW Marriott Hill Country, the Inn at Opryland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 Hotel;</w:t>
      </w:r>
    </w:p>
    <w:p>
      <w:pPr>
        <w:ind w:left="720" w:right="5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Category 10, Block 21, and Southern Entertainment; and</w:t>
      </w:r>
    </w:p>
    <w:p>
      <w:pPr>
        <w:ind w:left="720" w:right="379" w:hanging="319"/>
        <w:spacing w:after="0" w:line="26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operating and general and administrative expenses related to the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the Company which are not allocated to the other reportable segments.</w:t>
      </w:r>
    </w:p>
    <w:p>
      <w:pPr>
        <w:spacing w:after="0" w:line="141"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comprised of the Company’s chief executive officer and the Company’s chief financial officer. The CODM uses segment operating income (loss) to evaluate the performance of each segment and to allocate resources.</w:t>
      </w:r>
    </w:p>
    <w:p>
      <w:pPr>
        <w:spacing w:after="0" w:line="149"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The accounting policies for each segment are the same as those described in Note 1, “Description of the Business and Summary of Significant Accounting Policies,” to the Company’s Annual Report on Form 10-K for the year ended December 31, 2024. The Company does not have intersegment sales or transfers.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by the CODM for corporate management purposes (amounts in thousands):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0"/>
          </w:tcPr>
          <w:p>
            <w:pPr>
              <w:jc w:val="right"/>
              <w:ind w:right="170"/>
              <w:spacing w:after="0"/>
              <w:rPr>
                <w:sz w:val="20"/>
                <w:szCs w:val="20"/>
                <w:color w:val="auto"/>
              </w:rPr>
            </w:pPr>
            <w:r>
              <w:rPr>
                <w:rFonts w:ascii="Times New Roman" w:cs="Times New Roman" w:eastAsia="Times New Roman" w:hAnsi="Times New Roman"/>
                <w:sz w:val="18"/>
                <w:szCs w:val="18"/>
                <w:color w:val="auto"/>
              </w:rPr>
              <w:t>For the Three Months Ended March 31, 2025</w:t>
            </w:r>
          </w:p>
        </w:tc>
      </w:tr>
      <w:tr>
        <w:trPr>
          <w:trHeight w:val="191"/>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5120" w:type="dxa"/>
            <w:vAlign w:val="bottom"/>
          </w:tcPr>
          <w:p>
            <w:pPr>
              <w:spacing w:after="0"/>
              <w:rPr>
                <w:sz w:val="20"/>
                <w:szCs w:val="20"/>
                <w:color w:val="auto"/>
              </w:rPr>
            </w:pPr>
          </w:p>
        </w:tc>
        <w:tc>
          <w:tcPr>
            <w:tcW w:w="1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497,730</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587,280</w:t>
            </w: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46,289</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138,139</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123,924</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27,310</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15,535</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22,832</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54,106</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63,717</w:t>
            </w: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116,809</w:t>
            </w:r>
          </w:p>
        </w:tc>
        <w:tc>
          <w:tcPr>
            <w:tcW w:w="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4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116,121</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(45,388)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(54,283)</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unconsolidated joint ventures (2)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67,173</w:t>
            </w:r>
          </w:p>
        </w:tc>
      </w:tr>
      <w:tr>
        <w:trPr>
          <w:trHeight w:val="20"/>
        </w:trPr>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r>
      <w:tr>
        <w:trPr>
          <w:trHeight w:val="426"/>
        </w:trPr>
        <w:tc>
          <w:tcPr>
            <w:tcW w:w="5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0"/>
          </w:tcPr>
          <w:p>
            <w:pPr>
              <w:jc w:val="right"/>
              <w:ind w:right="170"/>
              <w:spacing w:after="0"/>
              <w:rPr>
                <w:sz w:val="20"/>
                <w:szCs w:val="20"/>
                <w:color w:val="auto"/>
              </w:rPr>
            </w:pPr>
            <w:r>
              <w:rPr>
                <w:rFonts w:ascii="Times New Roman" w:cs="Times New Roman" w:eastAsia="Times New Roman" w:hAnsi="Times New Roman"/>
                <w:sz w:val="18"/>
                <w:szCs w:val="18"/>
                <w:color w:val="auto"/>
              </w:rPr>
              <w:t>For the Three Months Ended March 31, 2024</w:t>
            </w:r>
          </w:p>
        </w:tc>
      </w:tr>
      <w:tr>
        <w:trPr>
          <w:trHeight w:val="191"/>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5120" w:type="dxa"/>
            <w:vAlign w:val="bottom"/>
          </w:tcPr>
          <w:p>
            <w:pPr>
              <w:spacing w:after="0"/>
              <w:rPr>
                <w:sz w:val="20"/>
                <w:szCs w:val="20"/>
                <w:color w:val="auto"/>
              </w:rPr>
            </w:pPr>
          </w:p>
        </w:tc>
        <w:tc>
          <w:tcPr>
            <w:tcW w:w="1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461,470</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528,345</w:t>
            </w: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44,101</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128,179</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118,813</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20,810</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50,230</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57,202</w:t>
            </w: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96,381</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(14,901)</w:t>
            </w:r>
          </w:p>
        </w:tc>
        <w:tc>
          <w:tcPr>
            <w:tcW w:w="2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(10,201)</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(35,341)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(60,443)</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r>
      <w:tr>
        <w:trPr>
          <w:trHeight w:val="216"/>
        </w:trPr>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unconsolidated joint ventures (2)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0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43,291</w:t>
            </w:r>
          </w:p>
        </w:tc>
      </w:tr>
      <w:tr>
        <w:trPr>
          <w:trHeight w:val="20"/>
        </w:trPr>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4,004,737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4,081,754</w:t>
            </w:r>
          </w:p>
        </w:tc>
      </w:tr>
      <w:tr>
        <w:trPr>
          <w:trHeight w:val="216"/>
        </w:trPr>
        <w:tc>
          <w:tcPr>
            <w:tcW w:w="6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653,969</w:t>
            </w:r>
          </w:p>
        </w:tc>
      </w:tr>
      <w:tr>
        <w:trPr>
          <w:trHeight w:val="216"/>
        </w:trPr>
        <w:tc>
          <w:tcPr>
            <w:tcW w:w="6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461,522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481,850</w:t>
            </w:r>
          </w:p>
        </w:tc>
      </w:tr>
      <w:tr>
        <w:trPr>
          <w:trHeight w:val="209"/>
        </w:trPr>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5,239,107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5,217,573</w:t>
            </w:r>
          </w:p>
        </w:tc>
      </w:tr>
      <w:tr>
        <w:trPr>
          <w:trHeight w:val="20"/>
        </w:trPr>
        <w:tc>
          <w:tcPr>
            <w:tcW w:w="2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63"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w:t>
      </w:r>
    </w:p>
    <w:p>
      <w:pPr>
        <w:spacing w:after="0" w:line="27" w:lineRule="exact"/>
        <w:rPr>
          <w:rFonts w:ascii="Times New Roman" w:cs="Times New Roman" w:eastAsia="Times New Roman" w:hAnsi="Times New Roman"/>
          <w:sz w:val="18"/>
          <w:szCs w:val="18"/>
          <w:color w:val="auto"/>
        </w:rPr>
      </w:pPr>
    </w:p>
    <w:p>
      <w:pPr>
        <w:ind w:left="720" w:right="9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 administrative employment costs, utilities, property taxes, supplies, advertising, maintenance and consulting expenses</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 advertising, utilities, maintenance and certain overhead expenses</w:t>
      </w:r>
    </w:p>
    <w:p>
      <w:pPr>
        <w:spacing w:after="0" w:line="9" w:lineRule="exact"/>
        <w:rPr>
          <w:rFonts w:ascii="Times New Roman" w:cs="Times New Roman" w:eastAsia="Times New Roman" w:hAnsi="Times New Roman"/>
          <w:sz w:val="18"/>
          <w:szCs w:val="18"/>
          <w:color w:val="auto"/>
        </w:rPr>
      </w:pPr>
    </w:p>
    <w:p>
      <w:pPr>
        <w:ind w:left="72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 information technology, human resources, accounting, equity-based compensation and other administrative expenses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from unconsolidated joint ventures relates to the Entertainment segment.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represents capital expenditures by segment for the periods presented (amounts in thousands):</w:t>
      </w:r>
    </w:p>
    <w:p>
      <w:pPr>
        <w:spacing w:after="0" w:line="232"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6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r>
      <w:tr>
        <w:trPr>
          <w:trHeight w:val="209"/>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56,843</w:t>
            </w:r>
          </w:p>
        </w:tc>
        <w:tc>
          <w:tcPr>
            <w:tcW w:w="180" w:type="dxa"/>
            <w:vAlign w:val="bottom"/>
            <w:shd w:val="clear" w:color="auto" w:fill="CCEEFF"/>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22,542</w:t>
            </w:r>
          </w:p>
        </w:tc>
        <w:tc>
          <w:tcPr>
            <w:tcW w:w="180" w:type="dxa"/>
            <w:vAlign w:val="bottom"/>
          </w:tcPr>
          <w:p>
            <w:pPr>
              <w:spacing w:after="0"/>
              <w:rPr>
                <w:sz w:val="18"/>
                <w:szCs w:val="18"/>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r>
      <w:tr>
        <w:trPr>
          <w:trHeight w:val="209"/>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112,727</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79,430</w:t>
            </w:r>
          </w:p>
        </w:tc>
        <w:tc>
          <w:tcPr>
            <w:tcW w:w="18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April 28, 2025, certain OEG subsidiaries borrowed an incremental term loan in an aggregate principal amount of $130 million (the “Incremental Loan”) on the same terms as the existing term loan under the OEG credit facility. The net proceeds of the Incremental Loan, together with cash on hand, were used to defease the non-recourse term loan secured by a mortgage on Block 21. As increased by the Incremental Loan, the OEG credit facility consists of (i) a senior secured term loan facility in an aggregate principal amount equal to $428.5 million and (ii) a senior secured revolving credit facility in an aggregate principal amount not to exceed $80.0 million, of which $12.0 million was outstanding as of April 28, 2025. No changes were made to the applicable interest rates or maturity date of any indebtedness under the OEG credit facility. Beginning with the principal payment for June 2025, on each quarterly principal payment date, the senior secured term loan under the OEG credit facility is required to be repaid in an amount equal to approximately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(as defined below)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condensed consolidated financial statements and related notes included elsewhere in this report and our audited consolidated financial statements and related notes for the year ended December 31, 2024, included in our Annual Report on Form 10-K that was filed with the SEC on February 21, 2025.</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w:t>
      </w:r>
    </w:p>
    <w:p>
      <w:pPr>
        <w:spacing w:after="0" w:line="11" w:lineRule="exact"/>
        <w:rPr>
          <w:sz w:val="20"/>
          <w:szCs w:val="20"/>
          <w:color w:val="auto"/>
        </w:rPr>
      </w:pPr>
    </w:p>
    <w:p>
      <w:pPr>
        <w:ind w:left="60" w:right="79" w:hanging="10"/>
        <w:spacing w:after="0" w:line="252"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the effects of inflation, other macroeconomic conditions and increased costs on our business and on our customers, including group customers at our hotels; and (xii) any other business or operational matters. We have based these forward-looking statements on our current expectations and projections about future events.</w:t>
      </w:r>
    </w:p>
    <w:p>
      <w:pPr>
        <w:spacing w:after="0" w:line="14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and changes in international, national, regional and local economic and market conditions (such as the imposition of trade barriers or other changes in trade policy) on our business, including the effects on costs of labor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supplies and effects on group customers at our hotels and customers in our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and those factors described elsewhere in this Quarterly Report on Form 10-Q and our Annual Report on Form 10-K for the year ended December 31, 2024 or described from time to time in our other reports filed with the SEC.</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99"/>
        <w:spacing w:after="0" w:line="270" w:lineRule="auto"/>
        <w:rPr>
          <w:sz w:val="20"/>
          <w:szCs w:val="20"/>
          <w:color w:val="auto"/>
        </w:rPr>
      </w:pPr>
      <w:r>
        <w:rPr>
          <w:rFonts w:ascii="Times New Roman" w:cs="Times New Roman" w:eastAsia="Times New Roman" w:hAnsi="Times New Roman"/>
          <w:sz w:val="17"/>
          <w:szCs w:val="17"/>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Our other owned hotel assets managed by Marriott include the JW Marriott San Antonio Hill Country Resort &amp; Spa (“JW Marriott Hill Country”), the Inn at Opryland, an overflow hotel adjacent to Gaylord Opryland, and the AC Hotel at National Harbor, Washington D.C. (“AC Hotel”), an overflow hotel adjacent to Gaylord National.</w:t>
      </w:r>
    </w:p>
    <w:p>
      <w:pPr>
        <w:spacing w:after="0" w:line="15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Each of our award-winning Gaylord Hotels properties, as well as JW Marriott Hill Country, incorporates not only high-quality lodging, but also at least 400,000 square feet (268,000 in the case of JW Marriott Hill Country) of meeting, convention and exhibition space, superb food and beverage options and retail and spa facilities within a single self-contained property. As a result, our Gaylord Hotels properties and JW Marriott Hill Country provide a convenient and entertaining environment for convention guests. Our Gaylord Hotels properties and JW Marriott Hill Country focus on the large group meetings market in the United States.</w:t>
      </w:r>
    </w:p>
    <w:p>
      <w:pPr>
        <w:spacing w:after="0" w:line="14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also own a controlling approximate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99 years; the Ryman Auditorium, the storied live music venue and former home of the Grand Ole Opry located in downtown Nashville; WSM-AM, the Opry’s radio home; Ole Red, a brand of Blake Shelton-themed bar, music venue and event spaces; Category 10, a Luke Combs-themed bar, music venue and event space that opened in November 2024; Block 21, a mixed-use entertainment, lodging, office, and retail complex located in Austin, Texas (“Block 21”), and as of January 3, 2025, a majority and controlling equity interest in Southern Entertainment, a Charlotte, North Carolina-based national music festival and events production company.</w:t>
      </w:r>
    </w:p>
    <w:p>
      <w:pPr>
        <w:spacing w:after="0" w:line="14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2024 for important information regarding forward-looking statements made in this report and risks and uncertainties we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2025 Activities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Significant activities we have undertaken in 2025 include (as well as where you can find more information herein or in the accompanying condensed consolidated financial statements):</w:t>
      </w:r>
    </w:p>
    <w:p>
      <w:pPr>
        <w:spacing w:after="0" w:line="162" w:lineRule="exact"/>
        <w:rPr>
          <w:sz w:val="20"/>
          <w:szCs w:val="20"/>
          <w:color w:val="auto"/>
        </w:rPr>
      </w:pPr>
    </w:p>
    <w:p>
      <w:pPr>
        <w:ind w:left="720" w:right="25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our existing properties through approximately $112.7 million in capital expenditures – “Liquidity and Capital Resources”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approximately $69.5 million in cash distributions – Note 13, “Equity”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and JW Marriott Hill Country focus on the large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and regional leisure transient markets in the United States and incorporate meeting and exhibition space, signature guest rooms, food and beverage offerings, fitness and spa facilities and other attractions within a large hotel property so attendees’ needs are met in one location. We believe this strategy creates a better experience for both meeting planners and guests and has led to our current Gaylord Hotels properties and JW Marriott Hill Country claiming a place among the leading convention hotels in the country.</w:t>
      </w:r>
    </w:p>
    <w:p>
      <w:pPr>
        <w:spacing w:after="0" w:line="14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Expansion of Hotel Asset Portfolio</w:t>
      </w:r>
      <w:r>
        <w:rPr>
          <w:rFonts w:ascii="Times New Roman" w:cs="Times New Roman" w:eastAsia="Times New Roman" w:hAnsi="Times New Roman"/>
          <w:sz w:val="18"/>
          <w:szCs w:val="18"/>
          <w:color w:val="auto"/>
        </w:rPr>
        <w:t>. Part of our long-term growth strategy includes acquisitions or developments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w:t>
      </w:r>
    </w:p>
    <w:p>
      <w:pPr>
        <w:spacing w:after="0" w:line="14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2024, we completed a $98 million multi-year interior and exterior enhancement project at Gaylord Rockies to better position the property for our group customers. In early 2024, we identified over $1 billion in capital investment opportunities across our entire hotel portfolio, comprised of projects that we anticipate completing in phases through 2027. We have previously announced plans for a nearly $225 million multi-phase capital improvement plan at Gaylord Opryland that includes the currently ongoing expansion of approximately 108,000 square feet of premium, carpeted meeting space; the construction of a sports bar, event lawn and pavilion; and the renovation of multiple ballrooms and pre-function space.</w:t>
      </w:r>
    </w:p>
    <w:p>
      <w:pPr>
        <w:spacing w:after="0" w:line="158"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television specials and retail products, through which we can capitalize on our brand affinity and awareness. To this end, we have invested in six Ole Red locations, purchased Block 21, opened Category 10 in November 2024, and purchased a majority interest in Southern Entertainment in January 2025. Further, in 2022, we completed a strategic transaction to sell a minority interest in OEG to an affiliate of Atairos Group, Inc. and its strategic partner NBCUniversal Media, LLC, who we believe will continue to help us expand the distribution of our OEG brands.</w:t>
      </w:r>
    </w:p>
    <w:p>
      <w:pPr>
        <w:spacing w:after="0" w:line="154"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Our short-term capital allocation strategy is focused on returning capital to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operations are organized into three principal business segments:</w:t>
      </w:r>
    </w:p>
    <w:p>
      <w:pPr>
        <w:spacing w:after="0" w:line="198" w:lineRule="exact"/>
        <w:rPr>
          <w:sz w:val="20"/>
          <w:szCs w:val="20"/>
          <w:color w:val="auto"/>
        </w:rPr>
      </w:pPr>
    </w:p>
    <w:p>
      <w:pPr>
        <w:ind w:left="720" w:right="29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JW Marriott Hill Country, the Inn at Opryland and the AC Hotel.</w:t>
      </w:r>
    </w:p>
    <w:p>
      <w:pPr>
        <w:spacing w:after="0" w:line="12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Category 10, Block 21, Southern Entertainment, and our other Nashville-based attractions.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98"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our total revenues were divided among these business segments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8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44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56"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34"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We also use certain “non-GAAP financial measures,” which are measures of our historical performance that are not calculated and presented in accordance with generally accepted accounting principles in the United States (“GAAP”), within the meaning of applicable SEC rules. These measures include:</w:t>
      </w:r>
    </w:p>
    <w:p>
      <w:pPr>
        <w:spacing w:after="0" w:line="147" w:lineRule="exact"/>
        <w:rPr>
          <w:sz w:val="20"/>
          <w:szCs w:val="20"/>
          <w:color w:val="auto"/>
        </w:rPr>
      </w:pPr>
    </w:p>
    <w:p>
      <w:pPr>
        <w:ind w:left="720" w:right="179" w:hanging="319"/>
        <w:spacing w:after="0" w:line="284"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and</w:t>
      </w:r>
    </w:p>
    <w:p>
      <w:pPr>
        <w:spacing w:after="0" w:line="119"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 holders.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9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seasonality,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months ended March 31, 2025 and 2024.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gridSpan w:val="2"/>
          </w:tcPr>
          <w:p>
            <w:pPr>
              <w:jc w:val="center"/>
              <w:ind w:left="1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532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5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3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189,232</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173,633</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253,263</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235,083</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55,235</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52,754</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89,550</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66,875</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0" w:type="dxa"/>
            <w:vAlign w:val="bottom"/>
            <w:tcBorders>
              <w:bottom w:val="single" w:sz="8" w:color="CCEEFF"/>
            </w:tcBorders>
          </w:tcPr>
          <w:p>
            <w:pPr>
              <w:spacing w:after="0"/>
              <w:rPr>
                <w:sz w:val="12"/>
                <w:szCs w:val="12"/>
                <w:color w:val="auto"/>
              </w:rPr>
            </w:pPr>
          </w:p>
        </w:tc>
        <w:tc>
          <w:tcPr>
            <w:tcW w:w="5280" w:type="dxa"/>
            <w:vAlign w:val="bottom"/>
            <w:tcBorders>
              <w:bottom w:val="single" w:sz="8" w:color="CCEEFF"/>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587,280</w:t>
            </w:r>
          </w:p>
        </w:tc>
        <w:tc>
          <w:tcPr>
            <w:tcW w:w="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528,345</w:t>
            </w:r>
          </w:p>
        </w:tc>
        <w:tc>
          <w:tcPr>
            <w:tcW w:w="2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r>
      <w:tr>
        <w:trPr>
          <w:trHeight w:val="142"/>
        </w:trPr>
        <w:tc>
          <w:tcPr>
            <w:tcW w:w="53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5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46,289</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44,101</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138,139</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128,179</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123,924</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118,813</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Hotel management fees, net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18,463</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69,770</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52,587</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10,770</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0" w:type="dxa"/>
            <w:vAlign w:val="bottom"/>
          </w:tcPr>
          <w:p>
            <w:pPr>
              <w:spacing w:after="0"/>
              <w:rPr>
                <w:sz w:val="12"/>
                <w:szCs w:val="12"/>
                <w:color w:val="auto"/>
              </w:rPr>
            </w:pPr>
          </w:p>
        </w:tc>
        <w:tc>
          <w:tcPr>
            <w:tcW w:w="5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(0.1)%</w:t>
            </w:r>
          </w:p>
        </w:tc>
      </w:tr>
      <w:tr>
        <w:trPr>
          <w:trHeight w:val="148"/>
        </w:trPr>
        <w:tc>
          <w:tcPr>
            <w:tcW w:w="40" w:type="dxa"/>
            <w:vAlign w:val="bottom"/>
          </w:tcPr>
          <w:p>
            <w:pPr>
              <w:spacing w:after="0"/>
              <w:rPr>
                <w:sz w:val="12"/>
                <w:szCs w:val="12"/>
                <w:color w:val="auto"/>
              </w:rPr>
            </w:pPr>
          </w:p>
        </w:tc>
        <w:tc>
          <w:tcPr>
            <w:tcW w:w="5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Hospitality</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54,106</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50,230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9,377</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6,740</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0" w:type="dxa"/>
            <w:vAlign w:val="bottom"/>
            <w:tcBorders>
              <w:bottom w:val="single" w:sz="8" w:color="CCEEFF"/>
            </w:tcBorders>
          </w:tcPr>
          <w:p>
            <w:pPr>
              <w:spacing w:after="0"/>
              <w:rPr>
                <w:sz w:val="12"/>
                <w:szCs w:val="12"/>
                <w:color w:val="auto"/>
              </w:rPr>
            </w:pPr>
          </w:p>
        </w:tc>
        <w:tc>
          <w:tcPr>
            <w:tcW w:w="5280" w:type="dxa"/>
            <w:vAlign w:val="bottom"/>
            <w:tcBorders>
              <w:bottom w:val="single" w:sz="8" w:color="CCEEFF"/>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63,717</w:t>
            </w:r>
          </w:p>
        </w:tc>
        <w:tc>
          <w:tcPr>
            <w:tcW w:w="62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400" w:type="dxa"/>
            <w:vAlign w:val="bottom"/>
            <w:tcBorders>
              <w:bottom w:val="single" w:sz="8" w:color="CCEEFF"/>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57,202</w:t>
            </w: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340" w:type="dxa"/>
            <w:vAlign w:val="bottom"/>
            <w:tcBorders>
              <w:bottom w:val="single" w:sz="8" w:color="CCEEFF"/>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471,159</w:t>
            </w:r>
          </w:p>
        </w:tc>
        <w:tc>
          <w:tcPr>
            <w:tcW w:w="6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80.2</w:t>
            </w:r>
          </w:p>
        </w:tc>
        <w:tc>
          <w:tcPr>
            <w:tcW w:w="400" w:type="dxa"/>
            <w:vAlign w:val="bottom"/>
            <w:gridSpan w:val="2"/>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431,964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81.8</w:t>
            </w:r>
          </w:p>
        </w:tc>
        <w:tc>
          <w:tcPr>
            <w:tcW w:w="340" w:type="dxa"/>
            <w:vAlign w:val="bottom"/>
            <w:gridSpan w:val="2"/>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53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9"/>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Hospitality</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116,809</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40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102,185</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10,403</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40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7,548</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(11,004)</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(12,186)</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5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020" w:type="dxa"/>
            <w:vAlign w:val="bottom"/>
            <w:gridSpan w:val="4"/>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200" w:type="dxa"/>
            <w:vAlign w:val="bottom"/>
          </w:tcPr>
          <w:p>
            <w:pPr>
              <w:spacing w:after="0"/>
              <w:rPr>
                <w:sz w:val="12"/>
                <w:szCs w:val="12"/>
                <w:color w:val="auto"/>
              </w:rPr>
            </w:pPr>
          </w:p>
        </w:tc>
        <w:tc>
          <w:tcPr>
            <w:tcW w:w="780" w:type="dxa"/>
            <w:vAlign w:val="bottom"/>
            <w:gridSpan w:val="3"/>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(0.3)%</w:t>
            </w:r>
          </w:p>
        </w:tc>
      </w:tr>
      <w:tr>
        <w:trPr>
          <w:trHeight w:val="148"/>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0.1 %</w:t>
            </w:r>
          </w:p>
        </w:tc>
      </w:tr>
      <w:tr>
        <w:trPr>
          <w:trHeight w:val="142"/>
        </w:trPr>
        <w:tc>
          <w:tcPr>
            <w:tcW w:w="40" w:type="dxa"/>
            <w:vAlign w:val="bottom"/>
          </w:tcPr>
          <w:p>
            <w:pPr>
              <w:spacing w:after="0"/>
              <w:rPr>
                <w:sz w:val="12"/>
                <w:szCs w:val="12"/>
                <w:color w:val="auto"/>
              </w:rPr>
            </w:pPr>
          </w:p>
        </w:tc>
        <w:tc>
          <w:tcPr>
            <w:tcW w:w="52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income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116,121</w:t>
            </w: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19.8</w:t>
            </w:r>
          </w:p>
        </w:tc>
        <w:tc>
          <w:tcPr>
            <w:tcW w:w="400" w:type="dxa"/>
            <w:vAlign w:val="bottom"/>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96,381</w:t>
            </w:r>
          </w:p>
        </w:tc>
        <w:tc>
          <w:tcPr>
            <w:tcW w:w="2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18.2</w:t>
            </w:r>
          </w:p>
        </w:tc>
        <w:tc>
          <w:tcPr>
            <w:tcW w:w="34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3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(54,283)</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(60,443)</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5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5,459</w:t>
            </w: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7,522</w:t>
            </w:r>
          </w:p>
        </w:tc>
        <w:tc>
          <w:tcPr>
            <w:tcW w:w="20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53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5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53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8"/>
        </w:trPr>
        <w:tc>
          <w:tcPr>
            <w:tcW w:w="532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(4,159)</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(530)</w:t>
            </w: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r>
      <w:tr>
        <w:trPr>
          <w:trHeight w:val="142"/>
        </w:trPr>
        <w:tc>
          <w:tcPr>
            <w:tcW w:w="532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63,014</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42,761</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52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noncontrolling interest in Opry Entertainment Group</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w:t>
            </w: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20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40" w:type="dxa"/>
            <w:vAlign w:val="bottom"/>
            <w:shd w:val="clear" w:color="auto" w:fill="CCEEFF"/>
          </w:tcPr>
          <w:p>
            <w:pPr>
              <w:spacing w:after="0"/>
              <w:rPr>
                <w:sz w:val="12"/>
                <w:szCs w:val="12"/>
                <w:color w:val="auto"/>
              </w:rPr>
            </w:pPr>
          </w:p>
        </w:tc>
        <w:tc>
          <w:tcPr>
            <w:tcW w:w="528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other noncontrolling interests</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52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26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62,961</w:t>
            </w:r>
          </w:p>
        </w:tc>
        <w:tc>
          <w:tcPr>
            <w:tcW w:w="20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43,056</w:t>
            </w:r>
          </w:p>
        </w:tc>
        <w:tc>
          <w:tcPr>
            <w:tcW w:w="20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88"/>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three months ended March 31, 2025 and 2024 (in thousands, except percentages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00" w:type="dxa"/>
            <w:vAlign w:val="bottom"/>
            <w:gridSpan w:val="4"/>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46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58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$ 587,280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$ 528,345</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471,159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431,964</w:t>
            </w:r>
          </w:p>
        </w:tc>
        <w:tc>
          <w:tcPr>
            <w:tcW w:w="14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116,121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42,761</w:t>
            </w:r>
          </w:p>
        </w:tc>
        <w:tc>
          <w:tcPr>
            <w:tcW w:w="14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per share - diluted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4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49.3 %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March 31, 2025, as compared to the same period in 2024, is primarily attributable to an increase in our Hospitality segment and Entertainment segment of $36.3 million and $22.7 million, respectively, as presented in the tables below.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increase in our total operating expenses for the three months ended March 31, 2025, as compared to the same period in 2024, is primarily the result of increases in our Hospitality segment and Entertainment segment of $17.8 million and $17.2 million, respectively, and an increase of $6.5 million in depreciation and amortization expense, as presented in the tables below.</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87"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above factors resulted in a $19.7 million improvement in operating income for the three months ended March 31, 2025, as compared to the 2024 period.</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00"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Our $20.3 million increase in net income for the three months ended March 31, 2025, as compared to the same period in 2024, was primarily due to the changes in our revenues and operating expenses reflected above, partially impacted by the following factors, each as described more fully below:</w:t>
      </w:r>
    </w:p>
    <w:p>
      <w:pPr>
        <w:spacing w:after="0" w:line="13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 million decrease in interest expense, net, in the 2025 period, as compared to the 2024 period.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 million increase in provision for income taxes in the 2025 period, as compared to the 2024 period.</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 and Current Environment</w:t>
      </w:r>
    </w:p>
    <w:p>
      <w:pPr>
        <w:spacing w:after="0" w:line="18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three months ended March 31, 2025, compared to the three months ended March 31, 2024, were:</w:t>
      </w:r>
    </w:p>
    <w:p>
      <w:pPr>
        <w:spacing w:after="0" w:line="121" w:lineRule="exact"/>
        <w:rPr>
          <w:sz w:val="20"/>
          <w:szCs w:val="20"/>
          <w:color w:val="auto"/>
        </w:rPr>
      </w:pPr>
    </w:p>
    <w:p>
      <w:pPr>
        <w:ind w:left="720" w:right="4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occupancy of 3.0 points of occupancy, as compared to the 2024 period, with increases in both group and transient room nights.</w:t>
      </w:r>
    </w:p>
    <w:p>
      <w:pPr>
        <w:spacing w:after="0" w:line="134"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ADR of 5.6% in the 2025 period, as compared to the 2024 period, reflective of our continued pricing strategy.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7.2% in outside-the-room spending in our Hospitality segment in the 2025 period, as compared to the 2024 period, primarily as a result of increased banquet and technology spending by groups.</w:t>
      </w:r>
    </w:p>
    <w:p>
      <w:pPr>
        <w:spacing w:after="0" w:line="13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In-the-year-for-the-year cancelled room nights at our hotels increased by approximately ten thousand rooms in the 2025 period, as compared to the 2024 period.</w:t>
      </w:r>
    </w:p>
    <w:p>
      <w:pPr>
        <w:spacing w:after="0" w:line="121" w:lineRule="exact"/>
        <w:rPr>
          <w:rFonts w:ascii="Times New Roman" w:cs="Times New Roman" w:eastAsia="Times New Roman" w:hAnsi="Times New Roman"/>
          <w:sz w:val="18"/>
          <w:szCs w:val="18"/>
          <w:color w:val="auto"/>
        </w:rPr>
      </w:pPr>
    </w:p>
    <w:p>
      <w:pPr>
        <w:jc w:val="both"/>
        <w:ind w:left="720" w:right="39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33.9% in Entertainment revenue in the 2025 period, as compared to the 2024 period, primarily related to Category 10, which opened in November 2024, as well as increases across the majority of our other Entertainment segment venues.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important factors and trends for the three months ended, and as of, March 31, 2025 include:</w:t>
      </w:r>
    </w:p>
    <w:p>
      <w:pPr>
        <w:spacing w:after="0" w:line="198" w:lineRule="exact"/>
        <w:rPr>
          <w:sz w:val="20"/>
          <w:szCs w:val="20"/>
          <w:color w:val="auto"/>
        </w:rPr>
      </w:pPr>
    </w:p>
    <w:p>
      <w:pPr>
        <w:ind w:left="720" w:right="9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8.2% in net definite group room nights booked at our hotels in the 2025 period, as compared to the 2024 period. However, notwithstanding the increase in net definite group room nights booked, ongoing economic policy uncertainty is weighing on near-term meeting planner decision-making, which is impacting lead volumes and group bookings for the in-the-year-for-the-year period.</w:t>
      </w:r>
    </w:p>
    <w:p>
      <w:pPr>
        <w:spacing w:after="0" w:line="139"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room nights on the books for all future years at our hotels at March 31, 2025 are 5.0% higher than the number on the books at the same point in 2024. In addition, the estimated ADR on those group room nights on the books at March 31, 2025 is 5.6% higher than the same point in 2024.</w:t>
      </w:r>
    </w:p>
    <w:p>
      <w:pPr>
        <w:spacing w:after="0" w:line="135"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strong revenues in recent periods have partially mitigated increasing operating costs in the current inflationary environment. In addition, while the Company has experienced higher interest rates than in historical periods, interest rates on our debt have decreased in the 2025 period, as compared to the 2024 period. The current inflationary environment is expected to continue in at least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Segment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months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and 2024 (in thousands, except percentages and performance metrics):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5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500" w:type="dxa"/>
            <w:vAlign w:val="bottom"/>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8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9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189,232</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173,633</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9.0 %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253,263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235,083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1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55,235</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52,754</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497,730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461,470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7.9 %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46,289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44,101</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128,179</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118,813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17,962</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54,106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50,230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1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380,921</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359,285</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w:t>
            </w:r>
          </w:p>
        </w:tc>
        <w:tc>
          <w:tcPr>
            <w:tcW w:w="18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116,809</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102,185</w:t>
            </w:r>
          </w:p>
        </w:tc>
        <w:tc>
          <w:tcPr>
            <w:tcW w:w="2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14.3 %</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w:t>
            </w: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69.7 %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66.7 %</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 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9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264.40</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250.48</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5.6 %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19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184.21</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167.17</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10.2 %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19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484.52</w:t>
            </w: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444.29</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189,583</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8.2 %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239" w:hanging="330"/>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Room nights available to guests include nights that rooms are out of service. Hospitality RevPAR is not comparable to similarly titled measures such as revenues.</w:t>
      </w:r>
    </w:p>
    <w:p>
      <w:pPr>
        <w:spacing w:after="0" w:line="148" w:lineRule="exact"/>
        <w:rPr>
          <w:rFonts w:ascii="Times New Roman" w:cs="Times New Roman" w:eastAsia="Times New Roman" w:hAnsi="Times New Roman"/>
          <w:sz w:val="18"/>
          <w:szCs w:val="18"/>
          <w:color w:val="auto"/>
        </w:rPr>
      </w:pPr>
    </w:p>
    <w:p>
      <w:pPr>
        <w:ind w:left="380" w:right="219" w:hanging="330"/>
        <w:spacing w:after="0" w:line="261"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that rooms are out of service. Hospitality Total RevPAR is not comparable to similarly titled measures such as revenues.</w:t>
      </w:r>
    </w:p>
    <w:p>
      <w:pPr>
        <w:spacing w:after="0" w:line="139"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Total Hospitality segment revenues in the three months ended March 31, 2025 include $6.7 million in attrition and cancellation fee revenue, a decrease of $1.7 million in attrition and cancellation fee collections from the 2024 period.</w:t>
      </w:r>
    </w:p>
    <w:p>
      <w:pPr>
        <w:spacing w:after="0" w:line="99"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4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920" w:type="dxa"/>
            <w:vAlign w:val="bottom"/>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3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4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20 %</w:t>
            </w:r>
          </w:p>
        </w:tc>
        <w:tc>
          <w:tcPr>
            <w:tcW w:w="900" w:type="dxa"/>
            <w:vAlign w:val="bottom"/>
          </w:tcPr>
          <w:p>
            <w:pPr>
              <w:spacing w:after="0"/>
              <w:rPr>
                <w:sz w:val="20"/>
                <w:szCs w:val="20"/>
                <w:color w:val="auto"/>
              </w:rPr>
            </w:pPr>
          </w:p>
        </w:tc>
      </w:tr>
      <w:tr>
        <w:trPr>
          <w:trHeight w:val="846"/>
        </w:trPr>
        <w:tc>
          <w:tcPr>
            <w:tcW w:w="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4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three months ended March 31, 2025 and 2024 consist of the following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54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200" w:type="dxa"/>
            <w:vAlign w:val="bottom"/>
          </w:tcPr>
          <w:p>
            <w:pPr>
              <w:spacing w:after="0"/>
              <w:rPr>
                <w:sz w:val="18"/>
                <w:szCs w:val="18"/>
                <w:color w:val="auto"/>
              </w:rPr>
            </w:pPr>
          </w:p>
        </w:tc>
        <w:tc>
          <w:tcPr>
            <w:tcW w:w="9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49,732</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118,813</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slightly and utilities decreased slightly in the three months ended March 31, 2025, as compared to the same period in 2024. The increase in property taxes during the three months ended March 31, 2025, as compared to the 2024 period, was primarily due to an increase at Gaylord National due to the 2024 period including a settlement of an appeal from prior tax years. The increase in other expenses, which include supplies, advertising, maintenance costs and consulting costs, during the three months ended March 31, 2025, as compared to the same period in 2024, was primarily due to increases at JW Marriott Hill Country and Gaylord National due to various increases associated with the increases in revenue.</w:t>
      </w:r>
    </w:p>
    <w:p>
      <w:pPr>
        <w:spacing w:after="0" w:line="14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is approximately 3% of gross revenues, and JW Marriott Hill Country is approximately 3.5% of gross revenues. Additionally, we pay Marriott an incentive management fee based on the profitability of our hotels. In the three months ended March 31, 2025 and 2024, we incurred $11.6 million and $10.8 million, respectively, related to base management fees for our Hospitality segment and $7.6 million and $8.0 million, respectively, related to incentive management fees for our Hospitality segment. Management fees are presented throughout this Quarterly Report on Form 10-Q net of the amortization of the deferred management rights proceeds discussed in Note 8, “Deferred Management Rights Proceeds,” to the accompanying condensed consolidated financial statements included herein.</w:t>
      </w:r>
    </w:p>
    <w:p>
      <w:pPr>
        <w:spacing w:after="0" w:line="15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increased in the three months ended March 31, 2025, as compared to the same period in 2024, primarily due to increases at Gaylord Palms and Gaylord Rockies associated with the addition of depreciable assets associated with the properties’ rooms and lobby renovation and grand lodge, events pavilion and food and beverage outlet repositioning,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and 2024.</w:t>
      </w:r>
    </w:p>
    <w:p>
      <w:pPr>
        <w:spacing w:after="0" w:line="158"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months ended March 31, 2025 and 2024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600" w:type="dxa"/>
            <w:vAlign w:val="bottom"/>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44,315</w:t>
            </w:r>
          </w:p>
        </w:tc>
        <w:tc>
          <w:tcPr>
            <w:tcW w:w="14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41,945</w:t>
            </w:r>
          </w:p>
        </w:tc>
        <w:tc>
          <w:tcPr>
            <w:tcW w:w="2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14,065</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9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110,178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103,835</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26,143</w:t>
            </w:r>
          </w:p>
        </w:tc>
        <w:tc>
          <w:tcPr>
            <w:tcW w:w="2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29,592</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w:t>
            </w:r>
          </w:p>
        </w:tc>
        <w:tc>
          <w:tcPr>
            <w:tcW w:w="2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80,080</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79,010</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30,098</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24,825</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21.2 %</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64.9 %</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65.1 %</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(0.2)pts</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262.57</w:t>
            </w:r>
          </w:p>
        </w:tc>
        <w:tc>
          <w:tcPr>
            <w:tcW w:w="14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245.28</w:t>
            </w:r>
          </w:p>
        </w:tc>
        <w:tc>
          <w:tcPr>
            <w:tcW w:w="2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170.49</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10"/>
        </w:trPr>
        <w:tc>
          <w:tcPr>
            <w:tcW w:w="5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423.89</w:t>
            </w:r>
          </w:p>
        </w:tc>
        <w:tc>
          <w:tcPr>
            <w:tcW w:w="14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395.10</w:t>
            </w:r>
          </w:p>
        </w:tc>
        <w:tc>
          <w:tcPr>
            <w:tcW w:w="2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three months ended March 31, 2025 and 2024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580" w:type="dxa"/>
            <w:vAlign w:val="bottom"/>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32,423</w:t>
            </w:r>
          </w:p>
        </w:tc>
        <w:tc>
          <w:tcPr>
            <w:tcW w:w="16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3"/>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10,745</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22.6 %</w:t>
            </w: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85,463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22,887</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39.8 %</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64,611</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60,457</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23,782</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25,006</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75.9 %</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74.6 %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 pts</w:t>
            </w: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276.14</w:t>
            </w:r>
          </w:p>
        </w:tc>
        <w:tc>
          <w:tcPr>
            <w:tcW w:w="16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267.99</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209.69</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199.89</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10"/>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571.68</w:t>
            </w:r>
          </w:p>
        </w:tc>
        <w:tc>
          <w:tcPr>
            <w:tcW w:w="16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546.66</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months ended March 31, 2025 and 2024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580" w:type="dxa"/>
            <w:vAlign w:val="bottom"/>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30,660</w:t>
            </w:r>
          </w:p>
        </w:tc>
        <w:tc>
          <w:tcPr>
            <w:tcW w:w="16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28,978</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47,544</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9,280</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84,902</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24,099</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18,674</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58,682</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58,870</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27,695</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26,032</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73.0 %</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73.2 %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(0.2)pts</w:t>
            </w: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257.26</w:t>
            </w:r>
          </w:p>
        </w:tc>
        <w:tc>
          <w:tcPr>
            <w:tcW w:w="16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239.77</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187.80</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175.54</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0"/>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529.08</w:t>
            </w:r>
          </w:p>
        </w:tc>
        <w:tc>
          <w:tcPr>
            <w:tcW w:w="16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514.32</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three months ended March 31, 2025 and 2024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580" w:type="dxa"/>
            <w:vAlign w:val="bottom"/>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32,395</w:t>
            </w:r>
          </w:p>
        </w:tc>
        <w:tc>
          <w:tcPr>
            <w:tcW w:w="16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27,641</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20.5 %</w:t>
            </w:r>
          </w:p>
        </w:tc>
        <w:tc>
          <w:tcPr>
            <w:tcW w:w="0" w:type="dxa"/>
            <w:vAlign w:val="bottom"/>
          </w:tcPr>
          <w:p>
            <w:pPr>
              <w:spacing w:after="0"/>
              <w:rPr>
                <w:sz w:val="1"/>
                <w:szCs w:val="1"/>
                <w:color w:val="auto"/>
              </w:rPr>
            </w:pPr>
          </w:p>
        </w:tc>
      </w:tr>
      <w:tr>
        <w:trPr>
          <w:trHeight w:val="203"/>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6,311</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5,685</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68,274</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18.4 %</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11.5 %</w:t>
            </w: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22,142</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14.7 %</w:t>
            </w: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8,401</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71,355</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63,051</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9,474</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81.4 %</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2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72.4 %</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64.4 %</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8.0 pts</w:t>
            </w:r>
          </w:p>
        </w:tc>
        <w:tc>
          <w:tcPr>
            <w:tcW w:w="0" w:type="dxa"/>
            <w:vAlign w:val="bottom"/>
          </w:tcPr>
          <w:p>
            <w:pPr>
              <w:spacing w:after="0"/>
              <w:rPr>
                <w:sz w:val="1"/>
                <w:szCs w:val="1"/>
                <w:color w:val="auto"/>
              </w:rPr>
            </w:pPr>
          </w:p>
        </w:tc>
      </w:tr>
      <w:tr>
        <w:trPr>
          <w:trHeight w:val="203"/>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249.02</w:t>
            </w:r>
          </w:p>
        </w:tc>
        <w:tc>
          <w:tcPr>
            <w:tcW w:w="16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236.16</w:t>
            </w: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180.33</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18.5 %</w:t>
            </w:r>
          </w:p>
        </w:tc>
        <w:tc>
          <w:tcPr>
            <w:tcW w:w="0" w:type="dxa"/>
            <w:vAlign w:val="bottom"/>
          </w:tcPr>
          <w:p>
            <w:pPr>
              <w:spacing w:after="0"/>
              <w:rPr>
                <w:sz w:val="1"/>
                <w:szCs w:val="1"/>
                <w:color w:val="auto"/>
              </w:rPr>
            </w:pPr>
          </w:p>
        </w:tc>
      </w:tr>
      <w:tr>
        <w:trPr>
          <w:trHeight w:val="210"/>
        </w:trPr>
        <w:tc>
          <w:tcPr>
            <w:tcW w:w="39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449.95</w:t>
            </w:r>
          </w:p>
        </w:tc>
        <w:tc>
          <w:tcPr>
            <w:tcW w:w="16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375.88</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19.7 %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3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months ended March 31, 2025 and 2024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25,083</w:t>
            </w:r>
          </w:p>
        </w:tc>
        <w:tc>
          <w:tcPr>
            <w:tcW w:w="18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2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17.5 %</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35,814</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6,241</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6,660</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70,948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63,822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19,975</w:t>
            </w:r>
          </w:p>
        </w:tc>
        <w:tc>
          <w:tcPr>
            <w:tcW w:w="2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10,131</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2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11.0 %</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13,841</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56,125</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51,825</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14,823</w:t>
            </w: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11,997</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23.6 %</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72.2 %</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64.5 %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7.7 pts</w:t>
            </w:r>
          </w:p>
        </w:tc>
        <w:tc>
          <w:tcPr>
            <w:tcW w:w="0" w:type="dxa"/>
            <w:vAlign w:val="bottom"/>
          </w:tcPr>
          <w:p>
            <w:pPr>
              <w:spacing w:after="0"/>
              <w:rPr>
                <w:sz w:val="1"/>
                <w:szCs w:val="1"/>
                <w:color w:val="auto"/>
              </w:rPr>
            </w:pPr>
          </w:p>
        </w:tc>
      </w:tr>
      <w:tr>
        <w:trPr>
          <w:trHeight w:val="203"/>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257.09</w:t>
            </w:r>
          </w:p>
        </w:tc>
        <w:tc>
          <w:tcPr>
            <w:tcW w:w="18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242.23</w:t>
            </w:r>
          </w:p>
        </w:tc>
        <w:tc>
          <w:tcPr>
            <w:tcW w:w="22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03"/>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185.68</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156.29</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18.8 %</w:t>
            </w:r>
          </w:p>
        </w:tc>
        <w:tc>
          <w:tcPr>
            <w:tcW w:w="0" w:type="dxa"/>
            <w:vAlign w:val="bottom"/>
          </w:tcPr>
          <w:p>
            <w:pPr>
              <w:spacing w:after="0"/>
              <w:rPr>
                <w:sz w:val="1"/>
                <w:szCs w:val="1"/>
                <w:color w:val="auto"/>
              </w:rPr>
            </w:pPr>
          </w:p>
        </w:tc>
      </w:tr>
      <w:tr>
        <w:trPr>
          <w:trHeight w:val="210"/>
        </w:trPr>
        <w:tc>
          <w:tcPr>
            <w:tcW w:w="5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525.19</w:t>
            </w:r>
          </w:p>
        </w:tc>
        <w:tc>
          <w:tcPr>
            <w:tcW w:w="18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467.24</w:t>
            </w: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i w:val="1"/>
          <w:iCs w:val="1"/>
          <w:color w:val="auto"/>
        </w:rPr>
        <w:t>JW Marriott Hill Country Results</w:t>
      </w:r>
      <w:r>
        <w:rPr>
          <w:rFonts w:ascii="Times New Roman" w:cs="Times New Roman" w:eastAsia="Times New Roman" w:hAnsi="Times New Roman"/>
          <w:sz w:val="18"/>
          <w:szCs w:val="18"/>
          <w:color w:val="auto"/>
        </w:rPr>
        <w:t>. The results of JW Marriott Hill Country for the three months ended March 31,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are as follows (in thousands, except percentages and performance metrics):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18,090</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24,658</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9.3 %</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12,201</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15,632</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15.0 %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40,807</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10,849</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9,134</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18.8 %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67.9 %</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63.6 %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4.3 pts</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312.19</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547.72</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200" w:lineRule="exact"/>
        <w:rPr>
          <w:sz w:val="20"/>
          <w:szCs w:val="20"/>
          <w:color w:val="auto"/>
        </w:rPr>
      </w:pPr>
    </w:p>
    <w:p>
      <w:pPr>
        <w:ind w:left="60" w:right="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Entertainment segment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and 2024 (in thousands, except percentages):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56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(52,587)</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80" w:type="dxa"/>
            <w:vAlign w:val="bottom"/>
            <w:tcBorders>
              <w:bottom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Revenues increased in our Entertainment segment in the three months ended March 31, 2025, as compared to the prior year period, primarily related to Category 10, which opened in November 2024, as well as increases across the majority of our other venues.</w:t>
      </w:r>
    </w:p>
    <w:p>
      <w:pPr>
        <w:spacing w:after="0" w:line="13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Entertainment segment operating expenses increased in the 2025 period, as compared to the 2024 period, primarily due to the opening of Category 10, as well as increases in variable expenses associated with the increase in revenue.</w:t>
      </w:r>
    </w:p>
    <w:p>
      <w:pPr>
        <w:spacing w:after="0" w:line="135"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in the 2025 period, as compared to the 2024 period, primarily due to the depreciable assets associated with Category 10.</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87" w:lineRule="exact"/>
        <w:rPr>
          <w:sz w:val="20"/>
          <w:szCs w:val="20"/>
          <w:color w:val="auto"/>
        </w:rPr>
      </w:pPr>
    </w:p>
    <w:p>
      <w:pPr>
        <w:ind w:left="60" w:right="10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and 2024 (in thousands, except percentages):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6"/>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560" w:type="dxa"/>
            <w:vAlign w:val="bottom"/>
          </w:tcPr>
          <w:p>
            <w:pPr>
              <w:jc w:val="right"/>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20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decreased in the three months ended March 31, 2025, as compared to the prior year period, primarily as a result of a decrease in employment and consulting expenses.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18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Preopening costs during the three months ended March 31, 2024 primarily include costs associated with Ole Red Las Vegas, which opened in January 2024, and Category 10, which opened November 2024.</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on Sale of Assets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Gain on sale of assets during the three months ended March 31, 2024 includes the sale of miscellaneous corporate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w:t>
      </w:r>
    </w:p>
    <w:p>
      <w:pPr>
        <w:spacing w:after="0" w:line="20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three months ended March 31, 2025 and 2024 (in thousands, except percentages):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00" w:type="dxa"/>
            <w:vAlign w:val="bottom"/>
            <w:gridSpan w:val="4"/>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80" w:type="dxa"/>
            <w:vAlign w:val="bottom"/>
          </w:tcPr>
          <w:p>
            <w:pPr>
              <w:spacing w:after="0"/>
              <w:rPr>
                <w:sz w:val="10"/>
                <w:szCs w:val="10"/>
                <w:color w:val="auto"/>
              </w:rPr>
            </w:pPr>
          </w:p>
        </w:tc>
        <w:tc>
          <w:tcPr>
            <w:tcW w:w="188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78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(54,283)</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(60,443)</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unconsolidated joint ventures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(684.7)%</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interest expense associated with our outstanding borrowings, including the impact of interest rate swaps, for the three months ended March 31, 2025 and 2024 (in thousands, except percentages):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760" w:type="dxa"/>
            <w:vAlign w:val="bottom"/>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Revolving 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RHP Term Loan B</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Senior Notes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Gaylord Rockies Term Loan</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Revolver</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(1,343)</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Other includes capitalized interest, as well as other miscellaneous items.</w:t>
      </w:r>
    </w:p>
    <w:p>
      <w:pPr>
        <w:spacing w:after="0" w:line="225"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6.4% and 7.2% for the three months ended March 31, 2025 and 2024, respectively.</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March 31, 2025 and 2024 primarily includes amounts earned on our cash balances, as well as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As a result of the March 2024 repayment of the previous Gaylord Rockies $800 million term loan, we recognized a loss on extinguishment of debt of $0.5 million in the three months ended March 31, 2024.</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gains and (losses), net for the three months ended March 31, 2025 and 2024 represents various miscellaneous items.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3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we recorded an income tax provision of $4.2 million and $0.5 million, respectively, related to our TRSs. The change in the income tax provision for the 2025 period, as compared to the 2024 period, relates to changes in income at our TRSs.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0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that we believe are useful to investors as key measures of our operating performance: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7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w:t>
      </w:r>
    </w:p>
    <w:p>
      <w:pPr>
        <w:spacing w:after="0" w:line="158"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provides useful information to investors regarding our operating performance and debt leverage metrics.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stockholders and unit holders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from unconsolidated joint ventures.</w:t>
      </w:r>
    </w:p>
    <w:p>
      <w:pPr>
        <w:spacing w:after="0" w:line="18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caution investors that non-GAAP financial measures we present may not be comparable to similar measures disclosed by other companies, because not all companies calculate these non-GAAP measures in the same manner. The non-GAAP financial measures we present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39"/>
        <w:spacing w:after="0" w:line="315" w:lineRule="auto"/>
        <w:rPr>
          <w:sz w:val="20"/>
          <w:szCs w:val="20"/>
          <w:color w:val="auto"/>
        </w:rPr>
      </w:pPr>
      <w:r>
        <w:rPr>
          <w:rFonts w:ascii="Times New Roman" w:cs="Times New Roman" w:eastAsia="Times New Roman" w:hAnsi="Times New Roman"/>
          <w:sz w:val="17"/>
          <w:szCs w:val="17"/>
          <w:color w:val="auto"/>
        </w:rPr>
        <w:t>The following is a reconciliation of our consolidated GAAP net income to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and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for the three months ended March 31, 2025 and 2024 (in thousands):</w:t>
      </w:r>
    </w:p>
    <w:p>
      <w:pPr>
        <w:spacing w:after="0" w:line="14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-3175</wp:posOffset>
            </wp:positionV>
            <wp:extent cx="13544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63,014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42,761</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48,824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52,921</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63,717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57,202</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sale of assets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(270)</w:t>
            </w:r>
          </w:p>
        </w:tc>
      </w:tr>
      <w:tr>
        <w:trPr>
          <w:trHeight w:val="203"/>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179,715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153,146</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 rata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w:t>
            </w:r>
          </w:p>
        </w:tc>
      </w:tr>
      <w:tr>
        <w:trPr>
          <w:trHeight w:val="196"/>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185,502</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161,065</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w:t>
            </w:r>
          </w:p>
        </w:tc>
        <w:tc>
          <w:tcPr>
            <w:tcW w:w="20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(5,626)</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(4,662)</w:t>
            </w:r>
          </w:p>
        </w:tc>
      </w:tr>
      <w:tr>
        <w:trPr>
          <w:trHeight w:val="196"/>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179,876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FFO and Adjusted FFO for the three months ended March 31, 2025 and 2024 (in thousands):</w:t>
      </w:r>
    </w:p>
    <w:p>
      <w:pPr>
        <w:spacing w:after="0" w:line="16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-3175</wp:posOffset>
            </wp:positionV>
            <wp:extent cx="13544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42,761</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 in Opry Entertainment Group</w:t>
            </w: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8"/>
                <w:szCs w:val="18"/>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57,154</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122,902</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98,473</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other assets</w:t>
            </w: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r>
      <w:tr>
        <w:trPr>
          <w:trHeight w:val="210"/>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Cash flow from operating activities is the principal source of cash used to</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 our operating expenses, interest payments on debt, maintenance capital expenditures, and dividends to stockholders.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2025, our net cash flows provided by operating activities were $98.2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reflecting our net income before depreciation expense, amortization expense and other non-cash charges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$136.0 million, partially offset by unfavorable changes in working capital of $37.8 million. The unfavorable changes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working capital primarily resulted from an increase in accounts receivable due to a seasonal increase in group business 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hotel properties and a decrease in accounts payable and accrued liabilities primarily related to the payment of accrued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property taxes and interest. These unfavorable changes in working capital were partially offset by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advanced ticket purchases at our OEG venues.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2024, our net cash flows provided by operating activities were $7.5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reflecting our net income before depreciation expense, amortization expense and other non-cash charges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$106.0 million, partially offset by unfavorable changes in working capital of $98.6 million. The unfavorable changes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working capital primarily resulted from a decrease in accounts payable and accrued liabilities primarily related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property tax accruals and the payment of liabilities associated with our holiday programs and an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due to a seasonal increase in group business at our hotel properties. These unfavorable changes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working capital were partially offset by an increase in advanced deposits on future hotel stays and advanced ticket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purchases at our OEG venues.</w:t>
      </w:r>
    </w:p>
    <w:p>
      <w:pPr>
        <w:spacing w:after="0" w:line="164"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During the three months ended March 31, 2025,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purchases of property and equipment, which totaled $112.7 million, and consisted primarily of the renovation of a ballroom and pre-function space and the development of a sports bar, pavilion and event lawn at Gaylord Opryland, the preparation for a rooms renovation at Gaylord Texan, and ongoing maintenance capital expenditures for each of our existing properties.</w:t>
      </w:r>
    </w:p>
    <w:p>
      <w:pPr>
        <w:spacing w:after="0" w:line="158"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our primary use of funds for investing activities were purchases of property and equipment, which totaled $79.4 million, and consisted primarily of enhancements at Gaylord Rockies to construct a new events pavilion, enhance the grand lodge and reposition its food and beverage outlets; the completion of Ole Red Las Vegas; a rooms renovation at the W Austin and common area enhancements at Block 21; the conversion of the Wildhorse Saloon to Category 10; a rooms renovation at Gaylord Palms; and ongoing maintenance capital expenditures for each of our existing properties.</w:t>
      </w:r>
    </w:p>
    <w:p>
      <w:pPr>
        <w:spacing w:after="0" w:line="145"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Cash Flows Used In Financing Activities</w:t>
      </w:r>
      <w:r>
        <w:rPr>
          <w:rFonts w:ascii="Times New Roman" w:cs="Times New Roman" w:eastAsia="Times New Roman" w:hAnsi="Times New Roman"/>
          <w:sz w:val="18"/>
          <w:szCs w:val="18"/>
          <w:color w:val="auto"/>
        </w:rPr>
        <w:t>. Our cash flows from financing activities primarily reflect the incurrence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of long-term debt and the payment of cash distributions. During the three months ended March 31, 2025, our net cash flows used in financing activities were $82.0 million, primarily reflecting the payment of $70.3 million in cash distributions.</w:t>
      </w:r>
    </w:p>
    <w:p>
      <w:pPr>
        <w:spacing w:after="0" w:line="14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our net cash flows used in financing activities were $81.8 million, primarily reflecting the issuance of the $1 Billion 6.50% Senior Notes (as defined below), offset by the prepayment of the Gaylord Rockies $800.0 million term loan, the repayment of $201.3 million under our term loan B, the payment of $67.1 million in cash dividends, and the payment of $16.8 million in deferred financing costs.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At March 31, 2025, we had $413.9 million in unrestricted cash and $763.0 million available for borrowing in the aggregate under our revolving credit facility and the OEG revolving credit facility. During the three months ended March 31, 2025, we incurred capital expenditures of $112.7 million and paid $70.3 million in cash distributions. These payments, partially offset by the cash flows provided by operations discussed above, were the primary factors in the decrease in our cash balance from December 31, 2024 to March 31, 2025.</w:t>
      </w:r>
    </w:p>
    <w:p>
      <w:pPr>
        <w:spacing w:after="0" w:line="143"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anticipate investing in our operations during the remainder of 2025 by spending between approximately $235 million and $335 million in capital expenditures, which includes projects at Gaylord Opryland for the renovation of a ballroom and pre-function space, the development of a sports bar, pavilion and event lawn, and a meeting space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expansion; a rooms renovation at Gaylord Texan; and ongoing maintenance capital for each of our current facilities. At this time, the scope of our multiyear capital program remains unchanged; however, the discrete nature of the projects in the pipeline allows us to take a flexible approach to evolving macroeconomic conditions. Further, our dividend policy provides that we will make minimum dividends of 100% of REIT taxable income annually. Future dividends are subject to our board of directors’ future determinations as to amount and timing. We currently have no debt maturities until May 2027. We believe we will be able to refinance our debt agreements prior to their maturities.</w:t>
      </w:r>
    </w:p>
    <w:p>
      <w:pPr>
        <w:spacing w:after="0" w:line="16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47"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March 31, 2025, there were no defaults under the covenants related to our outstanding debt.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9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18, 2023, we entered into a Credit Agreement (as modified pursuant to the First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the Second Incremental Agreement (as hereinafter defined),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w:t>
      </w:r>
    </w:p>
    <w:p>
      <w:pPr>
        <w:spacing w:after="0" w:line="145"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$700.0 million revolving credit facility (the “Revolver”) and a senior secured term loan B (the “Term Loan B”) (in the original principal amount of $500.0 million, which was reduced to $295.0 million on March 28, 2024 in connection with the First Incremental Agreement), as well as an accordion feature that will allow us to increase the facilities by an aggregate total of up to $475 million, which may be allocated between the Revolver and the Term Loan B at our option.</w:t>
      </w:r>
    </w:p>
    <w:p>
      <w:pPr>
        <w:spacing w:after="0" w:line="143"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Each of the Revolver and the Term Loan B is guaranteed by us, each of our subsidiaries that own the Gaylord Hotels properties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spacing w:after="0" w:line="15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addition, each of the Revolver and Term Loan B contains certain covenants that,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9"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net leverage ratio of not greater than 6.50x.</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of not less than 1.50x.</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indebtedness must not exceed 30% of consolidated total asset value.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recourse indebtedness must not exceed 10% of consolidated total asset value.</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leverage ratio must not exceed 55% (with the ability to surge to 60% in connection with a material acquisition).</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to unsecured interest expense ratio of not less than 2.0x.</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47" w:lineRule="exact"/>
        <w:rPr>
          <w:sz w:val="20"/>
          <w:szCs w:val="20"/>
          <w:color w:val="auto"/>
        </w:rPr>
      </w:pPr>
    </w:p>
    <w:p>
      <w:pPr>
        <w:jc w:val="both"/>
        <w:ind w:left="60" w:right="179"/>
        <w:spacing w:after="0" w:line="271" w:lineRule="auto"/>
        <w:rPr>
          <w:sz w:val="20"/>
          <w:szCs w:val="20"/>
          <w:color w:val="auto"/>
        </w:rPr>
      </w:pPr>
      <w:r>
        <w:rPr>
          <w:rFonts w:ascii="Times New Roman" w:cs="Times New Roman" w:eastAsia="Times New Roman" w:hAnsi="Times New Roman"/>
          <w:sz w:val="17"/>
          <w:szCs w:val="17"/>
          <w:i w:val="1"/>
          <w:iCs w:val="1"/>
          <w:color w:val="auto"/>
        </w:rPr>
        <w:t>Revolving Credit Facility</w:t>
      </w:r>
      <w:r>
        <w:rPr>
          <w:rFonts w:ascii="Times New Roman" w:cs="Times New Roman" w:eastAsia="Times New Roman" w:hAnsi="Times New Roman"/>
          <w:sz w:val="17"/>
          <w:szCs w:val="17"/>
          <w:color w:val="auto"/>
        </w:rPr>
        <w:t>. The maturity date of the Revolver is May 18, 2027, with the option to extend the maturity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 maximum of one additional year through either (i) a single 12-month extension option or (ii) two individual 6-month extensions (subject to extension fees as detailed in the Credit Agreement). Borrowings under the Revolver bear interest at an annual rate equal to, at our option, either (i) Adjusted Term SOFR plus the applicable margin ranging from 1.40% to</w:t>
      </w:r>
    </w:p>
    <w:p>
      <w:pPr>
        <w:spacing w:after="0" w:line="1"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2.00%, (ii) Adjusted Daily Simple SOFR plus the applicable margin ranging from 1.40% to 2.00% or (iii) a base rate as set forth in the Credit Agreement plus the applicable margin ranging from 0.40% to 1.00%, with each option dependent upon our funded debt to total asset value ratio (as defined in the Credit Agreement). Principal is payable in full at maturity.</w:t>
      </w:r>
    </w:p>
    <w:p>
      <w:pPr>
        <w:spacing w:after="0" w:line="128"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For purposes of the Revolver, Adjusted Term SOFR is calculated as the sum of Term SOFR plus an adjustment of 0.10% (all as more specifically described in the Credit Agreement), subject to a floor of 0.00%. Adjusted Daily Simple SOFR is calculated as the sum of SOFR plus an adjustment of 0.10% (all as more specifically described in the Credit Agreement), subject to a floor of 0.00%.</w:t>
      </w:r>
    </w:p>
    <w:p>
      <w:pPr>
        <w:spacing w:after="0" w:line="13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At March 31, 2025, no amounts were outstanding under the Revolver, and there was $700.0 million of availability under the Revolver (subject to the satisfaction of debt incurrence tests under the indentures governing our $1 billion in aggregate principal amount of senior notes due 2032 (the “$1 Billion 6.50% Senior Notes”), our $700 million in aggregate principal amount of senior notes due 2027 (the “$700 Million 4.75% Senior Notes”), our $600 million in aggregate principal amount of senior notes due 2029 (the “$600 Million 4.50% Senior Notes”) and our $400 million in aggregate principal amount of senior notes due 2028 (the “$400 Million 7.25% Senior Notes”), which we met at March 31, 2025).</w:t>
      </w:r>
    </w:p>
    <w:p>
      <w:pPr>
        <w:spacing w:after="0" w:line="158"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Term Loan B. </w:t>
      </w:r>
      <w:r>
        <w:rPr>
          <w:rFonts w:ascii="Times New Roman" w:cs="Times New Roman" w:eastAsia="Times New Roman" w:hAnsi="Times New Roman"/>
          <w:sz w:val="17"/>
          <w:szCs w:val="17"/>
          <w:color w:val="auto"/>
        </w:rPr>
        <w:t>The Term Loan B has a maturity date of May 18, 2030. Prior to the effectiveness of the First Incremental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and the Second Incremental Agreement (as hereinafter defined), the applicable interest rate margins for borrowings under the Term Loan B were, at our option, either (i) Term SOFR plus 2.75%, (ii) Daily Simple SOFR plus 2.75% or (iii) a base rate as set forth in the Credit Agreement plus 1.75%. The Credit Agreement requires principal amortization payments in an amount equal to 1% per annum of the principal amount of the Term Loan B, which is payable quarterly. In addition, if for any fiscal year, there is Excess Cash Flow (as defined in the Credit Agreement), an additional principal amount is required. Amounts borrowed under the Term Loan B that are repaid or prepaid may not be reborrowed.</w:t>
      </w:r>
    </w:p>
    <w:p>
      <w:pPr>
        <w:spacing w:after="0" w:line="13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On April 12, 2024, we entered into an Incremental Tranche B Term Loan Agreement (the “First Incremental Agreement”), which supplemented the Credit Agreement and included the addition of certain new lenders and the removal of certain other lenders. The First Incremental Agreement reduced the applicable interest rate margins for the loans advanced under the refinanced Term Loan B. The applicable interest rate margins for the refinanced Term Loan B under the First Incremental Agreement were (i) 2.25% for SOFR Loans (as defined in the Credit Agreement) and (ii) 1.25% for base rate loans.</w:t>
      </w:r>
    </w:p>
    <w:p>
      <w:pPr>
        <w:spacing w:after="0" w:line="14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December 19, 2024, we entered into an additional Incremental Tranche B Term Loan Agreement (the “Second Incremental Agreement”), which supplants the Credit Agreement. The Second Incremental Agreement reduces the applicable interest rate margins for the loans advanced under the refinanced Term Loan B. The applicable interest rate margins for the refinanced Term Loan B under the Second Incremental Agreement are (i) 2.00% for SOFR Loans (as defined in the Credit Agreement) and (ii) 1.00% for base rate loans. Further, the Second Incremental Agreement provides for the applicable interest rate margins to be further reduced by an additional 0.25% upon our meeting certain criteria as set forth in the Second Incremental Agreement.</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At March 31, 2025, the interest rate on the Term Loan B was Term SOFR plus 2.00%. Neither the First Incremental Agreement nor the Second Incremental Agreement changed the maturity dates under the Credit Agreement or resulted in any increase in principal indebtedness. In addition, the Second Incremental Agreement confirmed that the annual amortization under the Term Loan B is 1% of the refinanced $293.5 million outstanding principal amount, with the balance due at maturity. At March 31, 2025, $292.1 million in borrowings were outstanding under the Term Loan B.</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Simple SOFR are subject to a floor of 0.00%.</w:t>
      </w:r>
    </w:p>
    <w:p>
      <w:pPr>
        <w:spacing w:after="0" w:line="19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$1 Billion 6.50% Senior Notes. </w:t>
      </w:r>
      <w:r>
        <w:rPr>
          <w:rFonts w:ascii="Times New Roman" w:cs="Times New Roman" w:eastAsia="Times New Roman" w:hAnsi="Times New Roman"/>
          <w:sz w:val="18"/>
          <w:szCs w:val="18"/>
          <w:color w:val="auto"/>
        </w:rPr>
        <w:t>On March 28, 2024, the Operating Partnership and Finco (collectively, the “issuing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completed the private placement of $1.0 billion in aggregate principal amount of 6.50% senior notes due 2032, which are guaranteed by the Company and its subsidiaries that guarantee the Credit Agreement. 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beginning October 1, 2024. The $1 Billion 6.50% Senior Notes are general unsecured and unsubordinated obligations of the issuing subsidiaries and rank equal in right of payment with such subsidiaries’ existing and future senior unsecured indebtedness, including the $700 Million 4.75% Senior Notes, the $600 Million 4.50% Senior Notes and the $400 Million 7.25% Senior Notes, and senior in right of payment to future subordinated indebtedness, if any. 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5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We used a portion of these net proceeds to prepay the indebtedness outstanding under our previous $800.0 million Gaylord Rockies term loan and used the remaining proceeds, together with cash on hand, to repay $200.0 million under the Term Loan B.</w:t>
      </w:r>
    </w:p>
    <w:p>
      <w:pPr>
        <w:spacing w:after="0" w:line="13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58"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Trust Company, National Association as trustee. The $500 Million 4.75% Senior Notes have a maturity date of October 15, 2027 and bear interest at 4.75% per annum, payable semi-annually in cash in arrears on April 15 and October 15 each year. The $500 Million 4.75% Senior Notes are general unsecured and unsubordinated obligations of the issuing subsidiaries and rank equal in right of payment with such subsidiaries’ existing and future senior unsecured indebtedness, including the $1 Billion 6.50% Senior Notes, the $600 Million 4.50% Senior Notes and the $400 Million 7.25%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Million 4.75% Senior Notes”). All other terms and conditions of the additional 2027 notes are identical to the $500 Million 4.75% Senior Notes.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$700 Million 4.75% Senior Notes are currently redeemable, in whole or in part, at a redemption price expressed as</w:t>
      </w:r>
    </w:p>
    <w:p>
      <w:pPr>
        <w:spacing w:after="0" w:line="27"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a percentage of the principal amount thereof, which percentage is currently 101.188%, and will be 100.000% beginning on October 15, 2025, plus accrued and unpaid interest thereon to, but not including, the redemption date.</w:t>
      </w:r>
    </w:p>
    <w:p>
      <w:pPr>
        <w:spacing w:after="0" w:line="154"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i w:val="1"/>
          <w:iCs w:val="1"/>
          <w:color w:val="auto"/>
        </w:rPr>
        <w:t>$600 Million 4.50% Senior Notes</w:t>
      </w:r>
      <w:r>
        <w:rPr>
          <w:rFonts w:ascii="Times New Roman" w:cs="Times New Roman" w:eastAsia="Times New Roman" w:hAnsi="Times New Roman"/>
          <w:sz w:val="17"/>
          <w:szCs w:val="17"/>
          <w:color w:val="auto"/>
        </w:rPr>
        <w:t>. In February 2021,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Trust Company, National Association as trustee. The $600 Million 4.50%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139"/>
        <w:spacing w:after="0" w:line="265" w:lineRule="auto"/>
        <w:rPr>
          <w:sz w:val="20"/>
          <w:szCs w:val="20"/>
          <w:color w:val="auto"/>
        </w:rPr>
      </w:pPr>
      <w:r>
        <w:rPr>
          <w:rFonts w:ascii="Times New Roman" w:cs="Times New Roman" w:eastAsia="Times New Roman" w:hAnsi="Times New Roman"/>
          <w:sz w:val="17"/>
          <w:szCs w:val="17"/>
          <w:color w:val="auto"/>
        </w:rPr>
        <w:t>4.50% Senior Notes are general unsecured and unsubordinated obligations of the issuing subsidiaries and rank equal in right of payment with such subsidiaries’ existing and future senior unsecured indebtedness, including the $1 Billion 6.50% Senior Notes, the $700 Million 4.75% Senior Notes and the $400 Million 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w:t>
      </w:r>
    </w:p>
    <w:p>
      <w:pPr>
        <w:spacing w:after="0" w:line="1"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5"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$600 Million 4.50% Senior Notes are currently redeemable, in whole or in part, at a redemption price expressed as a percentage of the principal amount thereof, which percentage is currently 101.500% and will be 100.750%, and 100.000% beginning on February 15 of 2026, and 2027, respectively, plus accrued and unpaid interest thereon to, but not including, the redemption date.</w:t>
      </w:r>
    </w:p>
    <w:p>
      <w:pPr>
        <w:spacing w:after="0" w:line="151"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i w:val="1"/>
          <w:iCs w:val="1"/>
          <w:color w:val="auto"/>
        </w:rPr>
        <w:t>$400 Million 7.25% Senior Notes</w:t>
      </w:r>
      <w:r>
        <w:rPr>
          <w:rFonts w:ascii="Times New Roman" w:cs="Times New Roman" w:eastAsia="Times New Roman" w:hAnsi="Times New Roman"/>
          <w:sz w:val="17"/>
          <w:szCs w:val="17"/>
          <w:color w:val="auto"/>
        </w:rPr>
        <w:t>. On June 22, 2023,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1"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7.25% per annum, payable semi-annually in cash in arrears on January 15 and July 15 each year. The $400 Million 7.25% Senior Notes are general unsecured and unsubordinated obligations of the issuing subsidiaries and rank equal in right of payment with such subsidiaries’ existing and future senior unsecured indebtedness, including the $1 Billion 6.50% Senior Notes, the $700 Million 4.75% Senior Notes and the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52" w:lineRule="exact"/>
        <w:rPr>
          <w:sz w:val="20"/>
          <w:szCs w:val="20"/>
          <w:color w:val="auto"/>
        </w:rPr>
      </w:pPr>
    </w:p>
    <w:p>
      <w:pPr>
        <w:ind w:left="60" w:right="219"/>
        <w:spacing w:after="0" w:line="276" w:lineRule="auto"/>
        <w:rPr>
          <w:sz w:val="20"/>
          <w:szCs w:val="20"/>
          <w:color w:val="auto"/>
        </w:rPr>
      </w:pPr>
      <w:r>
        <w:rPr>
          <w:rFonts w:ascii="Times New Roman" w:cs="Times New Roman" w:eastAsia="Times New Roman" w:hAnsi="Times New Roman"/>
          <w:sz w:val="17"/>
          <w:szCs w:val="17"/>
          <w:color w:val="auto"/>
        </w:rPr>
        <w:t>The $400 Million 7.25% Senior Notes are redeemable before July 15, 2025, in whole or in part, at 100.00%, plus accrued and unpaid interest thereon to, but not including, the redemption date, plus a make-whole premium. The $400 Million</w:t>
      </w:r>
    </w:p>
    <w:p>
      <w:pPr>
        <w:spacing w:after="0" w:line="1" w:lineRule="exact"/>
        <w:rPr>
          <w:sz w:val="20"/>
          <w:szCs w:val="20"/>
          <w:color w:val="auto"/>
        </w:rPr>
      </w:pPr>
    </w:p>
    <w:p>
      <w:pPr>
        <w:ind w:left="60" w:right="419"/>
        <w:spacing w:after="0" w:line="260" w:lineRule="auto"/>
        <w:rPr>
          <w:sz w:val="20"/>
          <w:szCs w:val="20"/>
          <w:color w:val="auto"/>
        </w:rPr>
      </w:pPr>
      <w:r>
        <w:rPr>
          <w:rFonts w:ascii="Times New Roman" w:cs="Times New Roman" w:eastAsia="Times New Roman" w:hAnsi="Times New Roman"/>
          <w:sz w:val="18"/>
          <w:szCs w:val="18"/>
          <w:color w:val="auto"/>
        </w:rPr>
        <w:t>7.25% Senior Notes will be redeemable, in whole or in part, at any time on or after July 15, 2025 at a redemption price expressed as a percentage of the principal amount thereof, which percentage is 103.625%, 101.813% and</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100.000% beginning on July 15 of 2025, 2026, and 2027, respectively, plus accrued and unpaid interest thereon to, but not including, the redemption date.</w:t>
      </w:r>
    </w:p>
    <w:p>
      <w:pPr>
        <w:spacing w:after="0" w:line="135"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Each of the indentures governing the $1 Billion 6.50% Senior Notes, the $700 Million 4.75%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 sales, acquisitions, mergers and consolidations, liens and encumbrances and other matters customarily restricted in such agreements. In addition, if the Company experiences specific kinds of changes of control, the Company must offer to repurchase some or all of the senior notes at 101% of their principal amount, plus accrued and unpaid interest, if any, up to, but excluding, the repurchase date.</w:t>
      </w:r>
    </w:p>
    <w:p>
      <w:pPr>
        <w:spacing w:after="0" w:line="14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28, 2024,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certain First Amendment, which amends the Credit Agreement dated as of June 16, 2022 among OEG Borrower, as borrower, OEG Finance, certain subsidiaries of OEG Borrower from time to time party thereto as guarantors, the lenders party thereto and JPMorgan Chase Bank, N.A., as administrative agent (as amended, the “2024 OEG Credit Agreement”).</w:t>
      </w:r>
    </w:p>
    <w:p>
      <w:pPr>
        <w:spacing w:after="0" w:line="185" w:lineRule="exact"/>
        <w:rPr>
          <w:sz w:val="20"/>
          <w:szCs w:val="20"/>
          <w:color w:val="auto"/>
        </w:rPr>
      </w:pPr>
    </w:p>
    <w:p>
      <w:pPr>
        <w:ind w:left="60" w:right="319"/>
        <w:spacing w:after="0" w:line="277" w:lineRule="auto"/>
        <w:rPr>
          <w:sz w:val="20"/>
          <w:szCs w:val="20"/>
          <w:color w:val="auto"/>
        </w:rPr>
      </w:pPr>
      <w:r>
        <w:rPr>
          <w:rFonts w:ascii="Times New Roman" w:cs="Times New Roman" w:eastAsia="Times New Roman" w:hAnsi="Times New Roman"/>
          <w:sz w:val="17"/>
          <w:szCs w:val="17"/>
          <w:color w:val="auto"/>
        </w:rPr>
        <w:t>The 2024 OEG Credit Agreement provides for (i) a senior secured term loan facility in the aggregate amount of $300.0 million (the “2024 OEG Term Loan”) and (ii) a senior secured revolving credit facility in an aggregate principal amount not to exceed $80.0 million (the “OEG Revolver”). The 2024 OEG Term Loan refinanced and replaced the former term loan in the outstanding principal amount of $294.8 million as of June 28, 2024 and the OEG Revolver refinanced and replaced the senior secured revolving credit facility in an aggregate principal amount not to exceed $65.0 million.</w:t>
      </w:r>
    </w:p>
    <w:p>
      <w:pPr>
        <w:spacing w:after="0" w:line="1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April 28, 2025, OEG Borrower and OEG Finance entered into a Second Amendment, which amended the 2024 OEG Credit Agreement (as amended, the “OEG Credit Agreement”) in which OEG Borrower obtained an incremental term loan in an aggregate principal amount equal to $130.0 million (the “Incremental Loan”) on the same terms as the 2024 OEG Term Loan. The net proceeds of the Incremental Loan, together with cash on hand, were used to defease the Block 21 CMBS Loan (as defined below) in full, which releases the borrower thereunder from the $127.9 million amount outstanding under the Block 21 CMBS Loan. As amended by the Second Amendment, the OEG Credit Agreement provides for (i) a senior secured term loan facility in an aggregate principal amount equal to $428.5 million (the “OEG Term Loan”) and (ii) the OEG Revolver. The Incremental Loan did not change any applicable interest rates or maturity dates of any indebtedness under the 2024 OEG Credit Agreement. Beginning with the principal payment for June 2025, on each quarterly principal payment date, the OEG Term Loan is required to be repaid in an amount equal to approximately $1.1 million.</w:t>
      </w:r>
    </w:p>
    <w:p>
      <w:pPr>
        <w:spacing w:after="0" w:line="165" w:lineRule="exact"/>
        <w:rPr>
          <w:sz w:val="20"/>
          <w:szCs w:val="20"/>
          <w:color w:val="auto"/>
        </w:rPr>
      </w:pPr>
    </w:p>
    <w:p>
      <w:pPr>
        <w:jc w:val="both"/>
        <w:ind w:left="60" w:right="339"/>
        <w:spacing w:after="0" w:line="266" w:lineRule="auto"/>
        <w:rPr>
          <w:sz w:val="20"/>
          <w:szCs w:val="20"/>
          <w:color w:val="auto"/>
        </w:rPr>
      </w:pPr>
      <w:r>
        <w:rPr>
          <w:rFonts w:ascii="Times New Roman" w:cs="Times New Roman" w:eastAsia="Times New Roman" w:hAnsi="Times New Roman"/>
          <w:sz w:val="18"/>
          <w:szCs w:val="18"/>
          <w:color w:val="auto"/>
        </w:rPr>
        <w:t>At March 31, 2025, $298.5 million was outstanding under the 2024 OEG Term Loan and $17.0 million was outstanding under the OEG Revolver. At the closing of the Incremental Loan, $428.5 million was outstanding under the OEG Term Loan and $12.0 million was outstanding under the OEG Revolver.</w:t>
      </w:r>
    </w:p>
    <w:p>
      <w:pPr>
        <w:spacing w:after="0" w:line="13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OEG Term Loan and the OEG Revolver are each secured by substantially all of the assets of OEG Finance and each of its subsidiaries (other than Block 21-related subsidiaries, as more specifically described in the OEG Credit Agreement). The OEG Term Loan bears interest at a rate equal to either, at OEG Borrower’s election, as of the closing contemplated by the OEG Credit Agreement: (a) the Alternate Base Rate plus 2.50% or (b) Adjusted Term SOFR plus 3.50% (all as more specifically described in the OEG Credit Agreement). In November 2022, OEG entered into an interest rate swap to fix the SOFR portion of the interest rate on $100.0 million of borrowings at 4.533% through December 2025. Borrowings under the OEG Revolver bear interest at a rate equal to either, at OEG Borrower’s election, as of the closing contemplated by the OEG Credit Agreement: (a) the Alternate Base Rate plus the Applicable Rate (as defined in the OEG Credit Agreement) or</w:t>
      </w:r>
    </w:p>
    <w:p>
      <w:pPr>
        <w:spacing w:after="0" w:line="1" w:lineRule="exact"/>
        <w:rPr>
          <w:sz w:val="20"/>
          <w:szCs w:val="20"/>
          <w:color w:val="auto"/>
        </w:rPr>
      </w:pPr>
    </w:p>
    <w:p>
      <w:pPr>
        <w:ind w:left="60" w:right="119" w:hanging="10"/>
        <w:spacing w:after="0" w:line="253" w:lineRule="auto"/>
        <w:tabs>
          <w:tab w:leader="none" w:pos="3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Term SOFR plus the Applicable Rate. Under the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OEG Credit Agreement). The Applicable Rate for borrowings as of March 31, 2025 is 2.50% for Alternative Base Rate Loans and 3.50% for Adjusted Term SOFR loans.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In connection with the purchase of Block 21 in May 2022, a subsidiary of the Company assumed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$136 million, ten-year, non-recourse term loan secured by a mortgage on Block 21 (the “Block 21 CMBS Loan”). At March 31, 2025, $128.2 million was outstanding under the Block 21 CMBS Loan. The proceeds of the Incremental Loan described above were used to defease the Block 21 CMBS Loan in full in April 2025.</w:t>
      </w:r>
    </w:p>
    <w:p>
      <w:pPr>
        <w:spacing w:after="0" w:line="153"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34"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20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March 31, 2025 for our variable-rate debt after considering interest rate swaps, our estimated interest obligations through 2029 are $785.0 million. These estimated obligations are $153.5 million for the remainder of 2025, $197.7 million in 2026, $189.0 million in 2027, $148.4 million in 2028, and $96.4 million in 2029.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2024 for a discussion of the interest we paid during 2024, 2023 and 2022.</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8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recent periods than in historical periods. However, favorable ADR and outside-the-room spend in our Hospitality segment and business levels in our Entertainment segment in recent periods have reduced the impact of increased operating costs on our financial position and results of operations.</w:t>
      </w:r>
    </w:p>
    <w:p>
      <w:pPr>
        <w:spacing w:after="0" w:line="149" w:lineRule="exact"/>
        <w:rPr>
          <w:sz w:val="20"/>
          <w:szCs w:val="20"/>
          <w:color w:val="auto"/>
        </w:rPr>
      </w:pPr>
    </w:p>
    <w:p>
      <w:pPr>
        <w:ind w:left="60" w:right="339"/>
        <w:spacing w:after="0" w:line="312" w:lineRule="auto"/>
        <w:rPr>
          <w:sz w:val="20"/>
          <w:szCs w:val="20"/>
          <w:color w:val="auto"/>
        </w:rPr>
      </w:pPr>
      <w:r>
        <w:rPr>
          <w:rFonts w:ascii="Times New Roman" w:cs="Times New Roman" w:eastAsia="Times New Roman" w:hAnsi="Times New Roman"/>
          <w:sz w:val="17"/>
          <w:szCs w:val="17"/>
          <w:color w:val="auto"/>
        </w:rPr>
        <w:t>Additionally, increased interest rates have driven higher interest expense on our debt than in historical periods, although interest rates on our debt have decreased in the 2025 period, as compared to the 2024 period. In an effort to mitigate the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impact of increased interest rates, at March 31, 2025, 85% of our outstanding debt is fixed-rate debt, after considering the impact of interest rate swaps.</w:t>
      </w:r>
    </w:p>
    <w:p>
      <w:pPr>
        <w:spacing w:after="0" w:line="135"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Company’s $1 Billion 6.50% Senior Notes, the $700 Million 4.75% Senior Notes, $600 Million 4.50% Senior Notes and $400 Million 7.25% Senior Notes were each issued by the Operating Partnership and Finco (collectively, the “Issuers”), and are guaranteed on a senior unsecured basis by the Company (as the parent company), each of the Operating Partnership’s subsidiaries that own the Gaylord Hotels properties and certain other of the Company’s subsidiaries, each of which also guarantees the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165"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3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3,232,265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payables due to non-guarantor subsidiaries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3,215,088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3,436,350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Total noncontrolling interest</w:t>
            </w: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Certain of our accounting policies, including those related to impairment of long-lived and other assets, credit losses on financial assets, income taxes,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Consolidated Financial Statements” presented in our Annual Report on Form 10-K for the year ended December 31, 2024. There were no newly identified critical accounting policies in the first three months of 2025, nor were there any material changes to the critical accounting policies and estimates discussed in our Annual Report on Form 10-K for the year ended December 31, 2024.</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market risks since December 31, 2024. For a discussion of the Company’s exposure to market risk, refer to the Company’s market risk disclosures set forth in Part II, Item 7A. “Quantitative and Qualitative Disclosures About Market Risk” of the Company’s Annual Report on Form 10-K for the year ended December 31, 2024.</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54"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12,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of our Annual Report on Form 10-K for the year ended December 31, 2024.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2025, none of our directors or officers (as defined in Rule 16a-1(f) of the Exchange Act) adopted or terminated a “Rule 10b5-1 trading arrangement” or “non-Rule 10b5-1 trading arrangement” (in each case, as defined in Item 408 of Regulation S-K).</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5"/>
          </w:tcPr>
          <w:p>
            <w:pPr>
              <w:ind w:left="20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7"/>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October 1, 2012).</w:t>
              </w:r>
            </w:hyperlink>
          </w:p>
        </w:tc>
        <w:tc>
          <w:tcPr>
            <w:tcW w:w="5460" w:type="dxa"/>
            <w:vAlign w:val="bottom"/>
            <w:tcBorders>
              <w:top w:val="single" w:sz="8" w:color="0000EE"/>
            </w:tcBorders>
            <w:gridSpan w:val="2"/>
          </w:tcPr>
          <w:p>
            <w:pPr>
              <w:spacing w:after="0"/>
              <w:rPr>
                <w:sz w:val="17"/>
                <w:szCs w:val="17"/>
                <w:color w:val="auto"/>
              </w:rPr>
            </w:pPr>
          </w:p>
        </w:tc>
        <w:tc>
          <w:tcPr>
            <w:tcW w:w="700" w:type="dxa"/>
            <w:vAlign w:val="bottom"/>
            <w:gridSpan w:val="3"/>
          </w:tcPr>
          <w:p>
            <w:pPr>
              <w:spacing w:after="0"/>
              <w:rPr>
                <w:sz w:val="17"/>
                <w:szCs w:val="17"/>
                <w:color w:val="auto"/>
              </w:rPr>
            </w:pPr>
          </w:p>
        </w:tc>
      </w:tr>
      <w:tr>
        <w:trPr>
          <w:trHeight w:val="196"/>
        </w:trPr>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68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Second Amended and Restated Bylaws of Ryman Hospitality Properties, Inc. (incorporated by</w:t>
              </w:r>
            </w:hyperlink>
          </w:p>
        </w:tc>
        <w:tc>
          <w:tcPr>
            <w:tcW w:w="62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reference to Exhibit 3.2 to the Company’s Annual Report on Form 10-K filed February 24, 2023).</w:t>
              </w:r>
            </w:hyperlink>
          </w:p>
        </w:tc>
        <w:tc>
          <w:tcPr>
            <w:tcW w:w="380" w:type="dxa"/>
            <w:vAlign w:val="bottom"/>
          </w:tcPr>
          <w:p>
            <w:pPr>
              <w:spacing w:after="0"/>
              <w:rPr>
                <w:sz w:val="17"/>
                <w:szCs w:val="17"/>
                <w:color w:val="auto"/>
              </w:rPr>
            </w:pPr>
          </w:p>
        </w:tc>
      </w:tr>
    </w:tbl>
    <w:p>
      <w:pPr>
        <w:spacing w:after="0" w:line="9" w:lineRule="exact"/>
        <w:rPr>
          <w:sz w:val="20"/>
          <w:szCs w:val="20"/>
          <w:color w:val="auto"/>
        </w:rPr>
      </w:pPr>
    </w:p>
    <w:p>
      <w:pPr>
        <w:ind w:left="1520" w:right="299" w:hanging="978"/>
        <w:spacing w:after="0" w:line="261" w:lineRule="auto"/>
        <w:tabs>
          <w:tab w:leader="none" w:pos="1520" w:val="left"/>
        </w:tabs>
        <w:numPr>
          <w:ilvl w:val="0"/>
          <w:numId w:val="22"/>
        </w:numPr>
        <w:rPr>
          <w:rFonts w:ascii="Times New Roman" w:cs="Times New Roman" w:eastAsia="Times New Roman" w:hAnsi="Times New Roman"/>
          <w:sz w:val="18"/>
          <w:szCs w:val="18"/>
          <w:u w:val="single" w:color="auto"/>
          <w:color w:val="0000EE"/>
        </w:rPr>
      </w:pPr>
      <w:hyperlink r:id="rId56">
        <w:r>
          <w:rPr>
            <w:rFonts w:ascii="Times New Roman" w:cs="Times New Roman" w:eastAsia="Times New Roman" w:hAnsi="Times New Roman"/>
            <w:sz w:val="18"/>
            <w:szCs w:val="18"/>
            <w:u w:val="single" w:color="auto"/>
            <w:color w:val="0000EE"/>
          </w:rPr>
          <w:t>List of Parent and Subsidiary Guarantors (incorporated by reference to Exhibit 22 to the Company’s</w:t>
        </w:r>
      </w:hyperlink>
      <w:r>
        <w:rPr>
          <w:rFonts w:ascii="Times New Roman" w:cs="Times New Roman" w:eastAsia="Times New Roman" w:hAnsi="Times New Roman"/>
          <w:sz w:val="18"/>
          <w:szCs w:val="18"/>
          <w:u w:val="single" w:color="auto"/>
          <w:color w:val="0000EE"/>
        </w:rPr>
        <w:t xml:space="preserve"> </w:t>
      </w:r>
      <w:hyperlink r:id="rId56">
        <w:r>
          <w:rPr>
            <w:rFonts w:ascii="Times New Roman" w:cs="Times New Roman" w:eastAsia="Times New Roman" w:hAnsi="Times New Roman"/>
            <w:sz w:val="18"/>
            <w:szCs w:val="18"/>
            <w:u w:val="single" w:color="auto"/>
            <w:color w:val="0000EE"/>
          </w:rPr>
          <w:t>Quarterly Report on Form 10-Q filed August 1, 2024).</w:t>
        </w:r>
      </w:hyperlink>
    </w:p>
    <w:tbl>
      <w:tblPr>
        <w:tblLayout w:type="fixed"/>
        <w:tblInd w:w="540" w:type="dxa"/>
        <w:tblCellMar>
          <w:top w:w="0" w:type="dxa"/>
          <w:left w:w="0" w:type="dxa"/>
          <w:bottom w:w="0" w:type="dxa"/>
          <w:right w:w="0" w:type="dxa"/>
        </w:tblCellMar>
      </w:tblP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642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Mark Fioravanti pursuant to Section 302 of Sarbanes-Oxley Act of 2002.</w:t>
            </w:r>
          </w:p>
        </w:tc>
        <w:tc>
          <w:tcPr>
            <w:tcW w:w="980" w:type="dxa"/>
            <w:vAlign w:val="bottom"/>
            <w:gridSpan w:val="3"/>
          </w:tcPr>
          <w:p>
            <w:pPr>
              <w:spacing w:after="0"/>
              <w:rPr>
                <w:sz w:val="15"/>
                <w:szCs w:val="15"/>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6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76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4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Fioravanti and Jennifer Hutcheson pursuant to 18 U.S.C. Section 1350, as</w:t>
            </w:r>
          </w:p>
        </w:tc>
      </w:tr>
      <w:tr>
        <w:trPr>
          <w:trHeight w:val="196"/>
        </w:trPr>
        <w:tc>
          <w:tcPr>
            <w:tcW w:w="980" w:type="dxa"/>
            <w:vAlign w:val="bottom"/>
          </w:tcPr>
          <w:p>
            <w:pPr>
              <w:spacing w:after="0"/>
              <w:rPr>
                <w:sz w:val="17"/>
                <w:szCs w:val="17"/>
                <w:color w:val="auto"/>
              </w:rPr>
            </w:pPr>
          </w:p>
        </w:tc>
        <w:tc>
          <w:tcPr>
            <w:tcW w:w="69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Sarbanes-Oxley Act of 2002.</w:t>
            </w:r>
          </w:p>
        </w:tc>
        <w:tc>
          <w:tcPr>
            <w:tcW w:w="5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materials from Ryman Hospitality Properties, Inc.’s Quarterly Report on Form 10-Q for</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quarterly period ended March 31, 2025, formatted in Inline XBRL (eXtensible Business Reporting</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Language): (i) Condensed Consolidated Balance Sheets (unaudited) at March 31, 2025 and December</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31, 2024, (ii) Condensed Consolidated Statements of Operations and Comprehensive Income</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(unaudited) for the three months ended March 31, 2025 and 2024, (iii) Condensed Consolidated</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Statements of Cash Flows (unaudited) for the three months ended March 31, 2025 and 2024, (iv)</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Condensed Consolidated Statements of Equity and Noncontrolling Interest (unaudited) for the three</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months ended March 31, 2025 and 2024, and (v) Notes To Condensed Consolidated Financial</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Statements (unaudited).</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8"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2025</w:t>
            </w: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191"/>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2940" w:type="dxa"/>
            <w:vAlign w:val="bottom"/>
          </w:tcPr>
          <w:p>
            <w:pPr>
              <w:spacing w:after="0"/>
              <w:rPr>
                <w:sz w:val="24"/>
                <w:szCs w:val="24"/>
                <w:color w:val="auto"/>
              </w:rPr>
            </w:pP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60" w:hanging="564"/>
        <w:spacing w:after="0" w:line="261" w:lineRule="auto"/>
        <w:tabs>
          <w:tab w:leader="none" w:pos="12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20" w:right="180" w:hanging="564"/>
        <w:spacing w:after="0" w:line="289" w:lineRule="auto"/>
        <w:tabs>
          <w:tab w:leader="none" w:pos="12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20" w:right="40" w:hanging="564"/>
        <w:spacing w:after="0" w:line="266" w:lineRule="auto"/>
        <w:tabs>
          <w:tab w:leader="none" w:pos="12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20" w:right="180" w:hanging="564"/>
        <w:spacing w:after="0" w:line="261" w:lineRule="auto"/>
        <w:tabs>
          <w:tab w:leader="none" w:pos="12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220" w:right="60" w:hanging="564"/>
        <w:spacing w:after="0" w:line="266" w:lineRule="auto"/>
        <w:tabs>
          <w:tab w:leader="none" w:pos="12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20" w:right="340" w:hanging="564"/>
        <w:spacing w:after="0" w:line="282" w:lineRule="auto"/>
        <w:tabs>
          <w:tab w:leader="none" w:pos="12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 2025</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Mark Fioravanti</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Mark Fioravanti</w:t>
            </w:r>
          </w:p>
        </w:tc>
        <w:tc>
          <w:tcPr>
            <w:tcW w:w="4720" w:type="dxa"/>
            <w:vAlign w:val="bottom"/>
          </w:tcPr>
          <w:p>
            <w:pPr>
              <w:spacing w:after="0"/>
              <w:rPr>
                <w:sz w:val="16"/>
                <w:szCs w:val="16"/>
                <w:color w:val="auto"/>
              </w:rPr>
            </w:pPr>
          </w:p>
        </w:tc>
      </w:t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76"/>
        </w:trPr>
        <w:tc>
          <w:tcPr>
            <w:tcW w:w="6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60" w:hanging="564"/>
        <w:spacing w:after="0" w:line="261" w:lineRule="auto"/>
        <w:tabs>
          <w:tab w:leader="none" w:pos="12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20" w:right="180" w:hanging="564"/>
        <w:spacing w:after="0" w:line="289" w:lineRule="auto"/>
        <w:tabs>
          <w:tab w:leader="none" w:pos="12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20" w:right="40" w:hanging="564"/>
        <w:spacing w:after="0" w:line="266" w:lineRule="auto"/>
        <w:tabs>
          <w:tab w:leader="none" w:pos="12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20" w:right="180" w:hanging="564"/>
        <w:spacing w:after="0" w:line="261" w:lineRule="auto"/>
        <w:tabs>
          <w:tab w:leader="none" w:pos="12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220" w:right="60" w:hanging="564"/>
        <w:spacing w:after="0" w:line="266" w:lineRule="auto"/>
        <w:tabs>
          <w:tab w:leader="none" w:pos="12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20" w:right="340" w:hanging="564"/>
        <w:spacing w:after="0" w:line="282" w:lineRule="auto"/>
        <w:tabs>
          <w:tab w:leader="none" w:pos="12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 2025</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Jennifer Hutcheson</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c>
          <w:tcPr>
            <w:tcW w:w="5220" w:type="dxa"/>
            <w:vAlign w:val="bottom"/>
          </w:tcPr>
          <w:p>
            <w:pPr>
              <w:spacing w:after="0"/>
              <w:rPr>
                <w:sz w:val="16"/>
                <w:szCs w:val="16"/>
                <w:color w:val="auto"/>
              </w:rPr>
            </w:pPr>
          </w:p>
        </w:tc>
      </w:tr>
      <w:tr>
        <w:trPr>
          <w:trHeight w:val="216"/>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680" w:type="dxa"/>
            <w:vAlign w:val="bottom"/>
          </w:tcPr>
          <w:p>
            <w:pPr>
              <w:spacing w:after="0"/>
              <w:rPr>
                <w:sz w:val="20"/>
                <w:szCs w:val="20"/>
                <w:color w:val="auto"/>
              </w:rPr>
            </w:pP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Chief Accounting Officer</w:t>
            </w:r>
          </w:p>
        </w:tc>
      </w:tr>
      <w:tr>
        <w:trPr>
          <w:trHeight w:val="776"/>
        </w:trPr>
        <w:tc>
          <w:tcPr>
            <w:tcW w:w="6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March 31, 2025,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May 2, 2025</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right="3140"/>
        <w:spacing w:after="0" w:line="260" w:lineRule="auto"/>
        <w:rPr>
          <w:sz w:val="20"/>
          <w:szCs w:val="20"/>
          <w:color w:val="auto"/>
        </w:rPr>
      </w:pPr>
      <w:r>
        <w:rPr>
          <w:rFonts w:ascii="Times New Roman" w:cs="Times New Roman" w:eastAsia="Times New Roman" w:hAnsi="Times New Roman"/>
          <w:sz w:val="18"/>
          <w:szCs w:val="18"/>
          <w:color w:val="auto"/>
        </w:rPr>
        <w:t>Executive Vice President, Chief Financial Officer and Chief Accounting Officer May 2, 2025</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lowerRoman"/>
      <w:start w:val="7"/>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upperLetter"/>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22"/>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54" Type="http://schemas.openxmlformats.org/officeDocument/2006/relationships/hyperlink" Target="http://www.sec.gov/Archives/edgar/data/1040829/000119312512410191/d419132dex31.htm" TargetMode="External"/><Relationship Id="rId55" Type="http://schemas.openxmlformats.org/officeDocument/2006/relationships/hyperlink" Target="https://www.sec.gov/Archives/edgar/data/1040829/000155837023002012/rhp-20221231xex3d2.htm" TargetMode="External"/><Relationship Id="rId56" Type="http://schemas.openxmlformats.org/officeDocument/2006/relationships/hyperlink" Target="https://www.sec.gov/Archives/edgar/data/1040829/000155837024010587/rhp-20240630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2025-05-02T13:27:27Z</dcterms:created>
  <dcterms:modified xsi:type="dcterms:W3CDTF">2025-05-02T13:27:27Z</dcterms:modified>
</cp:coreProperties>
</file>