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452120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ind w:left="1"/>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201" w:right="1120" w:hanging="3201"/>
        <w:spacing w:after="0" w:line="239"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2019</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821" w:right="1100" w:hanging="3821"/>
        <w:spacing w:after="0" w:line="239"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57" w:lineRule="exact"/>
        <w:rPr>
          <w:sz w:val="24"/>
          <w:szCs w:val="24"/>
          <w:color w:val="auto"/>
        </w:rPr>
      </w:pPr>
    </w:p>
    <w:p>
      <w:pPr>
        <w:ind w:left="3221"/>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121"/>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61"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3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73-0664379</w:t>
            </w:r>
          </w:p>
        </w:tc>
        <w:tc>
          <w:tcPr>
            <w:tcW w:w="220" w:type="dxa"/>
            <w:vAlign w:val="bottom"/>
          </w:tcPr>
          <w:p>
            <w:pPr>
              <w:spacing w:after="0"/>
              <w:rPr>
                <w:sz w:val="17"/>
                <w:szCs w:val="17"/>
                <w:color w:val="auto"/>
              </w:rPr>
            </w:pPr>
          </w:p>
        </w:tc>
      </w:tr>
      <w:tr>
        <w:trPr>
          <w:trHeight w:val="222"/>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1"/>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Identification No.)</w:t>
            </w:r>
          </w:p>
        </w:tc>
      </w:tr>
      <w:tr>
        <w:trPr>
          <w:trHeight w:val="35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One Gaylord Drive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p>
      <w:pPr>
        <w:ind w:left="1"/>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741"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27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Title of Each Class</w:t>
            </w:r>
          </w:p>
        </w:tc>
        <w:tc>
          <w:tcPr>
            <w:tcW w:w="230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Trading Symbol(s)</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195"/>
        </w:trPr>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par</w:t>
            </w:r>
          </w:p>
        </w:tc>
        <w:tc>
          <w:tcPr>
            <w:tcW w:w="46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RHP</w:t>
            </w:r>
          </w:p>
        </w:tc>
        <w:tc>
          <w:tcPr>
            <w:tcW w:w="400" w:type="dxa"/>
            <w:vAlign w:val="bottom"/>
          </w:tcPr>
          <w:p>
            <w:pPr>
              <w:spacing w:after="0"/>
              <w:rPr>
                <w:sz w:val="16"/>
                <w:szCs w:val="16"/>
                <w:color w:val="auto"/>
              </w:rPr>
            </w:pPr>
          </w:p>
        </w:tc>
        <w:tc>
          <w:tcPr>
            <w:tcW w:w="2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27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value $.01</w:t>
            </w:r>
          </w:p>
        </w:tc>
        <w:tc>
          <w:tcPr>
            <w:tcW w:w="1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2" w:lineRule="exact"/>
        <w:rPr>
          <w:sz w:val="24"/>
          <w:szCs w:val="24"/>
          <w:color w:val="auto"/>
        </w:rPr>
      </w:pPr>
    </w:p>
    <w:p>
      <w:pPr>
        <w:ind w:left="1" w:right="1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
        <w:spacing w:after="0" w:line="242" w:lineRule="exact"/>
        <w:rPr>
          <w:sz w:val="20"/>
          <w:szCs w:val="20"/>
          <w:color w:val="auto"/>
        </w:rPr>
      </w:pPr>
      <w:r>
        <w:rPr>
          <w:rFonts w:ascii="Arial" w:cs="Arial" w:eastAsia="Arial" w:hAnsi="Arial"/>
          <w:sz w:val="18"/>
          <w:szCs w:val="18"/>
          <w:color w:val="auto"/>
        </w:rPr>
        <w:t xml:space="preserve">(2) has been subject to such filing requirements for the past 90 days.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01" w:lineRule="exact"/>
        <w:rPr>
          <w:sz w:val="24"/>
          <w:szCs w:val="24"/>
          <w:color w:val="auto"/>
        </w:rPr>
      </w:pPr>
    </w:p>
    <w:p>
      <w:pPr>
        <w:ind w:left="1" w:right="8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14" w:lineRule="exact"/>
        <w:rPr>
          <w:sz w:val="24"/>
          <w:szCs w:val="24"/>
          <w:color w:val="auto"/>
        </w:rPr>
      </w:pPr>
    </w:p>
    <w:p>
      <w:pPr>
        <w:ind w:left="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p>
      <w:pPr>
        <w:ind w:left="1"/>
        <w:spacing w:after="0" w:line="228" w:lineRule="exact"/>
        <w:rPr>
          <w:sz w:val="20"/>
          <w:szCs w:val="20"/>
          <w:color w:val="auto"/>
        </w:rPr>
      </w:pPr>
      <w:r>
        <w:rPr>
          <w:rFonts w:ascii="Arial" w:cs="Arial" w:eastAsia="Arial" w:hAnsi="Arial"/>
          <w:sz w:val="17"/>
          <w:szCs w:val="17"/>
          <w:color w:val="auto"/>
        </w:rPr>
        <w:t xml:space="preserve">Large 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Non-accelerated filer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Smaller reporting company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Emerging growth company </w:t>
      </w:r>
      <w:r>
        <w:rPr>
          <w:rFonts w:ascii="Arial Unicode MS" w:cs="Arial Unicode MS" w:eastAsia="Arial Unicode MS" w:hAnsi="Arial Unicode MS"/>
          <w:sz w:val="17"/>
          <w:szCs w:val="17"/>
          <w:color w:val="auto"/>
        </w:rPr>
        <w:t>☐</w:t>
      </w:r>
    </w:p>
    <w:p>
      <w:pPr>
        <w:spacing w:after="0" w:line="156" w:lineRule="exact"/>
        <w:rPr>
          <w:sz w:val="24"/>
          <w:szCs w:val="24"/>
          <w:color w:val="auto"/>
        </w:rPr>
      </w:pPr>
    </w:p>
    <w:p>
      <w:pPr>
        <w:ind w:left="1"/>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82" w:lineRule="exact"/>
        <w:rPr>
          <w:sz w:val="24"/>
          <w:szCs w:val="24"/>
          <w:color w:val="auto"/>
        </w:rPr>
      </w:pPr>
    </w:p>
    <w:p>
      <w:pPr>
        <w:ind w:left="1" w:right="8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17" w:lineRule="exact"/>
        <w:rPr>
          <w:sz w:val="24"/>
          <w:szCs w:val="24"/>
          <w:color w:val="auto"/>
        </w:rPr>
      </w:pPr>
    </w:p>
    <w:tbl>
      <w:tblPr>
        <w:tblLayout w:type="fixed"/>
        <w:tblInd w:w="1" w:type="dxa"/>
        <w:tblCellMar>
          <w:top w:w="0" w:type="dxa"/>
          <w:left w:w="0" w:type="dxa"/>
          <w:bottom w:w="0" w:type="dxa"/>
          <w:right w:w="0" w:type="dxa"/>
        </w:tblCellMar>
      </w:tblPr>
      <w:tr>
        <w:trPr>
          <w:trHeight w:val="234"/>
        </w:trPr>
        <w:tc>
          <w:tcPr>
            <w:tcW w:w="5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ind w:left="1100"/>
              <w:spacing w:after="0"/>
              <w:rPr>
                <w:sz w:val="20"/>
                <w:szCs w:val="20"/>
                <w:color w:val="auto"/>
              </w:rPr>
            </w:pPr>
            <w:r>
              <w:rPr>
                <w:rFonts w:ascii="Arial" w:cs="Arial" w:eastAsia="Arial" w:hAnsi="Arial"/>
                <w:sz w:val="18"/>
                <w:szCs w:val="18"/>
                <w:b w:val="1"/>
                <w:bCs w:val="1"/>
                <w:color w:val="auto"/>
              </w:rPr>
              <w:t>Outstanding as of October 31, 2019</w:t>
            </w:r>
          </w:p>
        </w:tc>
      </w:tr>
      <w:tr>
        <w:trPr>
          <w:trHeight w:val="224"/>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9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51,446,724 shares</w:t>
            </w:r>
          </w:p>
        </w:tc>
      </w:tr>
      <w:tr>
        <w:trPr>
          <w:trHeight w:val="94"/>
        </w:trPr>
        <w:tc>
          <w:tcPr>
            <w:tcW w:w="4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r>
      <w:tr>
        <w:trPr>
          <w:trHeight w:val="82"/>
        </w:trPr>
        <w:tc>
          <w:tcPr>
            <w:tcW w:w="48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r>
      <w:tr>
        <w:trPr>
          <w:trHeight w:val="682"/>
        </w:trPr>
        <w:tc>
          <w:tcPr>
            <w:tcW w:w="4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665" w:right="9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14"/>
          </w:tcPr>
          <w:p>
            <w:pPr>
              <w:jc w:val="center"/>
              <w:ind w:right="1800"/>
              <w:spacing w:after="0"/>
              <w:rPr>
                <w:sz w:val="20"/>
                <w:szCs w:val="20"/>
                <w:color w:val="auto"/>
              </w:rPr>
            </w:pPr>
            <w:r>
              <w:rPr>
                <w:rFonts w:ascii="Arial" w:cs="Arial" w:eastAsia="Arial" w:hAnsi="Arial"/>
                <w:sz w:val="18"/>
                <w:szCs w:val="18"/>
                <w:b w:val="1"/>
                <w:bCs w:val="1"/>
                <w:color w:val="auto"/>
              </w:rPr>
              <w:t>RYMAN HOSPITALITY PROPERTIES, INC.</w:t>
            </w:r>
          </w:p>
        </w:tc>
        <w:tc>
          <w:tcPr>
            <w:tcW w:w="800" w:type="dxa"/>
            <w:vAlign w:val="bottom"/>
          </w:tcPr>
          <w:p>
            <w:pPr>
              <w:spacing w:after="0"/>
              <w:rPr>
                <w:sz w:val="20"/>
                <w:szCs w:val="20"/>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gridSpan w:val="13"/>
          </w:tcPr>
          <w:p>
            <w:pPr>
              <w:jc w:val="center"/>
              <w:ind w:right="1960"/>
              <w:spacing w:after="0"/>
              <w:rPr>
                <w:sz w:val="20"/>
                <w:szCs w:val="20"/>
                <w:color w:val="auto"/>
              </w:rPr>
            </w:pPr>
            <w:r>
              <w:rPr>
                <w:rFonts w:ascii="Arial" w:cs="Arial" w:eastAsia="Arial" w:hAnsi="Arial"/>
                <w:sz w:val="18"/>
                <w:szCs w:val="18"/>
                <w:b w:val="1"/>
                <w:bCs w:val="1"/>
                <w:color w:val="auto"/>
                <w:w w:val="91"/>
              </w:rPr>
              <w:t>For the Quarter Ended September 30, 2019</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385"/>
        </w:trPr>
        <w:tc>
          <w:tcPr>
            <w:tcW w:w="826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gridSpan w:val="20"/>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Balance Sheets (Unaudited) – September 30, 2019 and December 31,</w:t>
              </w:r>
            </w:hyperlink>
          </w:p>
        </w:tc>
        <w:tc>
          <w:tcPr>
            <w:tcW w:w="800" w:type="dxa"/>
            <w:vAlign w:val="bottom"/>
          </w:tcPr>
          <w:p>
            <w:pPr>
              <w:spacing w:after="0"/>
              <w:rPr>
                <w:sz w:val="24"/>
                <w:szCs w:val="24"/>
                <w:color w:val="auto"/>
              </w:rPr>
            </w:pPr>
          </w:p>
        </w:tc>
      </w:tr>
      <w:tr>
        <w:trPr>
          <w:trHeight w:val="20"/>
        </w:trPr>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580" w:type="dxa"/>
            <w:vAlign w:val="bottom"/>
            <w:gridSpan w:val="4"/>
          </w:tcPr>
          <w:p>
            <w:pPr>
              <w:ind w:left="1220"/>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2018</w:t>
              </w:r>
            </w:hyperlink>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(Unaudited) -</w:t>
              </w:r>
            </w:hyperlink>
          </w:p>
        </w:tc>
        <w:tc>
          <w:tcPr>
            <w:tcW w:w="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and Nine Months Ended September 30, 2019 and 2018</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For the Nine Months Ended</w:t>
              </w:r>
            </w:hyperlink>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2019 and 2018</w:t>
              </w:r>
            </w:hyperlink>
          </w:p>
        </w:tc>
        <w:tc>
          <w:tcPr>
            <w:tcW w:w="4660" w:type="dxa"/>
            <w:vAlign w:val="bottom"/>
            <w:tcBorders>
              <w:top w:val="single" w:sz="8" w:color="0000EE"/>
            </w:tcBorders>
            <w:gridSpan w:val="10"/>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 - For the</w:t>
              </w:r>
            </w:hyperlink>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and Nine Months Ended September 30, 2019 and 2018</w:t>
              </w:r>
            </w:hyperlink>
          </w:p>
        </w:tc>
        <w:tc>
          <w:tcPr>
            <w:tcW w:w="108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Borders>
              <w:top w:val="single" w:sz="8" w:color="0000EE"/>
            </w:tcBorders>
            <w:gridSpan w:val="14"/>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Notes to Condensed Consolidated Financial Statements (Unaudited)</w:t>
              </w:r>
            </w:hyperlink>
          </w:p>
        </w:tc>
        <w:tc>
          <w:tcPr>
            <w:tcW w:w="204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0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2. Management’s Discussion and Analysis of Financial Condition and Results of Operations.</w:t>
              </w:r>
            </w:hyperlink>
          </w:p>
        </w:tc>
        <w:tc>
          <w:tcPr>
            <w:tcW w:w="54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412"/>
        </w:trPr>
        <w:tc>
          <w:tcPr>
            <w:tcW w:w="66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Item 3. Quantitative and Qualitative Disclosures About Market Risk.</w:t>
              </w:r>
            </w:hyperlink>
          </w:p>
        </w:tc>
        <w:tc>
          <w:tcPr>
            <w:tcW w:w="264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 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 - Other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1. Legal Proceedings.</w:t>
              </w:r>
            </w:hyperlink>
          </w:p>
        </w:tc>
        <w:tc>
          <w:tcPr>
            <w:tcW w:w="5660" w:type="dxa"/>
            <w:vAlign w:val="bottom"/>
            <w:gridSpan w:val="1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1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Item 1A. Risk Factors.</w:t>
              </w:r>
            </w:hyperlink>
          </w:p>
        </w:tc>
        <w:tc>
          <w:tcPr>
            <w:tcW w:w="5960" w:type="dxa"/>
            <w:vAlign w:val="bottom"/>
            <w:gridSpan w:val="1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760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4940" w:type="dxa"/>
            <w:vAlign w:val="bottom"/>
            <w:tcBorders>
              <w:top w:val="single" w:sz="8" w:color="0000EE"/>
            </w:tcBorders>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3. Defaults Upon Senior Securities.</w:t>
              </w:r>
            </w:hyperlink>
          </w:p>
        </w:tc>
        <w:tc>
          <w:tcPr>
            <w:tcW w:w="266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2920" w:type="dxa"/>
            <w:vAlign w:val="bottom"/>
            <w:tcBorders>
              <w:top w:val="single" w:sz="8" w:color="0000EE"/>
            </w:tcBorders>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4. Mine Safety Disclosures.</w:t>
              </w:r>
            </w:hyperlink>
          </w:p>
        </w:tc>
        <w:tc>
          <w:tcPr>
            <w:tcW w:w="468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4"/>
                <w:szCs w:val="24"/>
                <w:color w:val="auto"/>
              </w:rPr>
            </w:pPr>
          </w:p>
        </w:tc>
        <w:tc>
          <w:tcPr>
            <w:tcW w:w="524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660" w:type="dxa"/>
            <w:vAlign w:val="bottom"/>
          </w:tcPr>
          <w:p>
            <w:pPr>
              <w:spacing w:after="0"/>
              <w:rPr>
                <w:sz w:val="24"/>
                <w:szCs w:val="24"/>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Item 6. Exhibits.</w:t>
              </w:r>
            </w:hyperlink>
          </w:p>
        </w:tc>
        <w:tc>
          <w:tcPr>
            <w:tcW w:w="6340" w:type="dxa"/>
            <w:vAlign w:val="bottom"/>
            <w:gridSpan w:val="1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412"/>
        </w:trPr>
        <w:tc>
          <w:tcPr>
            <w:tcW w:w="8260" w:type="dxa"/>
            <w:vAlign w:val="bottom"/>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08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rPr>
              <w:t>Property and equipment, net of accumulated depreciation (including $987,557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$1,018,499 from VIEs, respectively)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3,131,365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$ 3,149,095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Cash and cash equivalents - unrestricted (including $34,170 and $11,648 from VIEs,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w w:val="96"/>
              </w:rPr>
              <w:t>Cash and cash equivalents - restricted (including $8,297 and $5 from VIEs,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w w:val="96"/>
              </w:rPr>
              <w:t>Trade receivables, less allowance of $867 and $763, respectively (including $23,059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$2,019 from VIEs, 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83,168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w w:val="92"/>
              </w:rPr>
              <w:t>Prepaid expenses and other assets (including $26,068 and $20,419 from VIEs,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assets (including $212,367 and $241,973 from VIEs,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3,830,737</w:t>
            </w:r>
          </w:p>
        </w:tc>
        <w:tc>
          <w:tcPr>
            <w:tcW w:w="16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Debt and finance lease obligations (including $792,204 and $494,578 from VIEs,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2,581,312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$ 2,441,895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tcPr>
          <w:p>
            <w:pPr>
              <w:ind w:left="100"/>
              <w:spacing w:after="0" w:line="201" w:lineRule="exact"/>
              <w:rPr>
                <w:sz w:val="20"/>
                <w:szCs w:val="20"/>
                <w:color w:val="auto"/>
              </w:rPr>
            </w:pPr>
            <w:r>
              <w:rPr>
                <w:rFonts w:ascii="Arial" w:cs="Arial" w:eastAsia="Arial" w:hAnsi="Arial"/>
                <w:sz w:val="18"/>
                <w:szCs w:val="18"/>
                <w:color w:val="auto"/>
              </w:rPr>
              <w:t>Accounts payable and accrued liabilities (including $49,777 and $70,215 from VIEs,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258,045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Deferred management rights proceeds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0"/>
              <w:spacing w:after="0"/>
              <w:rPr>
                <w:sz w:val="20"/>
                <w:szCs w:val="20"/>
                <w:color w:val="auto"/>
              </w:rPr>
            </w:pPr>
            <w:r>
              <w:rPr>
                <w:rFonts w:ascii="Arial" w:cs="Arial" w:eastAsia="Arial" w:hAnsi="Arial"/>
                <w:sz w:val="18"/>
                <w:szCs w:val="18"/>
                <w:color w:val="auto"/>
              </w:rPr>
              <w:t>Noncontrolling interest in consolidated joint venture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279,352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w w:val="91"/>
              </w:rPr>
              <w:t>Preferred stock, $.01 par value, 100,000 shares authorized, no shares issued or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Common stock, $.01 par value, 400,000 shares authorized, 51,446 and 51,336 shares issued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900,247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of 612 and 592 shares, at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(534,403)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311,478</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3,830,737</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1440" w:right="1960"/>
        <w:spacing w:after="0" w:line="262" w:lineRule="auto"/>
        <w:rPr>
          <w:sz w:val="20"/>
          <w:szCs w:val="20"/>
          <w:color w:val="auto"/>
        </w:rPr>
      </w:pPr>
      <w:r>
        <w:rPr>
          <w:rFonts w:ascii="Arial" w:cs="Arial" w:eastAsia="Arial" w:hAnsi="Arial"/>
          <w:sz w:val="17"/>
          <w:szCs w:val="17"/>
          <w:b w:val="1"/>
          <w:bCs w:val="1"/>
          <w:color w:val="auto"/>
        </w:rPr>
        <w:t>RYMAN HOSPITALITY PROPERTIES, INC. AND SUBSIDIARIES CONDENSED CONSOLIDATED STATEMENTS OF OPERATIONS AND COMPREHENSIVE INCOME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Rooms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134,950</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103,181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411,866</w:t>
            </w:r>
          </w:p>
        </w:tc>
        <w:tc>
          <w:tcPr>
            <w:tcW w:w="16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332,490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155,173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118,496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499,346</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392,488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81,129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51,530</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135,385</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108,446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379,787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292,249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5"/>
              </w:rPr>
              <w:t>1,158,281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914,553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108,184</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211,677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273,074</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226,965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Management fees, net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hotel operating expenses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225,696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177,776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680,424</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Entertainment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26,518</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Preopening costs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160,560</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Impairment charges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323,284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252,149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962,498</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751,810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195,783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(100,840)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Loss from joint ventures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Other gains and (losses),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24,454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103,587</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115,224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(13,743)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20,890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22,591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89,844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105,476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w w:val="96"/>
              </w:rPr>
              <w:t>Net loss attributable to noncontrolling interest in consolidated joint venture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available to common stockholders</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101,140</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Basic income per share available to common stockholders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6"/>
                <w:szCs w:val="16"/>
                <w:color w:val="auto"/>
              </w:rPr>
              <w:t>Diluted income per share available to common stockholders</w:t>
            </w:r>
          </w:p>
        </w:tc>
        <w:tc>
          <w:tcPr>
            <w:tcW w:w="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Dividends declared per common share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0.90</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21"/>
                <w:szCs w:val="2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60" w:type="dxa"/>
            <w:vAlign w:val="bottom"/>
            <w:gridSpan w:val="2"/>
          </w:tcPr>
          <w:p>
            <w:pPr>
              <w:spacing w:after="0"/>
              <w:rPr>
                <w:sz w:val="20"/>
                <w:szCs w:val="20"/>
                <w:color w:val="auto"/>
              </w:rPr>
            </w:pPr>
            <w:r>
              <w:rPr>
                <w:rFonts w:ascii="Arial" w:cs="Arial" w:eastAsia="Arial" w:hAnsi="Arial"/>
                <w:sz w:val="16"/>
                <w:szCs w:val="16"/>
                <w:color w:val="auto"/>
              </w:rPr>
              <w:t>Comprehensive income, net of taxes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13,297</w:t>
            </w:r>
          </w:p>
        </w:tc>
        <w:tc>
          <w:tcPr>
            <w:tcW w:w="2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26,030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82,458</w:t>
            </w:r>
          </w:p>
        </w:tc>
        <w:tc>
          <w:tcPr>
            <w:tcW w:w="16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w w:val="99"/>
              </w:rPr>
              <w:t>Comprehensive loss, net of taxes, attributable to noncontrolling interest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13,190</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060" w:type="dxa"/>
            <w:vAlign w:val="bottom"/>
            <w:gridSpan w:val="2"/>
          </w:tcPr>
          <w:p>
            <w:pPr>
              <w:spacing w:after="0"/>
              <w:rPr>
                <w:sz w:val="20"/>
                <w:szCs w:val="20"/>
                <w:color w:val="auto"/>
              </w:rPr>
            </w:pPr>
            <w:r>
              <w:rPr>
                <w:rFonts w:ascii="Arial" w:cs="Arial" w:eastAsia="Arial" w:hAnsi="Arial"/>
                <w:sz w:val="16"/>
                <w:szCs w:val="16"/>
                <w:color w:val="auto"/>
                <w:w w:val="98"/>
              </w:rPr>
              <w:t>Comprehensive income, net of taxes, available to common stockholders</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16,650</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26,030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95,648</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89,844</w:t>
            </w:r>
          </w:p>
        </w:tc>
        <w:tc>
          <w:tcPr>
            <w:tcW w:w="3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105,476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to reconcile net income to net cash flows provided by operating activities: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Provision for deferred income taxes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160,560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charges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Write-off of deferred financing costs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1,956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from joint ventures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5,824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320"/>
              <w:spacing w:after="0"/>
              <w:rPr>
                <w:sz w:val="20"/>
                <w:szCs w:val="20"/>
                <w:color w:val="auto"/>
              </w:rPr>
            </w:pPr>
            <w:r>
              <w:rPr>
                <w:rFonts w:ascii="Arial" w:cs="Arial" w:eastAsia="Arial" w:hAnsi="Arial"/>
                <w:sz w:val="16"/>
                <w:szCs w:val="16"/>
                <w:color w:val="auto"/>
              </w:rPr>
              <w:t>Trade receivables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(22,975)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assets and liabilities</w:t>
            </w: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(9,954)</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(8,934)</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cash flows provided by operating activities</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231,141</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Purchases of property and equipment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(109,603)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(132,804)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Collection of notes receivable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Purchase of additional interest in Gaylord Rockies joint venture, net of cash acquired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(5,481)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Investment in other joint ventures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Purchase of remaining interest in Opry City Stage, net of cash acquired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investing activities</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flows used in investing activities</w:t>
            </w: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(142,542)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borrowings (repayments) under revolving credit facility</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Repayments under term loan B</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Issuance of senior notes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Redemption of senior notes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Borrowing under Gaylord Rockies term loan</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Repayment of Gaylord Rockies construction and mezzanine loans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(496,612)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financing costs paid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Payment of dividends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(137,037)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(128,769)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Distribution from consolidated joint venture to noncontrolling interest partners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00"/>
              <w:spacing w:after="0"/>
              <w:rPr>
                <w:sz w:val="20"/>
                <w:szCs w:val="20"/>
                <w:color w:val="auto"/>
              </w:rPr>
            </w:pPr>
            <w:r>
              <w:rPr>
                <w:rFonts w:ascii="Arial" w:cs="Arial" w:eastAsia="Arial" w:hAnsi="Arial"/>
                <w:sz w:val="16"/>
                <w:szCs w:val="16"/>
                <w:color w:val="auto"/>
              </w:rPr>
              <w:t>Payment of tax withholdings for share-based compensation</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financing activities</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Net cash flows used in financing activities</w:t>
            </w: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(116,893)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10,370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149,089</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640" w:type="dxa"/>
            <w:vAlign w:val="bottom"/>
          </w:tcPr>
          <w:p>
            <w:pPr>
              <w:spacing w:after="0"/>
              <w:rPr>
                <w:sz w:val="20"/>
                <w:szCs w:val="20"/>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159,459</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124,397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to balance sheet: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 - unrestricted</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101,786</w:t>
            </w:r>
          </w:p>
        </w:tc>
        <w:tc>
          <w:tcPr>
            <w:tcW w:w="3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Cash and cash equivalents - restricted</w:t>
            </w: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57,673</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cash equivalents, and restricted cash, end of period</w:t>
            </w:r>
          </w:p>
        </w:tc>
        <w:tc>
          <w:tcPr>
            <w:tcW w:w="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159,459</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124,397</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Paid-in</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Treasury</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8"/>
              </w:rPr>
              <w:t>Noncontrolling</w:t>
            </w:r>
          </w:p>
        </w:tc>
      </w:tr>
      <w:tr>
        <w:trPr>
          <w:trHeight w:val="16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r>
      <w:tr>
        <w:trPr>
          <w:trHeight w:val="156"/>
        </w:trPr>
        <w:tc>
          <w:tcPr>
            <w:tcW w:w="29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2018</w:t>
            </w: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513</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$ 900,795</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(15,183)</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(388,524)</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(28,024)</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469,577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287,433</w:t>
            </w:r>
          </w:p>
        </w:tc>
        <w:tc>
          <w:tcPr>
            <w:tcW w:w="20" w:type="dxa"/>
            <w:vAlign w:val="bottom"/>
          </w:tcPr>
          <w:p>
            <w:pPr>
              <w:spacing w:after="0"/>
              <w:rPr>
                <w:sz w:val="13"/>
                <w:szCs w:val="13"/>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29,408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29,408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(6,738)</w:t>
            </w:r>
          </w:p>
        </w:tc>
        <w:tc>
          <w:tcPr>
            <w:tcW w:w="20" w:type="dxa"/>
            <w:vAlign w:val="bottom"/>
          </w:tcPr>
          <w:p>
            <w:pPr>
              <w:spacing w:after="0"/>
              <w:rPr>
                <w:sz w:val="14"/>
                <w:szCs w:val="14"/>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Adjustment of noncontrolling interest to</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redemption value</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(10,420)</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(10,420)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10,420</w:t>
            </w:r>
          </w:p>
        </w:tc>
        <w:tc>
          <w:tcPr>
            <w:tcW w:w="20" w:type="dxa"/>
            <w:vAlign w:val="bottom"/>
          </w:tcPr>
          <w:p>
            <w:pPr>
              <w:spacing w:after="0"/>
              <w:rPr>
                <w:sz w:val="15"/>
                <w:szCs w:val="15"/>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5"/>
                <w:szCs w:val="15"/>
                <w:color w:val="auto"/>
              </w:rPr>
              <w:t>Transition adjustment related to adoption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5"/>
                <w:szCs w:val="15"/>
                <w:color w:val="auto"/>
              </w:rPr>
              <w:t>of ASU 2018-02</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2,707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(2,707)</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taxes</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(504)</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(46,076)</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(46,412)</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(3,825)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(3,824)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2,026</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2,026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29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March 31, 2019</w:t>
            </w: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514</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$ 899,164</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(15,687)</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(412,905)</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(30,622)</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440,464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291,115</w:t>
            </w:r>
          </w:p>
        </w:tc>
        <w:tc>
          <w:tcPr>
            <w:tcW w:w="20" w:type="dxa"/>
            <w:vAlign w:val="bottom"/>
          </w:tcPr>
          <w:p>
            <w:pPr>
              <w:spacing w:after="0"/>
              <w:rPr>
                <w:sz w:val="13"/>
                <w:szCs w:val="13"/>
                <w:color w:val="auto"/>
              </w:rPr>
            </w:pPr>
          </w:p>
        </w:tc>
      </w:tr>
      <w:tr>
        <w:trPr>
          <w:trHeight w:val="156"/>
        </w:trPr>
        <w:tc>
          <w:tcPr>
            <w:tcW w:w="2900" w:type="dxa"/>
            <w:vAlign w:val="bottom"/>
          </w:tcPr>
          <w:p>
            <w:pPr>
              <w:ind w:left="120"/>
              <w:spacing w:after="0" w:line="156" w:lineRule="exact"/>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49,383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49,383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(3,099)</w:t>
            </w:r>
          </w:p>
        </w:tc>
        <w:tc>
          <w:tcPr>
            <w:tcW w:w="20" w:type="dxa"/>
            <w:vAlign w:val="bottom"/>
          </w:tcPr>
          <w:p>
            <w:pPr>
              <w:spacing w:after="0"/>
              <w:rPr>
                <w:sz w:val="13"/>
                <w:szCs w:val="13"/>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Adjustment of noncontrolling interest to</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redemption value</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(10,293)</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(10,293)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10,293</w:t>
            </w:r>
          </w:p>
        </w:tc>
        <w:tc>
          <w:tcPr>
            <w:tcW w:w="20" w:type="dxa"/>
            <w:vAlign w:val="bottom"/>
          </w:tcPr>
          <w:p>
            <w:pPr>
              <w:spacing w:after="0"/>
              <w:rPr>
                <w:sz w:val="15"/>
                <w:szCs w:val="15"/>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29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(46,593)</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(46,500)</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5"/>
                <w:szCs w:val="15"/>
                <w:color w:val="auto"/>
              </w:rPr>
              <w:t>Distribution from consolidated joint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5"/>
                <w:szCs w:val="15"/>
                <w:color w:val="auto"/>
                <w:w w:val="99"/>
              </w:rPr>
              <w:t>venture to noncontrolling interest partners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(10,591)</w:t>
            </w: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1,935</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1,935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29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June 30, 2019</w:t>
            </w: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514</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$ 901,129</w:t>
            </w: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(15,687)</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(420,408)</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(30,524)</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435,024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287,718</w:t>
            </w:r>
          </w:p>
        </w:tc>
        <w:tc>
          <w:tcPr>
            <w:tcW w:w="20" w:type="dxa"/>
            <w:vAlign w:val="bottom"/>
          </w:tcPr>
          <w:p>
            <w:pPr>
              <w:spacing w:after="0"/>
              <w:rPr>
                <w:sz w:val="13"/>
                <w:szCs w:val="13"/>
                <w:color w:val="auto"/>
              </w:rPr>
            </w:pPr>
          </w:p>
        </w:tc>
      </w:tr>
      <w:tr>
        <w:trPr>
          <w:trHeight w:val="156"/>
        </w:trPr>
        <w:tc>
          <w:tcPr>
            <w:tcW w:w="2900" w:type="dxa"/>
            <w:vAlign w:val="bottom"/>
          </w:tcPr>
          <w:p>
            <w:pPr>
              <w:ind w:left="120"/>
              <w:spacing w:after="0" w:line="156" w:lineRule="exact"/>
              <w:rPr>
                <w:sz w:val="20"/>
                <w:szCs w:val="20"/>
                <w:color w:val="auto"/>
              </w:rPr>
            </w:pPr>
            <w:r>
              <w:rPr>
                <w:rFonts w:ascii="Arial" w:cs="Arial" w:eastAsia="Arial" w:hAnsi="Arial"/>
                <w:sz w:val="15"/>
                <w:szCs w:val="15"/>
                <w:color w:val="auto"/>
              </w:rPr>
              <w:t>Net income</w:t>
            </w:r>
          </w:p>
        </w:tc>
        <w:tc>
          <w:tcPr>
            <w:tcW w:w="80" w:type="dxa"/>
            <w:vAlign w:val="bottom"/>
          </w:tcPr>
          <w:p>
            <w:pPr>
              <w:spacing w:after="0"/>
              <w:rPr>
                <w:sz w:val="13"/>
                <w:szCs w:val="13"/>
                <w:color w:val="auto"/>
              </w:rPr>
            </w:pPr>
          </w:p>
        </w:tc>
        <w:tc>
          <w:tcPr>
            <w:tcW w:w="4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22,349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22,349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(1,459)</w:t>
            </w:r>
          </w:p>
        </w:tc>
        <w:tc>
          <w:tcPr>
            <w:tcW w:w="20" w:type="dxa"/>
            <w:vAlign w:val="bottom"/>
          </w:tcPr>
          <w:p>
            <w:pPr>
              <w:spacing w:after="0"/>
              <w:rPr>
                <w:sz w:val="13"/>
                <w:szCs w:val="13"/>
                <w:color w:val="auto"/>
              </w:rPr>
            </w:pP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Adjustment of noncontrolling interest to</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redemption value</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(90,877)</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(90,877)</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90,877</w:t>
            </w:r>
          </w:p>
        </w:tc>
        <w:tc>
          <w:tcPr>
            <w:tcW w:w="20" w:type="dxa"/>
            <w:vAlign w:val="bottom"/>
          </w:tcPr>
          <w:p>
            <w:pPr>
              <w:spacing w:after="0"/>
              <w:rPr>
                <w:sz w:val="15"/>
                <w:szCs w:val="15"/>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loss, net of income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5"/>
                <w:szCs w:val="15"/>
                <w:color w:val="auto"/>
              </w:rPr>
              <w:t>taxes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(7,593)</w:t>
            </w:r>
          </w:p>
        </w:tc>
        <w:tc>
          <w:tcPr>
            <w:tcW w:w="16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(7,593)</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Purchase of additional ownership interest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 consolidated joint venture</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(2,899)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(2,899)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(2,582)</w:t>
            </w:r>
          </w:p>
        </w:tc>
        <w:tc>
          <w:tcPr>
            <w:tcW w:w="20" w:type="dxa"/>
            <w:vAlign w:val="bottom"/>
          </w:tcPr>
          <w:p>
            <w:pPr>
              <w:spacing w:after="0"/>
              <w:rPr>
                <w:sz w:val="15"/>
                <w:szCs w:val="15"/>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135</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(1,076)</w:t>
            </w:r>
          </w:p>
        </w:tc>
        <w:tc>
          <w:tcPr>
            <w:tcW w:w="140" w:type="dxa"/>
            <w:vAlign w:val="bottom"/>
          </w:tcPr>
          <w:p>
            <w:pPr>
              <w:spacing w:after="0"/>
              <w:rPr>
                <w:sz w:val="14"/>
                <w:szCs w:val="14"/>
                <w:color w:val="auto"/>
              </w:rPr>
            </w:pPr>
          </w:p>
        </w:tc>
        <w:tc>
          <w:tcPr>
            <w:tcW w:w="8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(45,467)</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(46,408)</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62"/>
        </w:trPr>
        <w:tc>
          <w:tcPr>
            <w:tcW w:w="290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Exercise of stock options</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49"/>
        </w:trPr>
        <w:tc>
          <w:tcPr>
            <w:tcW w:w="2900" w:type="dxa"/>
            <w:vAlign w:val="bottom"/>
          </w:tcPr>
          <w:p>
            <w:pPr>
              <w:ind w:left="120"/>
              <w:spacing w:after="0" w:line="149" w:lineRule="exact"/>
              <w:rPr>
                <w:sz w:val="20"/>
                <w:szCs w:val="20"/>
                <w:color w:val="auto"/>
              </w:rPr>
            </w:pPr>
            <w:r>
              <w:rPr>
                <w:rFonts w:ascii="Arial" w:cs="Arial" w:eastAsia="Arial" w:hAnsi="Arial"/>
                <w:sz w:val="15"/>
                <w:szCs w:val="15"/>
                <w:color w:val="auto"/>
              </w:rPr>
              <w:t>Distribution from consolidated joint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5"/>
                <w:szCs w:val="15"/>
                <w:color w:val="auto"/>
                <w:w w:val="99"/>
              </w:rPr>
              <w:t>venture to noncontrolling interest partners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(95,202)</w:t>
            </w:r>
          </w:p>
        </w:tc>
      </w:tr>
      <w:tr>
        <w:trPr>
          <w:trHeight w:val="149"/>
        </w:trPr>
        <w:tc>
          <w:tcPr>
            <w:tcW w:w="290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9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surrendered</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2"/>
        </w:trPr>
        <w:tc>
          <w:tcPr>
            <w:tcW w:w="2900" w:type="dxa"/>
            <w:vAlign w:val="bottom"/>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80" w:type="dxa"/>
            <w:vAlign w:val="bottom"/>
          </w:tcPr>
          <w:p>
            <w:pPr>
              <w:spacing w:after="0"/>
              <w:rPr>
                <w:sz w:val="14"/>
                <w:szCs w:val="14"/>
                <w:color w:val="auto"/>
              </w:rPr>
            </w:pPr>
          </w:p>
        </w:tc>
        <w:tc>
          <w:tcPr>
            <w:tcW w:w="6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1,901</w:t>
            </w:r>
          </w:p>
        </w:tc>
        <w:tc>
          <w:tcPr>
            <w:tcW w:w="12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1,901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r>
      <w:tr>
        <w:trPr>
          <w:trHeight w:val="156"/>
        </w:trPr>
        <w:tc>
          <w:tcPr>
            <w:tcW w:w="290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September 30, 2019</w:t>
            </w: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$ 900,247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(16,763)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(534,403)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(38,117)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311,478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279,352</w:t>
            </w:r>
          </w:p>
        </w:tc>
        <w:tc>
          <w:tcPr>
            <w:tcW w:w="20" w:type="dxa"/>
            <w:vAlign w:val="bottom"/>
          </w:tcPr>
          <w:p>
            <w:pPr>
              <w:spacing w:after="0"/>
              <w:rPr>
                <w:sz w:val="13"/>
                <w:szCs w:val="13"/>
                <w:color w:val="auto"/>
              </w:rPr>
            </w:pPr>
          </w:p>
        </w:tc>
      </w:tr>
      <w:tr>
        <w:trPr>
          <w:trHeight w:val="20"/>
        </w:trPr>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Paid-in</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Treasury</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Noncontrolling</w:t>
            </w:r>
          </w:p>
        </w:tc>
      </w:t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r>
      <w:tr>
        <w:trPr>
          <w:trHeight w:val="156"/>
        </w:trPr>
        <w:tc>
          <w:tcPr>
            <w:tcW w:w="28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BALANCE, December 31, 2017</w:t>
            </w: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512</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$ 896,759</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 (13,253)</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(479,170)</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(26,692)</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378,156</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80"/>
              <w:spacing w:after="0" w:line="156" w:lineRule="exact"/>
              <w:rPr>
                <w:sz w:val="20"/>
                <w:szCs w:val="20"/>
                <w:color w:val="auto"/>
              </w:rPr>
            </w:pPr>
            <w:r>
              <w:rPr>
                <w:rFonts w:ascii="Arial" w:cs="Arial" w:eastAsia="Arial" w:hAnsi="Arial"/>
                <w:sz w:val="15"/>
                <w:szCs w:val="15"/>
                <w:color w:val="auto"/>
              </w:rPr>
              <w:t>—</w:t>
            </w:r>
          </w:p>
        </w:tc>
      </w:tr>
      <w:tr>
        <w:trPr>
          <w:trHeight w:val="162"/>
        </w:trPr>
        <w:tc>
          <w:tcPr>
            <w:tcW w:w="2880" w:type="dxa"/>
            <w:vAlign w:val="bottom"/>
          </w:tcPr>
          <w:p>
            <w:pPr>
              <w:ind w:left="120"/>
              <w:spacing w:after="0" w:line="162" w:lineRule="exact"/>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27,339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27,339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580"/>
              <w:spacing w:after="0" w:line="162"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shd w:val="clear" w:color="auto" w:fill="CCEEFF"/>
          </w:tcPr>
          <w:p>
            <w:pPr>
              <w:ind w:left="120"/>
              <w:spacing w:after="0" w:line="149" w:lineRule="exact"/>
              <w:rPr>
                <w:sz w:val="20"/>
                <w:szCs w:val="20"/>
                <w:color w:val="auto"/>
              </w:rPr>
            </w:pPr>
            <w:r>
              <w:rPr>
                <w:rFonts w:ascii="Arial" w:cs="Arial" w:eastAsia="Arial" w:hAnsi="Arial"/>
                <w:sz w:val="15"/>
                <w:szCs w:val="15"/>
                <w:color w:val="auto"/>
              </w:rPr>
              <w:t>Transition adjustment related to adoption</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75"/>
        </w:trPr>
        <w:tc>
          <w:tcPr>
            <w:tcW w:w="2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of ASU 2014-09</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(134)</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ind w:left="580"/>
              <w:spacing w:after="0"/>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167</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(43,461)</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(43,748)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surrendered</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(3,692)</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(3,691)</w:t>
            </w: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1,923</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1,923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56"/>
        </w:trPr>
        <w:tc>
          <w:tcPr>
            <w:tcW w:w="28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BALANCE, March 31, 2018</w:t>
            </w: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513</w:t>
            </w:r>
          </w:p>
        </w:tc>
        <w:tc>
          <w:tcPr>
            <w:tcW w:w="1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2"/>
              </w:rPr>
              <w:t>$ 895,157</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3"/>
              </w:rPr>
              <w:t>$ (13,707)</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(495,426)</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(26,614)</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359,923</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line="156" w:lineRule="exact"/>
              <w:rPr>
                <w:sz w:val="20"/>
                <w:szCs w:val="20"/>
                <w:color w:val="auto"/>
              </w:rPr>
            </w:pPr>
            <w:r>
              <w:rPr>
                <w:rFonts w:ascii="Arial" w:cs="Arial" w:eastAsia="Arial" w:hAnsi="Arial"/>
                <w:sz w:val="15"/>
                <w:szCs w:val="15"/>
                <w:color w:val="auto"/>
              </w:rPr>
              <w:t>—</w:t>
            </w:r>
          </w:p>
        </w:tc>
      </w:tr>
      <w:tr>
        <w:trPr>
          <w:trHeight w:val="156"/>
        </w:trPr>
        <w:tc>
          <w:tcPr>
            <w:tcW w:w="28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55,546</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6"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102</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(488)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(43,399)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(43,785)</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surrendered</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56"/>
        </w:trPr>
        <w:tc>
          <w:tcPr>
            <w:tcW w:w="28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BALANCE, June 30, 2018</w:t>
            </w: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513</w:t>
            </w:r>
          </w:p>
        </w:tc>
        <w:tc>
          <w:tcPr>
            <w:tcW w:w="1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2"/>
              </w:rPr>
              <w:t>$ 897,185</w:t>
            </w:r>
          </w:p>
        </w:tc>
        <w:tc>
          <w:tcPr>
            <w:tcW w:w="1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3"/>
              </w:rPr>
              <w:t>$ (14,195)</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(483,279)</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(26,530)</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373,694</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line="156" w:lineRule="exact"/>
              <w:rPr>
                <w:sz w:val="20"/>
                <w:szCs w:val="20"/>
                <w:color w:val="auto"/>
              </w:rPr>
            </w:pPr>
            <w:r>
              <w:rPr>
                <w:rFonts w:ascii="Arial" w:cs="Arial" w:eastAsia="Arial" w:hAnsi="Arial"/>
                <w:sz w:val="15"/>
                <w:szCs w:val="15"/>
                <w:color w:val="auto"/>
              </w:rPr>
              <w:t>—</w:t>
            </w:r>
          </w:p>
        </w:tc>
      </w:tr>
      <w:tr>
        <w:trPr>
          <w:trHeight w:val="156"/>
        </w:trPr>
        <w:tc>
          <w:tcPr>
            <w:tcW w:w="2880" w:type="dxa"/>
            <w:vAlign w:val="bottom"/>
            <w:shd w:val="clear" w:color="auto" w:fill="CCEEFF"/>
          </w:tcPr>
          <w:p>
            <w:pPr>
              <w:ind w:left="120"/>
              <w:spacing w:after="0" w:line="156" w:lineRule="exact"/>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22,591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22,591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ind w:left="580"/>
              <w:spacing w:after="0" w:line="156"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Other comprehensive income, net of</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income taxes</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3,439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3,439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Payment of dividends</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(43,889)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(43,774)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49"/>
        </w:trPr>
        <w:tc>
          <w:tcPr>
            <w:tcW w:w="2880" w:type="dxa"/>
            <w:vAlign w:val="bottom"/>
          </w:tcPr>
          <w:p>
            <w:pPr>
              <w:ind w:left="120"/>
              <w:spacing w:after="0" w:line="149" w:lineRule="exact"/>
              <w:rPr>
                <w:sz w:val="20"/>
                <w:szCs w:val="20"/>
                <w:color w:val="auto"/>
              </w:rPr>
            </w:pPr>
            <w:r>
              <w:rPr>
                <w:rFonts w:ascii="Arial" w:cs="Arial" w:eastAsia="Arial" w:hAnsi="Arial"/>
                <w:sz w:val="15"/>
                <w:szCs w:val="15"/>
                <w:color w:val="auto"/>
              </w:rPr>
              <w:t>Restricted stock units and stock options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5"/>
                <w:szCs w:val="15"/>
                <w:color w:val="auto"/>
              </w:rPr>
              <w:t>surrendered</w:t>
            </w:r>
          </w:p>
        </w:tc>
        <w:tc>
          <w:tcPr>
            <w:tcW w:w="1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(350)</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(350)</w:t>
            </w:r>
          </w:p>
        </w:tc>
        <w:tc>
          <w:tcPr>
            <w:tcW w:w="16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5"/>
                <w:szCs w:val="15"/>
                <w:color w:val="auto"/>
              </w:rPr>
              <w:t>—</w:t>
            </w:r>
          </w:p>
        </w:tc>
      </w:tr>
      <w:tr>
        <w:trPr>
          <w:trHeight w:val="162"/>
        </w:trPr>
        <w:tc>
          <w:tcPr>
            <w:tcW w:w="28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1,895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line="162" w:lineRule="exact"/>
              <w:rPr>
                <w:sz w:val="20"/>
                <w:szCs w:val="20"/>
                <w:color w:val="auto"/>
              </w:rPr>
            </w:pPr>
            <w:r>
              <w:rPr>
                <w:rFonts w:ascii="Arial" w:cs="Arial" w:eastAsia="Arial" w:hAnsi="Arial"/>
                <w:sz w:val="15"/>
                <w:szCs w:val="15"/>
                <w:color w:val="auto"/>
              </w:rPr>
              <w:t>—</w:t>
            </w:r>
          </w:p>
        </w:tc>
      </w:tr>
      <w:tr>
        <w:trPr>
          <w:trHeight w:val="156"/>
        </w:trPr>
        <w:tc>
          <w:tcPr>
            <w:tcW w:w="2880" w:type="dxa"/>
            <w:vAlign w:val="bottom"/>
          </w:tcPr>
          <w:p>
            <w:pPr>
              <w:spacing w:after="0" w:line="156" w:lineRule="exact"/>
              <w:rPr>
                <w:sz w:val="20"/>
                <w:szCs w:val="20"/>
                <w:color w:val="auto"/>
              </w:rPr>
            </w:pPr>
            <w:r>
              <w:rPr>
                <w:rFonts w:ascii="Arial" w:cs="Arial" w:eastAsia="Arial" w:hAnsi="Arial"/>
                <w:sz w:val="15"/>
                <w:szCs w:val="15"/>
                <w:color w:val="auto"/>
              </w:rPr>
              <w:t>BALANCE, September 30, 2018</w:t>
            </w: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513</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2"/>
              </w:rPr>
              <w:t>$ 898,845</w:t>
            </w: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3"/>
              </w:rPr>
              <w:t>$ (14,195)</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9"/>
              </w:rPr>
              <w:t>(504,577)</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(23,091)</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357,495</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line="156" w:lineRule="exact"/>
              <w:rPr>
                <w:sz w:val="20"/>
                <w:szCs w:val="20"/>
                <w:color w:val="auto"/>
              </w:rPr>
            </w:pPr>
            <w:r>
              <w:rPr>
                <w:rFonts w:ascii="Arial" w:cs="Arial" w:eastAsia="Arial" w:hAnsi="Arial"/>
                <w:sz w:val="15"/>
                <w:szCs w:val="15"/>
                <w:color w:val="auto"/>
              </w:rPr>
              <w:t>—</w:t>
            </w:r>
          </w:p>
        </w:tc>
      </w:tr>
      <w:tr>
        <w:trPr>
          <w:trHeight w:val="20"/>
        </w:trPr>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2013, Ryman Hospitality Properties, Inc. (“Ryman”) and its subsidiaries (collectively with Ryman,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began operating as a real estate investment trust (“REIT”) for federal income tax purposes, specializing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group-oriented, destination hotel assets in urban and resort markets. The Company’s owned assets include a network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upscale, meetings-focused resorts that are managed by Marriott International, Inc. (“Marriott”) under the Gaylord Hotels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brand. These resorts, which the Company refers to as the Gaylord Hotels properties, consist of the Gaylord Opryland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Resort &amp; Convention Center in Nashville, Tennessee (“Gaylord Opryland”), the Gaylord Palms Resort &amp; Convention Center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near Orlando, Florida (“Gaylord Palms”), the Gaylord Texan Resort &amp; Convention Center near Dallas, Texas (“Gaylord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Texan”) and the Gaylord National Resort &amp; Convention Center near Washington D.C. (“Gaylord National”).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owned hotel assets managed by Marriott include the Inn at Opryland, an overflow hotel adjacent to Gaylord Opryland,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AC Hotel at National Harbor, Washington D.C. (“AC Hotel”), an overflow hotel adjacent to Gaylord National.</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September 30, 2019, the Company also owns a 62.1% interest in a joint venture (the “Gaylord Rockies joint venture”) that owns the Gaylord Rockies Resort &amp; Convention Center near Denver, Colorado (“Gaylord Rockies”), which opened in December 2018 and is managed by Marriott. As further discussed in the Company’s Annual Report on Form 10-K for</w:t>
      </w:r>
    </w:p>
    <w:p>
      <w:pPr>
        <w:ind w:right="100"/>
        <w:spacing w:after="0" w:line="268" w:lineRule="auto"/>
        <w:rPr>
          <w:sz w:val="20"/>
          <w:szCs w:val="20"/>
          <w:color w:val="auto"/>
        </w:rPr>
      </w:pPr>
      <w:r>
        <w:rPr>
          <w:rFonts w:ascii="Arial" w:cs="Arial" w:eastAsia="Arial" w:hAnsi="Arial"/>
          <w:sz w:val="17"/>
          <w:szCs w:val="17"/>
          <w:color w:val="auto"/>
        </w:rPr>
        <w:t>the year ended December 31, 2018, management has concluded that the Company is the primary beneficiary of this variable interest entity. As such, the Company has consolidated the assets, liabilities and results of operations of the Gaylord Rockies joint venture in the accompanying condensed consolidated financial statements. The portion of the Gaylord Rockies joint venture that the Company does not own is recorded as noncontrolling interest in consolidated joint venture in the accompanying condensed consolidated balance sheet, and any adjustment necessary to reflect the noncontrolling interest at its redemption value is shown in the accompanying condensed consolidated statement of stockholders’ equity. Creditors of the Gaylord Rockies joint venture have no recourse to the general credit of the Company, except with respect to certain limited loan guarantees as discussed in Note 7, “Debt” and Note 13, “Commitments and Contingencies” to the condensed consolidated financial statements included herein.</w:t>
      </w:r>
    </w:p>
    <w:p>
      <w:pPr>
        <w:spacing w:after="0" w:line="14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2018.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19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that requires lessees to record most leases on their balance sheet but recognize expenses on their</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income statements in a manner similar to previous accounting. The ASU also eliminates the required use of bright-line tests for determining lease classification. The Company adopted this standard as of January 1, 2019 using the modified retrospective approach. Existing leases were recorded at the adoption date and comparative periods were not restated and are presented based on previously existing guidance. The Company also adopted several practical expedients, which allowed the Company to avoid reassessing (i) whether an expired or existing contract meets the definition of a lease; (ii) the lease classification at the adoption date for existing leases; and (iii) whether costs previously capitalized as initial direct costs would continue to be amortized. In addition, the Company elected to adopt a practical expedient that allows the Company to avoid reassessing existing or expired land easements that were not previously accounted for as a lease, as well as a practical expedient that allows the Company to avoid separating nonlease components from lease components and instead to account for each separate lease component and related nonlease component as a single lease component. As permitted, the Company has elected to not apply the recognition requirements of this ASU to short-term leases. Adoption of the new standard resulted in the recording of right-of-use assets and lease liabilities of $100.9 million as of January 1, 2019. However, after consideration of the Company’s previous straight-line lease liability of $100.1 million, as discussed more fully in the Company’s 2018 Annual Report on Form 10-K, the Company recorded $0.8 million in net right-of-use assets related to its operating leases as of January 1, 2019, which are recorded in prepaid expenses and other assets in the accompanying condensed consolidated financial statements. See Note 5, “Property and Equipment,” and Note 9, “Leases,” to the condensed consolidated financial statements included herein for additional disclosures regarding the Company’s leases.</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 Credit Losses –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Instruments</w:t>
      </w:r>
      <w:r>
        <w:rPr>
          <w:rFonts w:ascii="Arial" w:cs="Arial" w:eastAsia="Arial" w:hAnsi="Arial"/>
          <w:sz w:val="17"/>
          <w:szCs w:val="17"/>
          <w:color w:val="auto"/>
        </w:rPr>
        <w:t>,” which will change how entities measure credit losses for most financial assets and certain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An entity will apply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for the prior other-than-temporary impairment is required. The ASU is effective for the Company in the first quarter of 2020. The Company is currently evaluating the effects of this ASU on its financial statements, and such effects have not yet been determined.</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Derivatives and Hedging – Targeted 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color w:val="auto"/>
        </w:rPr>
        <w:t>,” which makes more financial and nonfinancial hedging strategies eligible for hedge accounting,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how companies assess hedge effectiveness, and amends the presentation and disclosure requirements for hedging transactions. The Company adopted this ASU in the first quarter of 2019, and this adoption did not have a material impact on the Company’s financial statements.</w:t>
      </w:r>
    </w:p>
    <w:p>
      <w:pPr>
        <w:spacing w:after="0" w:line="14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which gives entities the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reclassify to retained earnings tax effects related to items that have been stranded in accumulated other comprehensive income as a result of the Tax Cuts and Jobs Act (“TCJA”). An entity that elects to reclassify these amounts must reclassify stranded tax effects related to the TCJA’s change in US federal tax rate for all items accounted for in other comprehensive income. These entities can also elect to reclassify other stranded effects that relate to the TCJA but do not directly relate to the change in the federal tax rate. The Company adopted this ASU in the first quarter of 2019, and the Company recorded a transition adjustment of $2.7 million, which is reflected as a reclassification from accumulated other comprehensive loss to accumulated deficit in the accompanying condensed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w:t>
      </w:r>
    </w:p>
    <w:p>
      <w:pPr>
        <w:sectPr>
          <w:pgSz w:w="11900" w:h="16838" w:orient="portrait"/>
          <w:cols w:equalWidth="0" w:num="1">
            <w:col w:w="9040"/>
          </w:cols>
          <w:pgMar w:left="1420" w:top="517" w:right="14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9"/>
        <w:spacing w:after="0" w:line="270" w:lineRule="auto"/>
        <w:rPr>
          <w:sz w:val="20"/>
          <w:szCs w:val="20"/>
          <w:color w:val="auto"/>
        </w:rPr>
      </w:pPr>
      <w:r>
        <w:rPr>
          <w:rFonts w:ascii="Arial" w:cs="Arial" w:eastAsia="Arial" w:hAnsi="Arial"/>
          <w:sz w:val="17"/>
          <w:szCs w:val="17"/>
          <w:color w:val="auto"/>
        </w:rPr>
        <w:t>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241,804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Hotel transient rooms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90,686</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104,961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280,729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111,759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81,129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51,282</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w:t>
            </w:r>
          </w:p>
        </w:tc>
      </w:tr>
      <w:tr>
        <w:trPr>
          <w:trHeight w:val="210"/>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379,787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292,249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1,158,281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914,553</w:t>
            </w: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258,251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Gaylord Palms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147,071</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179,794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Gaylord National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202,886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200,747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 Hotel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8,378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 Hospitality segment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328,257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249,240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1,022,896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806,107</w:t>
            </w:r>
          </w:p>
        </w:tc>
      </w:tr>
      <w:tr>
        <w:trPr>
          <w:trHeight w:val="20"/>
        </w:trPr>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Company’s Entertainment segment revenues are concentrated in Nashville, Tennessee.</w:t>
      </w:r>
    </w:p>
    <w:p>
      <w:pPr>
        <w:spacing w:after="0" w:line="198"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September 30, 2019 and December 31, 2018, the Company had $84.7 million and $69.3 million, respectively, in deferred revenues, which are included in accounts payable and accrued liabilities in the accompanying condensed consolidated balance sheets. Of the amount outstanding at December 31, 2018, approximately $52.7 million was recognized in revenue during the nine months ended September 30, 2019.</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446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38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51,444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51,411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51,281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51,832</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51,519</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51,826</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51,476</w:t>
            </w:r>
          </w:p>
        </w:tc>
      </w:tr>
      <w:tr>
        <w:trPr>
          <w:trHeight w:val="20"/>
        </w:trPr>
        <w:tc>
          <w:tcPr>
            <w:tcW w:w="4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more fully discussed in Note 13, “Commitments and Contingencies,” to the condensed consolidated financial statements included herein, certain affiliates of Ares Management, L.P. (“Ares”) each have a put right to require the Company to purchase their joint venture interests in the Gaylord Rockies joint venture in consideration of cash or operating partnership units (“OP Units”) of RHP Hotel Properties, LP (the “Operating Partnership”). Any OP Units issued by the Operating Partnership to the certain affiliates of Ares will be redeemable at the option of the holders thereof for shares of the Company’s common stock on a one-for-one basis, subject to certain adjustments.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2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discussed in Note 11, “Pension and Postretirement Benefits Other Than Pension Plans,” interest rate derivatives designated as a cash flow hedge of the Gaylord Rockies joint venture’s outstanding term loan discussed in Note 7, “Debt,” and amounts related to an other-than-temporary impairment of a held-to-maturity investment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2018. Changes in accumulated other comprehensive loss by component for the nine months ended September 30, 2019 and 2018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Other-Than-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other comprehensive income (loss)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7"/>
              </w:rPr>
              <w:t>Transition adjustment related to adoption of ASU 2018-02 (see Note 1)</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September 30, 2019</w:t>
            </w: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Other-Than-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8"/>
              </w:rPr>
              <w:t>Liability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Net other comprehensive income</w:t>
            </w:r>
          </w:p>
        </w:tc>
        <w:tc>
          <w:tcPr>
            <w:tcW w:w="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196"/>
        </w:trPr>
        <w:tc>
          <w:tcPr>
            <w:tcW w:w="4900" w:type="dxa"/>
            <w:vAlign w:val="bottom"/>
            <w:gridSpan w:val="2"/>
          </w:tcPr>
          <w:p>
            <w:pPr>
              <w:spacing w:after="0"/>
              <w:rPr>
                <w:sz w:val="20"/>
                <w:szCs w:val="20"/>
                <w:color w:val="auto"/>
              </w:rPr>
            </w:pPr>
            <w:r>
              <w:rPr>
                <w:rFonts w:ascii="Arial" w:cs="Arial" w:eastAsia="Arial" w:hAnsi="Arial"/>
                <w:sz w:val="16"/>
                <w:szCs w:val="16"/>
                <w:color w:val="auto"/>
              </w:rPr>
              <w:t>Balance, September 30, 2018</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(16,797)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(6,294)</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Property and equipment, including right-of-use finance lease assets, at September 30, 2019 and December 31, 2018 is recorded at cost (except for right-of-use finance lease assets) and summarized as follows (in thousands):</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0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348,867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3,427,468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3,379,041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913,528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48,295</w:t>
            </w:r>
          </w:p>
        </w:tc>
      </w:tr>
      <w:tr>
        <w:trPr>
          <w:trHeight w:val="210"/>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4,797,870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4,688,518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(1,666,505)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(1,539,423)</w:t>
            </w: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3,131,365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3,149,095</w:t>
            </w: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further discussed in the Company’s Annual Report on Form 10-K for the year ended December 31, 2018, in connection with the development of Gaylord National, the Company is currently holding two issuances of governmental bonds with a total carrying value of $107.5 million and $111.0 million at September 30, 2019 and December 31, 2018, respectively.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months ended September 30, 2019 and 2018, the Company recorded interest income of $2.5 million and $2.6 million, respectively, on these bonds. During the nine months ended September 30, 2019 and 2018, the Company recorded interest income of $7.7 million and $7.9 million, respectively, on these bonds. The Company received payments of $11.3 million and $10.9 million during the nine months ended September 30, 2019 and 2018, respectively, relating to these bonds.</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further discussed in the Company’s Annual Report on Form 10-K for the year ended December 31, 2018, in connection with the development of certain infrastructure adjacent to Gaylord Rockies, at December 31, 2018, the Gaylord Rockies joint venture was holding two issuances of governmental bonds with a carrying value of $11.2 million, including interest. The debt service and principal payments on such bonds were payable from tax increments and special hotel rental taxes generated from the surrounding development through the maturity dates of December 1, 2030 and December 1, 2040, respectively. In April 2019, these bonds were redeemed by the issuer, and the joint venture received the outstanding principal and interest, which resulted in no impact to the Company’s condensed consolidated statement of operations for the nine months ended September 30, 2019.</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ind w:right="840"/>
        <w:spacing w:after="0" w:line="258" w:lineRule="auto"/>
        <w:rPr>
          <w:sz w:val="20"/>
          <w:szCs w:val="20"/>
          <w:color w:val="auto"/>
        </w:rPr>
      </w:pPr>
      <w:r>
        <w:rPr>
          <w:rFonts w:ascii="Arial" w:cs="Arial" w:eastAsia="Arial" w:hAnsi="Arial"/>
          <w:sz w:val="18"/>
          <w:szCs w:val="18"/>
          <w:color w:val="auto"/>
        </w:rPr>
        <w:t>The Company’s debt and finance lease obligations at September 30, 2019 and December 31, 2018 consisted of (in thousands):</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9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6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182"/>
        </w:trPr>
        <w:tc>
          <w:tcPr>
            <w:tcW w:w="20" w:type="dxa"/>
            <w:vAlign w:val="bottom"/>
          </w:tcPr>
          <w:p>
            <w:pPr>
              <w:spacing w:after="0"/>
              <w:rPr>
                <w:sz w:val="15"/>
                <w:szCs w:val="15"/>
                <w:color w:val="auto"/>
              </w:rPr>
            </w:pPr>
          </w:p>
        </w:tc>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$700M Revolving Credit Facility, interest at LIBOR plus 1.80%, maturing May 23, 2021, less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 of $4,570 and $6,542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518,458</w:t>
            </w: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rPr>
              <w:t>$200M Term Loan A, interest at LIBOR plus 1.75%, maturing May 23, 2022, less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unamortized deferred financing costs of $960 and $1,220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199,040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198,780</w:t>
            </w: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$500M Term Loan B, interest at LIBOR plus 2.00%, maturing May 11, 2024, less unamortized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of $4,637 and $5,307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485,943</w:t>
            </w: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8"/>
              </w:rPr>
              <w:t>$350M Senior Notes, interest at 5.0%, original maturity April 15, 2021, less unamortized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deferred financing costs of $0 and $2,385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347,615</w:t>
            </w: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$400M Senior Notes, interest at 5.0%, maturing April 15, 2023, less unamortized deferred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of $3,441 and $4,097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396,559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395,903</w:t>
            </w: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1"/>
              </w:rPr>
              <w:t>$500M Senior Notes, interest at 4.75%, maturing October 15, 2027, less unamortized deferred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financing costs of $8,385 and $0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491,615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$800M Term Loan (Gaylord Rockies joint venture), interest at LIBOR plus 2.50%, maturing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July 2, 2023, less unamortized deferred financing costs of $8,546 and $0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791,454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6"/>
              </w:rPr>
              <w:t>$500M Construction Loan (Gaylord Rockies joint venture), original maturity December 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2019, less unamortized deferred financing costs of $0 and $1,807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457,090</w:t>
            </w: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$39M Mezzanine Loan (Gaylord Rockies joint venture), original maturity December 18, 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financing costs of $0 and $227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lease obligations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2,581,312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2,441,895</w:t>
            </w: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2018.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Company was in compliance with all of its covenants related to its outstanding debt.</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17, “Subsequent Events,” for discussion of October 2019 refinancing of the Company’s $700 million revolving credit facility and $200 million term loan 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$500 Million 4.75% Senior Notes Due 2027</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September 2019, the Operating Partnership and RHP Finance Corporation, a Delaware corporation and wholly-owned subsidiary of the Operating Partnership (“Finco”), completed the private 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w:t>
      </w:r>
    </w:p>
    <w:p>
      <w:pPr>
        <w:spacing w:after="0" w:line="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4.75%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ectPr>
          <w:pgSz w:w="11900" w:h="16838" w:orient="portrait"/>
          <w:cols w:equalWidth="0" w:num="1">
            <w:col w:w="9060"/>
          </w:cols>
          <w:pgMar w:left="1420" w:top="517"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$500 Million 4.75% Senior Notes are redeemable before October 15, 2022, in whole or in part, at 100.00% of the principal amount thereof, plus accrued and unpaid interest thereon to, but not including, the redemption date plus a make-whole redemption premium. The $500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In connection with the issuance of the $500 Million 4.75% Senior Notes, the Company entered into a registration rights agreement that requires it to complete a registered offer to exchange the $500 Million 4.75% Senior Notes for registered notes with substantially identical terms as the $500 Million 4.75% Senior Notes on or before September 18, 2020.</w:t>
      </w:r>
    </w:p>
    <w:p>
      <w:pPr>
        <w:spacing w:after="0" w:line="10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net proceeds from the issuance of the $500 Million 4.75% Senior Notes totaled approximately $493 million, after deducting the initial purchasers’ discounts, commissions and offering expenses. The Company used substantially all of these proceeds to repurchase a portion of the $350 Million 5% Senior Notes due 2021 (the “$350 Million 5% Senior Notes”) validly tendered and accepted for purchase pursuant to the Company’s previously announced cash tender offer, redeem the remaining portion of the $350 Million 5% Senior Notes, as discussed below, and to repay a portion of the amounts outstanding under the Company’s revolving credit facility. See Note 17, “Subsequent Events,” for discussion regarding additional notes issued pursuant to the indenture governing the $500 Million 4.75% Senior Notes in October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$350 Million 5% Senior Notes Due 2021</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September 2019, the Company commenced a cash tender offer for any and all outstanding $350 Million 5% Senior Notes at a redemption price of $1,002.50 per $1,000 principal amount. Pursuant to the tender offer, $197.5 million aggregate principal amount of the $350 Million 5% Senior Notes were validly tendered. As a result of the Company’s purchase of tendered $350 Million 5% Senior Notes, the Company recognized a loss on extinguishment of debt of $0.5 million in the three months and nine months ended September 30, 2019. The Company used a portion of the proceeds from the issuance of the $500 Million 4.75% Senior Notes to fund the tender offer.</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accordance with the indenture governing the $350 Million 5% Senior Notes, subsequent to expiration of the tender offer, in September 2019 the Company gave irrevocable notice of the redemption of all remaining $350 Million 5% Senior Notes not tendered in the tender offer and irrevocably deposited with the trustee for the $350 Million 5% Senior Notes an amount sufficient to pay the redemption price of the $350 Million 5% Senior Notes called for redemption at that date, including interest. Accordingly, the $350 Million 5% Senior Notes are no longer reflected in the accompanying condensed consolidated balance sheet at September 30, 2019. The Company used a portion of the proceeds from the issuance of the $500 Million 4.75% Senior Notes to fund the redemption.</w:t>
      </w:r>
    </w:p>
    <w:p>
      <w:pPr>
        <w:spacing w:after="0" w:line="16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As a result of the refinancing of the $350 Million 5% Senior Notes, the Company wrote off $1.7 million of unamortized deferred financing costs, which are recorded as interest expense in the accompanying condensed consolidated financial statements for the three and nine months ended September 30,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$800 Million Term Loan (Gaylord Rockies Joint Venture)</w:t>
      </w:r>
    </w:p>
    <w:p>
      <w:pPr>
        <w:spacing w:after="0" w:line="225"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On July 2, 2019, Aurora Convention Center Hotel, LLC and Aurora Convention Center Hotel Lessee, LLC,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decide to pursue a future expansion of Gaylord Rockies. The Gaylord Rockies Loan matures July 2, 2023 with three, one-year extension options, subject to certain requirements in the Gaylord Rockies Loan, and bears interest at LIBOR plus</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2.50%. Simultaneous with closing, the Gaylord Rockies joint venture entered into an interest rate swap to fix the LIBOR portion of the interest rate at 1.65% for the first three years of the loan. The Company has designated this interest rate swap as an effective cash flow hedge.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The noncontrolling interest owners received a distribution of approximately $95 million, and the Company received a distribution of approximately $153 million, which was used to repay a portion of the outstanding indebtedness under the Company’s $700 million revolving credit facility.</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a result of the refinancing, the Gaylord Rockies joint venture wrote off $1.1 million of unamortized deferred financing costs, which are recorded as interest expense in the accompanying condensed consolidated financial statements for the three and nine months ended September 30,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Derivatives</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may enter into interest rate swap agreements to hedge against interest rate fluctuations. The Gaylord Rockies joint venture has entered into an interest rate swap to manage interest rate risk associated with the Gaylord Rockies Loan. The Gaylord Rockies joint venture has designated this swap as a cash flow hedge whereby the joint venture receives variable-rate amounts in exchange for fixed-rate payments over the life of the agreement without exchange of the underlying principal amount. Neither the Company nor the Gaylord Rockies joint venture use derivatives for trading or speculative purposes and currently do not hold any derivatives that are not designated as hedges.</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an immaterial amount will be reclassified from accumulated other comprehensive loss to interest expense in the next twelve months.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September 30, 2019, the Gaylord Rockies joint venture had one outstanding interest rate swap in the notional amount of $800.0 million that matures in August 2022.</w:t>
      </w:r>
    </w:p>
    <w:p>
      <w:pPr>
        <w:spacing w:after="0" w:line="13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 had no derivative assets at September 30, 2019 or December 31, 2018. The fair value of the Company’s derivative liabilities, as well as their classification on the accompanying condensed consolidated balance sheets, at September 30, 2019 and December 31, 2018 is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Derivative Liabilities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80" w:type="dxa"/>
            <w:vAlign w:val="bottom"/>
          </w:tcPr>
          <w:p>
            <w:pPr>
              <w:jc w:val="center"/>
              <w:ind w:left="124"/>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0"/>
                <w:szCs w:val="10"/>
                <w:color w:val="auto"/>
              </w:rPr>
            </w:pPr>
          </w:p>
        </w:tc>
        <w:tc>
          <w:tcPr>
            <w:tcW w:w="10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92"/>
              </w:rPr>
              <w:t>Location</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0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1040" w:type="dxa"/>
            <w:vAlign w:val="bottom"/>
          </w:tcPr>
          <w:p>
            <w:pPr>
              <w:spacing w:after="0"/>
              <w:rPr>
                <w:sz w:val="18"/>
                <w:szCs w:val="18"/>
                <w:color w:val="auto"/>
              </w:rPr>
            </w:pPr>
          </w:p>
        </w:tc>
        <w:tc>
          <w:tcPr>
            <w:tcW w:w="1380" w:type="dxa"/>
            <w:vAlign w:val="bottom"/>
          </w:tcPr>
          <w:p>
            <w:pPr>
              <w:jc w:val="center"/>
              <w:ind w:left="144"/>
              <w:spacing w:after="0"/>
              <w:rPr>
                <w:sz w:val="20"/>
                <w:szCs w:val="20"/>
                <w:color w:val="auto"/>
              </w:rPr>
            </w:pPr>
            <w:r>
              <w:rPr>
                <w:rFonts w:ascii="Arial" w:cs="Arial" w:eastAsia="Arial" w:hAnsi="Arial"/>
                <w:sz w:val="18"/>
                <w:szCs w:val="18"/>
                <w:color w:val="auto"/>
                <w:w w:val="94"/>
              </w:rPr>
              <w:t>Other liabilities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color w:val="auto"/>
              </w:rPr>
              <w:t>15</w:t>
            </w: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45"/>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0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1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45"/>
              <w:spacing w:after="0"/>
              <w:rPr>
                <w:sz w:val="20"/>
                <w:szCs w:val="20"/>
                <w:color w:val="auto"/>
              </w:rPr>
            </w:pPr>
            <w:r>
              <w:rPr>
                <w:rFonts w:ascii="Arial" w:cs="Arial" w:eastAsia="Arial" w:hAnsi="Arial"/>
                <w:sz w:val="14"/>
                <w:szCs w:val="14"/>
                <w:b w:val="1"/>
                <w:bCs w:val="1"/>
                <w:color w:val="auto"/>
                <w:w w:val="95"/>
              </w:rPr>
              <w:t>on Derivative</w:t>
            </w: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162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4"/>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85"/>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Derivatives in Cash Flow Hedging Relationships:</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20"/>
                <w:szCs w:val="20"/>
                <w:color w:val="auto"/>
              </w:rPr>
            </w:pPr>
            <w:r>
              <w:rPr>
                <w:rFonts w:ascii="Arial" w:cs="Arial" w:eastAsia="Arial" w:hAnsi="Arial"/>
                <w:sz w:val="15"/>
                <w:szCs w:val="15"/>
                <w:color w:val="auto"/>
              </w:rPr>
              <w:t>Interest rate swap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(3,789)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1,197</w:t>
            </w:r>
          </w:p>
        </w:tc>
        <w:tc>
          <w:tcPr>
            <w:tcW w:w="8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derivatives</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(3,789)</w:t>
            </w:r>
          </w:p>
        </w:tc>
        <w:tc>
          <w:tcPr>
            <w:tcW w:w="200" w:type="dxa"/>
            <w:vAlign w:val="bottom"/>
            <w:shd w:val="clear" w:color="auto" w:fill="CCEEFF"/>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3"/>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5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center"/>
              <w:ind w:right="45"/>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45"/>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0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212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45"/>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0"/>
                <w:szCs w:val="10"/>
                <w:color w:val="auto"/>
              </w:rPr>
            </w:pPr>
          </w:p>
        </w:tc>
        <w:tc>
          <w:tcPr>
            <w:tcW w:w="16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Reclassified from</w:t>
            </w:r>
          </w:p>
        </w:tc>
        <w:tc>
          <w:tcPr>
            <w:tcW w:w="12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4"/>
          </w:tcPr>
          <w:p>
            <w:pPr>
              <w:jc w:val="center"/>
              <w:ind w:right="45"/>
              <w:spacing w:after="0" w:line="119"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right="85"/>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into Income (Expense)</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line="162" w:lineRule="exact"/>
              <w:rPr>
                <w:sz w:val="20"/>
                <w:szCs w:val="20"/>
                <w:color w:val="auto"/>
              </w:rPr>
            </w:pPr>
            <w:r>
              <w:rPr>
                <w:rFonts w:ascii="Arial" w:cs="Arial" w:eastAsia="Arial" w:hAnsi="Arial"/>
                <w:sz w:val="15"/>
                <w:szCs w:val="15"/>
                <w:color w:val="auto"/>
              </w:rPr>
              <w:t>Interest rate swap</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(3,789)</w:t>
            </w: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Pr>
          <w:p>
            <w:pPr>
              <w:ind w:left="48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620" w:type="dxa"/>
            <w:vAlign w:val="bottom"/>
            <w:gridSpan w:val="2"/>
          </w:tcPr>
          <w:p>
            <w:pPr>
              <w:jc w:val="center"/>
              <w:ind w:right="100"/>
              <w:spacing w:after="0" w:line="162" w:lineRule="exact"/>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1,197</w:t>
            </w:r>
          </w:p>
        </w:tc>
        <w:tc>
          <w:tcPr>
            <w:tcW w:w="80" w:type="dxa"/>
            <w:vAlign w:val="bottom"/>
          </w:tcPr>
          <w:p>
            <w:pPr>
              <w:spacing w:after="0"/>
              <w:rPr>
                <w:sz w:val="14"/>
                <w:szCs w:val="14"/>
                <w:color w:val="auto"/>
              </w:rPr>
            </w:pPr>
          </w:p>
        </w:tc>
        <w:tc>
          <w:tcPr>
            <w:tcW w:w="200" w:type="dxa"/>
            <w:vAlign w:val="bottom"/>
          </w:tcPr>
          <w:p>
            <w:pPr>
              <w:jc w:val="right"/>
              <w:ind w:right="43"/>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44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derivatives</w:t>
            </w: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(3,789)</w:t>
            </w:r>
          </w:p>
        </w:tc>
        <w:tc>
          <w:tcPr>
            <w:tcW w:w="200" w:type="dxa"/>
            <w:vAlign w:val="bottom"/>
            <w:tcBorders>
              <w:top w:val="single" w:sz="8" w:color="auto"/>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80"/>
              <w:spacing w:after="0" w:line="156"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5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1,197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60"/>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September 30, 2019 and 2018 was $35.3 million and $19.2 million, respectively, and for the nine months ended September 30, 2019 and 2018 was $100.8 million and $55.6 million, respectively.</w:t>
      </w:r>
    </w:p>
    <w:p>
      <w:pPr>
        <w:spacing w:after="0" w:line="14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September 30, 2019, the fair value of derivatives in a net liability position including accrued interest but excluding any adjustment for nonperformance risk related to these agreements was $5.1 million. As of September 30, 2019,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$5.1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2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See Note 17, “Subsequent Events,” for discussion of interest rate swaps entered into in October 2019 related to the Company’s $500 million term loan B.</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65-year term of the hotel management agreements, including extensions, as a reduction in management fee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ranging from one to forty years, at the Company’s discretion. Extension options are not considered reasonably assured and thus are not included in the Company’s calculation of its right-of-use assets and lease liabilities.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costs for the three months and nine months ended September 30, 2019 are as follows (in thousands):</w:t>
      </w:r>
    </w:p>
    <w:p>
      <w:pPr>
        <w:spacing w:after="0" w:line="241"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w:t>
            </w:r>
          </w:p>
        </w:tc>
        <w:tc>
          <w:tcPr>
            <w:tcW w:w="1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Nine Months</w:t>
            </w:r>
          </w:p>
        </w:tc>
      </w:tr>
      <w:tr>
        <w:trPr>
          <w:trHeight w:val="171"/>
        </w:trPr>
        <w:tc>
          <w:tcPr>
            <w:tcW w:w="5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Ended</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Ended</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9,911</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Lease expense for operating leases for the three months and nine months ended September 30, 2018 was $3.9 million and $10.5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leases at September 30, 2019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Year 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575,562</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605,665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(499,801)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105,864</w:t>
            </w:r>
          </w:p>
        </w:tc>
        <w:tc>
          <w:tcPr>
            <w:tcW w:w="2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89"/>
              </w:rPr>
              <w:t>The remaining lease term and discount rate for the Company’s leases are as follows:</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0"/>
              </w:rPr>
              <w:t>51.1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10.2 years</w:t>
            </w:r>
          </w:p>
        </w:tc>
        <w:tc>
          <w:tcPr>
            <w:tcW w:w="9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right w:val="single" w:sz="8" w:color="CCEEFF"/>
            </w:tcBorders>
          </w:tcPr>
          <w:p>
            <w:pPr>
              <w:spacing w:after="0"/>
              <w:rPr>
                <w:sz w:val="18"/>
                <w:szCs w:val="18"/>
                <w:color w:val="auto"/>
              </w:rPr>
            </w:pPr>
          </w:p>
        </w:tc>
        <w:tc>
          <w:tcPr>
            <w:tcW w:w="5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6.8 %</w:t>
            </w:r>
          </w:p>
        </w:tc>
        <w:tc>
          <w:tcPr>
            <w:tcW w:w="9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32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3"/>
          </w:tcPr>
          <w:p>
            <w:pPr>
              <w:ind w:left="120"/>
              <w:spacing w:after="0"/>
              <w:rPr>
                <w:sz w:val="20"/>
                <w:szCs w:val="20"/>
                <w:color w:val="auto"/>
              </w:rPr>
            </w:pPr>
            <w:r>
              <w:rPr>
                <w:rFonts w:ascii="Arial" w:cs="Arial" w:eastAsia="Arial" w:hAnsi="Arial"/>
                <w:sz w:val="18"/>
                <w:szCs w:val="18"/>
                <w:color w:val="auto"/>
              </w:rPr>
              <w:t>4.0 %</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260" w:type="dxa"/>
            <w:vAlign w:val="bottom"/>
            <w:gridSpan w:val="2"/>
          </w:tcPr>
          <w:p>
            <w:pPr>
              <w:jc w:val="right"/>
              <w:ind w:right="155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nine months ended September 30, 2019, the Company granted 0.1 million restricted stock units with a weighted-average grant date fair value of $89.38 per unit. There were 0.3 million and 0.4 million restricted stock units outstanding at September 30, 2019 and December 31, 2018, respectively.</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compensation expense that has been charged against pre-tax income for all of the Company’s stock-based compensation plans was $1.9 million for each of the three months ended September 30, 2019 and 2018, and $5.9 million and $5.8 million for the nine months ended September 30, 2019 and 2018,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 OTHER THAN PENSION PLANS:</w:t>
      </w:r>
    </w:p>
    <w:p>
      <w:pPr>
        <w:spacing w:after="0" w:line="20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Net periodic pension expense reflected in other gains and (losses), net in the accompanying condensed consolidated statements of operations included the following components for the respective periods (in thousands):</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4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3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(3,259)</w:t>
            </w: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settlement loss</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60" w:type="dxa"/>
            <w:vAlign w:val="bottom"/>
            <w:tcBorders>
              <w:bottom w:val="single" w:sz="8" w:color="CCEEFF"/>
            </w:tcBorders>
          </w:tcPr>
          <w:p>
            <w:pPr>
              <w:spacing w:after="0"/>
              <w:rPr>
                <w:sz w:val="18"/>
                <w:szCs w:val="18"/>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periodic pension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increased lump-sum distributions from the Company’s qualified retirement plan during 2019 and 2018, net settlement losses of $1.6 million and $1.0 million were recognized in the three months and nine months ended September 30, 2019 and 2018, respectively.</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the increase in lump-sum distributions required the Company to re-measure its liability under its pension plan as of August 31, 2019. As a result of the re-measurement, as well as a decrease in the pension plan’s assumed discount rate from 3.95% at December 31, 2018 to 2.63% at August 31, 2019, the Company recorded a $5.2 million increase in its liability under the pension plan and a corresponding increase in accumulated other comprehensive loss in the accompanying condensed consolidated balance sheet at September 30, 2019.</w:t>
      </w:r>
    </w:p>
    <w:p>
      <w:pPr>
        <w:spacing w:after="0" w:line="173"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Net postretirement benefit income reflected in other gains and (losses), net in the accompanying condensed consolidated statements of operations included the following components for the respective periods (in thousands):</w:t>
      </w:r>
    </w:p>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2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(986)</w:t>
            </w:r>
          </w:p>
        </w:tc>
        <w:tc>
          <w:tcPr>
            <w:tcW w:w="140" w:type="dxa"/>
            <w:vAlign w:val="bottom"/>
            <w:shd w:val="clear" w:color="auto" w:fill="CCEEFF"/>
          </w:tcPr>
          <w:p>
            <w:pPr>
              <w:spacing w:after="0"/>
              <w:rPr>
                <w:sz w:val="18"/>
                <w:szCs w:val="18"/>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(721)</w:t>
            </w:r>
          </w:p>
        </w:tc>
        <w:tc>
          <w:tcPr>
            <w:tcW w:w="14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w:t>
      </w:r>
    </w:p>
    <w:p>
      <w:pPr>
        <w:spacing w:after="0" w:line="11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recorded an income tax provision of $3.5 million and $1.9 million for the three months ended September 30, 2019 and 2018, respectively, and $13.7 million and $9.7 million for the nine months ended September 30, 2019 and 2018, respectively. These results differ from the statutory rate primarily due to the REIT dividends paid deduction.</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and December 31, 2018, the Company had no unrecognized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right="79"/>
        <w:spacing w:after="0" w:line="293" w:lineRule="auto"/>
        <w:rPr>
          <w:sz w:val="20"/>
          <w:szCs w:val="20"/>
          <w:color w:val="auto"/>
        </w:rPr>
      </w:pPr>
      <w:r>
        <w:rPr>
          <w:rFonts w:ascii="Arial" w:cs="Arial" w:eastAsia="Arial" w:hAnsi="Arial"/>
          <w:sz w:val="16"/>
          <w:szCs w:val="16"/>
          <w:color w:val="auto"/>
        </w:rPr>
        <w:t>Pursuant to the Gaylord Rockies joint venture agreements, certain affiliates of Ares each have a put right to require the Company to purchase their joint venture interests at a defined appraised value during an annual window period or under certain other circumstances (which joint venture interests are not currently redeemable) in consideration of cash or OP Units of the Operating Partnership. Such OP Units have economic terms that are substantially similar to shares of the Company’s common stock. Any OP Units issued by the Operating Partnership to the Ares affiliates will be redeemable at the option of the holders thereof for shares of the Company’s common stock on a one-for-one basis, subject to certain adjustments.</w:t>
      </w:r>
    </w:p>
    <w:p>
      <w:pPr>
        <w:spacing w:after="0" w:line="124" w:lineRule="exact"/>
        <w:rPr>
          <w:sz w:val="20"/>
          <w:szCs w:val="20"/>
          <w:color w:val="auto"/>
        </w:rPr>
      </w:pPr>
    </w:p>
    <w:p>
      <w:pPr>
        <w:ind w:right="279"/>
        <w:spacing w:after="0" w:line="264" w:lineRule="auto"/>
        <w:rPr>
          <w:sz w:val="20"/>
          <w:szCs w:val="20"/>
          <w:color w:val="auto"/>
        </w:rPr>
      </w:pPr>
      <w:r>
        <w:rPr>
          <w:rFonts w:ascii="Arial" w:cs="Arial" w:eastAsia="Arial" w:hAnsi="Arial"/>
          <w:sz w:val="18"/>
          <w:szCs w:val="18"/>
          <w:color w:val="auto"/>
        </w:rPr>
        <w:t>Affiliates of RIDA Development Corporation (“RIDA”) also have a put right at a defined appraised value for cash, which will become exercisable at the earlier of December 31, 2023 or the date on which a certain change of control of RIDA occurs.</w:t>
      </w:r>
    </w:p>
    <w:p>
      <w:pPr>
        <w:spacing w:after="0" w:line="154"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In connection with its investment in the Gaylord Rockies joint venture, the Company and an affiliate of RIDA each entered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53" w:lineRule="exact"/>
        <w:rPr>
          <w:sz w:val="20"/>
          <w:szCs w:val="20"/>
          <w:color w:val="auto"/>
        </w:rPr>
      </w:pPr>
    </w:p>
    <w:p>
      <w:pPr>
        <w:ind w:right="99"/>
        <w:spacing w:after="0" w:line="297" w:lineRule="auto"/>
        <w:rPr>
          <w:sz w:val="20"/>
          <w:szCs w:val="20"/>
          <w:color w:val="auto"/>
        </w:rPr>
      </w:pPr>
      <w:r>
        <w:rPr>
          <w:rFonts w:ascii="Arial" w:cs="Arial" w:eastAsia="Arial" w:hAnsi="Arial"/>
          <w:sz w:val="16"/>
          <w:szCs w:val="16"/>
          <w:color w:val="auto"/>
        </w:rPr>
        <w:t>In April 2019, a subsidiary of the Company entered into a joint venture with Gray Television, Inc. to create and distribute a linear multicast and over-the-top channel dedicated to the country music lifestyle (“New Country Ventures”). The Company acquired a 50% equity interest in this joint venture for an initial capital contribution of $2.0 million. In addition, the joint venture agreement requires the Company to contribute up to an additional $13.0 million through December 31, 2021. The Company accounts for its investment in this joint venture under the equity method of accounting.</w:t>
      </w:r>
    </w:p>
    <w:p>
      <w:pPr>
        <w:spacing w:after="0" w:line="118"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43"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89" w:lineRule="exact"/>
        <w:rPr>
          <w:sz w:val="20"/>
          <w:szCs w:val="20"/>
          <w:color w:val="auto"/>
        </w:rPr>
      </w:pPr>
    </w:p>
    <w:p>
      <w:pPr>
        <w:jc w:val="both"/>
        <w:ind w:right="379"/>
        <w:spacing w:after="0" w:line="286" w:lineRule="auto"/>
        <w:rPr>
          <w:sz w:val="20"/>
          <w:szCs w:val="20"/>
          <w:color w:val="auto"/>
        </w:rPr>
      </w:pPr>
      <w:r>
        <w:rPr>
          <w:rFonts w:ascii="Arial" w:cs="Arial" w:eastAsia="Arial" w:hAnsi="Arial"/>
          <w:sz w:val="17"/>
          <w:szCs w:val="17"/>
          <w:color w:val="auto"/>
        </w:rPr>
        <w:t>On February 26, 2019, the Company’s board of directors declared the Company’s first quarter 2019 cash dividend in the amount of $0.90 per share of common stock, or an aggregate of approximately $46.3 million in cash, which was paid on April 15, 2019 to stockholders of record as of the close of business on March 29, 2019.</w:t>
      </w:r>
    </w:p>
    <w:p>
      <w:pPr>
        <w:spacing w:after="0" w:line="139" w:lineRule="exact"/>
        <w:rPr>
          <w:sz w:val="20"/>
          <w:szCs w:val="20"/>
          <w:color w:val="auto"/>
        </w:rPr>
      </w:pPr>
    </w:p>
    <w:p>
      <w:pPr>
        <w:ind w:right="379"/>
        <w:spacing w:after="0" w:line="286" w:lineRule="auto"/>
        <w:rPr>
          <w:sz w:val="20"/>
          <w:szCs w:val="20"/>
          <w:color w:val="auto"/>
        </w:rPr>
      </w:pPr>
      <w:r>
        <w:rPr>
          <w:rFonts w:ascii="Arial" w:cs="Arial" w:eastAsia="Arial" w:hAnsi="Arial"/>
          <w:sz w:val="17"/>
          <w:szCs w:val="17"/>
          <w:color w:val="auto"/>
        </w:rPr>
        <w:t>On June 18, 2019, the Company’s board of directors declared the Company’s second quarter 2019 cash dividend in the amount of $0.90 per share of common stock, or an aggregate of approximately $46.3 million in cash, which was paid on July 15, 2019 to stockholders of record as of the close of business on June 28, 2019.</w:t>
      </w:r>
    </w:p>
    <w:p>
      <w:pPr>
        <w:spacing w:after="0" w:line="125" w:lineRule="exact"/>
        <w:rPr>
          <w:sz w:val="20"/>
          <w:szCs w:val="20"/>
          <w:color w:val="auto"/>
        </w:rPr>
      </w:pPr>
    </w:p>
    <w:p>
      <w:pPr>
        <w:ind w:right="199"/>
        <w:spacing w:after="0" w:line="286" w:lineRule="auto"/>
        <w:rPr>
          <w:sz w:val="20"/>
          <w:szCs w:val="20"/>
          <w:color w:val="auto"/>
        </w:rPr>
      </w:pPr>
      <w:r>
        <w:rPr>
          <w:rFonts w:ascii="Arial" w:cs="Arial" w:eastAsia="Arial" w:hAnsi="Arial"/>
          <w:sz w:val="17"/>
          <w:szCs w:val="17"/>
          <w:color w:val="auto"/>
        </w:rPr>
        <w:t>On September 16, 2019, the Company’s board of directors declared the Company’s third quarter 2019 cash dividend in the amount of $0.90 per share of common stock, or an aggregate of approximately $46.3 million in cash, which was paid on October 15, 2019 to stockholders of record as of the close of business on September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02" w:lineRule="exact"/>
        <w:rPr>
          <w:sz w:val="20"/>
          <w:szCs w:val="20"/>
          <w:color w:val="auto"/>
        </w:rPr>
      </w:pPr>
    </w:p>
    <w:p>
      <w:pPr>
        <w:ind w:right="359"/>
        <w:spacing w:after="0" w:line="342"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than quoted prices in active markets that are either directly or indirectly observable; and Level 3, defined as unobservable inputs in which little or no market data exists, therefore requiring an entity to develop its own assumptions.</w:t>
      </w:r>
    </w:p>
    <w:p>
      <w:pPr>
        <w:spacing w:after="0" w:line="97"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At September 30, 2019 and December 31, 2018, the Company held certain assets and liabilities that are required to be measured at fair value on a recurring basis. These included the Company’s investments held in conjunction with the Company’s non-qualified contributory deferred compensation plan and the Gaylord Rockies joint venture’s derivative instruments related to interest rates discussed in Note 7, “Debt.”</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Gaylord Rockies joint venture’s interest rate derivative instrument consists of over-the-counter swap contracts, which are not traded on a public exchange. The Gaylord Rockies joint venture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 Gaylord Rockies joint venture has categorized these swap contracts as Level 2.</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assets and liabilities measured at fair value on a recurring basis at September 30, 2019 and December 31, 2018,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89"/>
              </w:rPr>
              <w:t>Deferred compensation plan investments</w:t>
            </w: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jc w:val="right"/>
              <w:ind w:right="1150"/>
              <w:spacing w:after="0"/>
              <w:rPr>
                <w:sz w:val="20"/>
                <w:szCs w:val="20"/>
                <w:color w:val="auto"/>
              </w:rPr>
            </w:pPr>
            <w:r>
              <w:rPr>
                <w:rFonts w:ascii="Arial" w:cs="Arial" w:eastAsia="Arial" w:hAnsi="Arial"/>
                <w:sz w:val="18"/>
                <w:szCs w:val="18"/>
                <w:color w:val="auto"/>
                <w:w w:val="94"/>
              </w:rPr>
              <w:t>Total assets measured at fair value</w:t>
            </w:r>
          </w:p>
        </w:tc>
        <w:tc>
          <w:tcPr>
            <w:tcW w:w="9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jc w:val="right"/>
              <w:ind w:right="1270"/>
              <w:spacing w:after="0"/>
              <w:rPr>
                <w:sz w:val="20"/>
                <w:szCs w:val="20"/>
                <w:color w:val="auto"/>
              </w:rPr>
            </w:pPr>
            <w:r>
              <w:rPr>
                <w:rFonts w:ascii="Arial" w:cs="Arial" w:eastAsia="Arial" w:hAnsi="Arial"/>
                <w:sz w:val="18"/>
                <w:szCs w:val="18"/>
                <w:color w:val="auto"/>
                <w:w w:val="89"/>
              </w:rPr>
              <w:t>Variable to fixed interest rate swaps</w:t>
            </w:r>
          </w:p>
        </w:tc>
        <w:tc>
          <w:tcPr>
            <w:tcW w:w="11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4,986</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4,986</w:t>
            </w:r>
          </w:p>
        </w:tc>
        <w:tc>
          <w:tcPr>
            <w:tcW w:w="2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7"/>
              </w:rPr>
              <w:t>Total liabilities measured at fair value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Markets for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89"/>
              </w:rPr>
              <w:t>Deferred compensation plan investments</w:t>
            </w: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jc w:val="right"/>
              <w:ind w:right="1150"/>
              <w:spacing w:after="0"/>
              <w:rPr>
                <w:sz w:val="20"/>
                <w:szCs w:val="20"/>
                <w:color w:val="auto"/>
              </w:rPr>
            </w:pPr>
            <w:r>
              <w:rPr>
                <w:rFonts w:ascii="Arial" w:cs="Arial" w:eastAsia="Arial" w:hAnsi="Arial"/>
                <w:sz w:val="18"/>
                <w:szCs w:val="18"/>
                <w:color w:val="auto"/>
                <w:w w:val="94"/>
              </w:rPr>
              <w:t>Total assets measured at fair value</w:t>
            </w:r>
          </w:p>
        </w:tc>
        <w:tc>
          <w:tcPr>
            <w:tcW w:w="9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jc w:val="right"/>
              <w:ind w:right="910"/>
              <w:spacing w:after="0"/>
              <w:rPr>
                <w:sz w:val="20"/>
                <w:szCs w:val="20"/>
                <w:color w:val="auto"/>
              </w:rPr>
            </w:pPr>
            <w:r>
              <w:rPr>
                <w:rFonts w:ascii="Arial" w:cs="Arial" w:eastAsia="Arial" w:hAnsi="Arial"/>
                <w:sz w:val="18"/>
                <w:szCs w:val="18"/>
                <w:color w:val="auto"/>
                <w:w w:val="97"/>
              </w:rPr>
              <w:t>Total liabilities measured at fair value</w:t>
            </w:r>
          </w:p>
        </w:tc>
        <w:tc>
          <w:tcPr>
            <w:tcW w:w="116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remainder of the assets and liabilities held by the Company at September 30, 2019 are not required to be recorded at fair value, and the carrying value of these assets and liabilities approximate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680" w:right="600" w:hanging="320"/>
        <w:spacing w:after="0" w:line="256"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w:t>
      </w:r>
      <w:r>
        <w:rPr>
          <w:rFonts w:ascii="Arial" w:cs="Arial" w:eastAsia="Arial" w:hAnsi="Arial"/>
          <w:sz w:val="18"/>
          <w:szCs w:val="18"/>
          <w:i w:val="1"/>
          <w:iCs w:val="1"/>
          <w:color w:val="auto"/>
        </w:rPr>
        <w:t xml:space="preserve"> </w:t>
      </w:r>
      <w:r>
        <w:rPr>
          <w:rFonts w:ascii="Arial" w:cs="Arial" w:eastAsia="Arial" w:hAnsi="Arial"/>
          <w:sz w:val="18"/>
          <w:szCs w:val="18"/>
          <w:color w:val="auto"/>
        </w:rPr>
        <w:t>Opryland, the AC Hotel, and the Company’s investment in the Gaylord Rockies joint venture (which is consolidated below beginning January 1, 2019);</w:t>
      </w:r>
    </w:p>
    <w:p>
      <w:pPr>
        <w:ind w:left="680" w:right="220" w:hanging="320"/>
        <w:spacing w:after="0" w:line="281"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Entertainment</w:t>
      </w:r>
      <w:r>
        <w:rPr>
          <w:rFonts w:ascii="Arial" w:cs="Arial" w:eastAsia="Arial" w:hAnsi="Arial"/>
          <w:sz w:val="16"/>
          <w:szCs w:val="16"/>
          <w:color w:val="auto"/>
        </w:rPr>
        <w:t>, which includes the Grand Ole Opry, the Ryman Auditorium, WSM-AM, Ole Red,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 in New Country Ventures, and the Company’s Nashville-based attractions; and</w:t>
      </w:r>
    </w:p>
    <w:p>
      <w:pPr>
        <w:spacing w:after="0" w:line="1" w:lineRule="exact"/>
        <w:rPr>
          <w:rFonts w:ascii="Arial" w:cs="Arial" w:eastAsia="Arial" w:hAnsi="Arial"/>
          <w:sz w:val="16"/>
          <w:szCs w:val="16"/>
          <w:color w:val="auto"/>
        </w:rPr>
      </w:pPr>
    </w:p>
    <w:p>
      <w:pPr>
        <w:ind w:left="680" w:hanging="320"/>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328,257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249,240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1,022,896</w:t>
            </w:r>
          </w:p>
        </w:tc>
        <w:tc>
          <w:tcPr>
            <w:tcW w:w="1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806,107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379,787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292,249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1,158,281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914,553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50,445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150,909</w:t>
            </w:r>
          </w:p>
        </w:tc>
        <w:tc>
          <w:tcPr>
            <w:tcW w:w="1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81,379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160,560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43,518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191,563</w:t>
            </w:r>
          </w:p>
        </w:tc>
        <w:tc>
          <w:tcPr>
            <w:tcW w:w="1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175,213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(24,572)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Impairment charges (2)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162,743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(35,261)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extinguishment of debt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Arial" w:cs="Arial" w:eastAsia="Arial" w:hAnsi="Arial"/>
                <w:sz w:val="18"/>
                <w:szCs w:val="18"/>
                <w:color w:val="auto"/>
              </w:rPr>
              <w:t>Loss from joint ventures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gains and (losses), net</w:t>
            </w:r>
          </w:p>
        </w:tc>
        <w:tc>
          <w:tcPr>
            <w:tcW w:w="1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115,224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0" w:hanging="320"/>
        <w:spacing w:after="0" w:line="253" w:lineRule="auto"/>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Preopening costs for the three months ended September 30, 2019 relate to the Entertainment segment. Preopening costs for the three months ended September 30, 2018 include $0.2 million and $0.1 million for the Hospitality and Entertainment segments, respectively. Preopening costs for the nine months ended September 30, 2019 include $0.6 million and $1.6 million for the Hospitality and Entertainment segments, respectively. Preopening costs for the nine months ended September 30, 2018 include $2.2 million and $1.7 million for the Hospitality and Entertainment segments, respectively.</w:t>
      </w:r>
    </w:p>
    <w:p>
      <w:pPr>
        <w:spacing w:after="0" w:line="1" w:lineRule="exact"/>
        <w:rPr>
          <w:rFonts w:ascii="Arial" w:cs="Arial" w:eastAsia="Arial" w:hAnsi="Arial"/>
          <w:sz w:val="18"/>
          <w:szCs w:val="18"/>
          <w:color w:val="auto"/>
        </w:rPr>
      </w:pPr>
    </w:p>
    <w:p>
      <w:pPr>
        <w:ind w:left="680" w:hanging="320"/>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Impairment charges for the 2018 periods relate to the Entertainment segment.</w:t>
      </w:r>
    </w:p>
    <w:p>
      <w:pPr>
        <w:spacing w:after="0" w:line="233" w:lineRule="exact"/>
        <w:rPr>
          <w:rFonts w:ascii="Arial" w:cs="Arial" w:eastAsia="Arial" w:hAnsi="Arial"/>
          <w:sz w:val="18"/>
          <w:szCs w:val="18"/>
          <w:color w:val="auto"/>
        </w:rPr>
      </w:pPr>
    </w:p>
    <w:p>
      <w:pPr>
        <w:ind w:left="280" w:hanging="271"/>
        <w:spacing w:after="0"/>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October 31, 2019, the Company entered into a Sixth Amended and Restated Credit Agreement among the Company, as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As amended, the maturity dates for the Company’s $700 million revolving credit facility and $200 million term loan A were extended to March 31, 2024 and March 31, 2025, respectively. In addition, the $200 million term loan A portion of the facility was increased to $300 million, and the accordion feature related to the facility was increased from $500 million to $600 million. Further, the applicable margin on the interest rate for the revolving credit facility and the term loan A portions of the credit facility were decreased. There were no changes to the terms of the $500 million term loan B portion of the credit facility.</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39"/>
        <w:spacing w:after="0" w:line="264" w:lineRule="auto"/>
        <w:rPr>
          <w:sz w:val="20"/>
          <w:szCs w:val="20"/>
          <w:color w:val="auto"/>
        </w:rPr>
      </w:pPr>
      <w:r>
        <w:rPr>
          <w:rFonts w:ascii="Arial" w:cs="Arial" w:eastAsia="Arial" w:hAnsi="Arial"/>
          <w:sz w:val="18"/>
          <w:szCs w:val="18"/>
          <w:color w:val="auto"/>
        </w:rPr>
        <w:t>The net proceeds of the increase in the term loan A, after deducting initial transaction expenses payable at closing, totaled approximately $94 million and, along with cash on hand, were used to repay $100 million of the outstanding indebtedness under the $500 million term loan B.</w:t>
      </w:r>
    </w:p>
    <w:p>
      <w:pPr>
        <w:spacing w:after="0" w:line="181" w:lineRule="exact"/>
        <w:rPr>
          <w:sz w:val="20"/>
          <w:szCs w:val="20"/>
          <w:color w:val="auto"/>
        </w:rPr>
      </w:pPr>
    </w:p>
    <w:p>
      <w:pPr>
        <w:ind w:right="99"/>
        <w:spacing w:after="0" w:line="279" w:lineRule="auto"/>
        <w:rPr>
          <w:sz w:val="20"/>
          <w:szCs w:val="20"/>
          <w:color w:val="auto"/>
        </w:rPr>
      </w:pPr>
      <w:r>
        <w:rPr>
          <w:rFonts w:ascii="Arial" w:cs="Arial" w:eastAsia="Arial" w:hAnsi="Arial"/>
          <w:sz w:val="17"/>
          <w:szCs w:val="17"/>
          <w:color w:val="auto"/>
        </w:rPr>
        <w:t>In October 2019, the Company entered into four interest rate swaps related to the Company’s $500 million term loan B and has designated these swaps as effective cash flow hedges whereby the Company receives variable-rate amounts in exchange for fixed-rate payments over the life of the agreement without exchange of the underlying principal amount. The total notional amount of these interest rate swaps is $350.0 million, and they each mature in 2023.</w:t>
      </w:r>
    </w:p>
    <w:p>
      <w:pPr>
        <w:spacing w:after="0" w:line="171" w:lineRule="exact"/>
        <w:rPr>
          <w:sz w:val="20"/>
          <w:szCs w:val="20"/>
          <w:color w:val="auto"/>
        </w:rPr>
      </w:pPr>
    </w:p>
    <w:p>
      <w:pPr>
        <w:ind w:right="79"/>
        <w:spacing w:after="0" w:line="255" w:lineRule="auto"/>
        <w:rPr>
          <w:sz w:val="20"/>
          <w:szCs w:val="20"/>
          <w:color w:val="auto"/>
        </w:rPr>
      </w:pPr>
      <w:r>
        <w:rPr>
          <w:rFonts w:ascii="Arial" w:cs="Arial" w:eastAsia="Arial" w:hAnsi="Arial"/>
          <w:sz w:val="18"/>
          <w:szCs w:val="18"/>
          <w:color w:val="auto"/>
        </w:rPr>
        <w:t>In October 2019, the Operating Partnership and Finco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will constitute a single class of securities (collectively, the “$700 Million 4.75% Senior Notes”). All other terms and conditions of the additional 2027 notes are identical to the $500 Million 4.75% Senior Notes.</w:t>
      </w:r>
    </w:p>
    <w:p>
      <w:pPr>
        <w:spacing w:after="0" w:line="193" w:lineRule="exact"/>
        <w:rPr>
          <w:sz w:val="20"/>
          <w:szCs w:val="20"/>
          <w:color w:val="auto"/>
        </w:rPr>
      </w:pPr>
    </w:p>
    <w:p>
      <w:pPr>
        <w:ind w:right="219"/>
        <w:spacing w:after="0" w:line="264"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The Company used substantially all of these proceeds to repay a portion of the amounts outstanding under the Company’s revolving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INFORMATION CONCERNING GUARANTOR AND NON-GUARANTOR SUBSIDIARIES:</w:t>
      </w:r>
    </w:p>
    <w:p>
      <w:pPr>
        <w:spacing w:after="0" w:line="202" w:lineRule="exact"/>
        <w:rPr>
          <w:sz w:val="20"/>
          <w:szCs w:val="20"/>
          <w:color w:val="auto"/>
        </w:rPr>
      </w:pPr>
    </w:p>
    <w:p>
      <w:pPr>
        <w:ind w:right="59"/>
        <w:spacing w:after="0" w:line="254" w:lineRule="auto"/>
        <w:rPr>
          <w:sz w:val="20"/>
          <w:szCs w:val="20"/>
          <w:color w:val="auto"/>
        </w:rPr>
      </w:pPr>
      <w:r>
        <w:rPr>
          <w:rFonts w:ascii="Arial" w:cs="Arial" w:eastAsia="Arial" w:hAnsi="Arial"/>
          <w:sz w:val="18"/>
          <w:szCs w:val="18"/>
          <w:color w:val="auto"/>
        </w:rPr>
        <w:t>The $350 Million 5% Senior Notes, the $400 Million 5% Senior Notes, and the $700 Million 4.75%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Operating Partnership’s Fifth Amended and Restated Credit Agreement, as amended (such subsidiary guarantors, together with the Company, the “Guarantors”). The subsidiary Guarantors are 100% owned, and the guarantees are full and unconditional and joint and several. Not all of the Company’s subsidiaries have guaranteed the Company’s $350 Million 5% Senior Notes, the $400 Million 5% Senior Notes, and the $700 Million 4.75% Senior Notes.</w:t>
      </w:r>
    </w:p>
    <w:p>
      <w:pPr>
        <w:spacing w:after="0" w:line="152" w:lineRule="exact"/>
        <w:rPr>
          <w:sz w:val="20"/>
          <w:szCs w:val="20"/>
          <w:color w:val="auto"/>
        </w:rPr>
      </w:pPr>
    </w:p>
    <w:p>
      <w:pPr>
        <w:ind w:right="119"/>
        <w:spacing w:after="0" w:line="264"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September 30,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1,629,425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1,501,940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3,131,365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57,673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2,061,746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(2,061,746)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1,045,602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2,949,445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708,820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1,741,511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(6,445,378)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1,045,633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2,950,576</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4,399,600</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3,956,418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(8,521,490)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3,830,737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1,788,505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2,581,312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15,540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246,768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176,105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1,214,674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(2,061,746)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4"/>
              </w:rPr>
              <w:t>Commitments and contingencies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 in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joint venture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279,352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paid-in-capital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2,894,830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2,506,978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(5,764,021)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1,396,819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(38,117)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4,291,650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2,221,871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(6,445,378)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tcPr>
          <w:p>
            <w:pPr>
              <w:ind w:left="420"/>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1,045,633</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2,950,576</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4,399,600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3,956,418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(8,521,490)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3,830,737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stockholders' equity</w:t>
            </w:r>
          </w:p>
        </w:tc>
        <w:tc>
          <w:tcPr>
            <w:tcW w:w="2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5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1,646,946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1,502,149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3,149,095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restricted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income tax assets,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87"/>
              </w:rPr>
              <w:t>Prepaid expenses and 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1,895,086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(1,895,086)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1,101,740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2,950,457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710,516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1,898,756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(6,661,469)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1,101,821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2,951,148</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4,252,158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4,106,565</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(8,557,809)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1,946,699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2,441,895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255,089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587,175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(1,895,086)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Commitments and contingencies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consolidated joint venture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287,433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900,795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2,895,842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2,668,134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(6,063,098)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1,248,994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(270,084)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(624,006)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4,144,837</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2,372,413</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(6,661,469)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0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Total liabilities and</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1,101,821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2,951,148</w:t>
            </w:r>
          </w:p>
        </w:tc>
        <w:tc>
          <w:tcPr>
            <w:tcW w:w="8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4,252,158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4,106,565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(8,557,809)</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3,853,883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2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Eliminations</w:t>
            </w: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Rooms</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134,950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155,173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81,154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81,154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394,841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(96,208)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379,787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171,479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305,567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225,696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16,394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31,694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386,217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49,460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(25,093)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(10,366)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49,460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21,989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20,890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(26,066)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49,433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4"/>
              </w:rPr>
              <w:t>Comprehensive income (loss), net of taxes</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13,297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(26,066)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49,433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Net income (loss) available to common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vMerge w:val="continue"/>
          </w:tcPr>
          <w:p>
            <w:pPr>
              <w:spacing w:after="0"/>
              <w:rPr>
                <w:sz w:val="13"/>
                <w:szCs w:val="13"/>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22,349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5"/>
              </w:rPr>
              <w:t>(26,066)</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49,433</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(1,378)</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(21,989)</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22,349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shareholders</w:t>
            </w:r>
          </w:p>
        </w:tc>
        <w:tc>
          <w:tcPr>
            <w:tcW w:w="28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Comprehensive income (loss), net of taxes,</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60" w:type="dxa"/>
            <w:vAlign w:val="bottom"/>
            <w:vMerge w:val="continue"/>
            <w:shd w:val="clear" w:color="auto" w:fill="CCEEFF"/>
          </w:tcPr>
          <w:p>
            <w:pPr>
              <w:spacing w:after="0"/>
              <w:rPr>
                <w:sz w:val="13"/>
                <w:szCs w:val="13"/>
                <w:color w:val="auto"/>
              </w:rPr>
            </w:pP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16,650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(26,066)</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49,433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available to common shareholders</w:t>
            </w:r>
          </w:p>
        </w:tc>
        <w:tc>
          <w:tcPr>
            <w:tcW w:w="28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Eliminations</w:t>
            </w: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103,181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118,496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76,592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76,592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297,377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Rooms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139,318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Total hotel 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242,744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177,776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Impairment charges</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29,427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301,096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252,149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(2,936)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47,165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25,527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22,591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(19,624)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47,087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Comprehensive income (loss)</w:t>
            </w: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26,030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(19,624)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47,087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(28,966)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Nine Months Ended September 30,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Eliminations</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4"/>
                <w:szCs w:val="14"/>
                <w:color w:val="auto"/>
              </w:rPr>
              <w:t>(in thousands)</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0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411,866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411,866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499,346</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242,630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154,589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(285,535)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135,385</w:t>
            </w:r>
          </w:p>
        </w:tc>
        <w:tc>
          <w:tcPr>
            <w:tcW w:w="0" w:type="dxa"/>
            <w:vAlign w:val="bottom"/>
          </w:tcPr>
          <w:p>
            <w:pPr>
              <w:spacing w:after="0"/>
              <w:rPr>
                <w:sz w:val="1"/>
                <w:szCs w:val="1"/>
                <w:color w:val="auto"/>
              </w:rPr>
            </w:pPr>
          </w:p>
        </w:tc>
      </w:tr>
      <w:tr>
        <w:trPr>
          <w:trHeight w:val="210"/>
        </w:trPr>
        <w:tc>
          <w:tcPr>
            <w:tcW w:w="32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242,630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1,202,901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(287,250)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1,158,281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108,184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270,623</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(275,061)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273,074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w:t>
            </w:r>
          </w:p>
        </w:tc>
        <w:tc>
          <w:tcPr>
            <w:tcW w:w="0" w:type="dxa"/>
            <w:vAlign w:val="bottom"/>
          </w:tcPr>
          <w:p>
            <w:pPr>
              <w:spacing w:after="0"/>
              <w:rPr>
                <w:sz w:val="1"/>
                <w:szCs w:val="1"/>
                <w:color w:val="auto"/>
              </w:rPr>
            </w:pPr>
          </w:p>
        </w:tc>
      </w:tr>
      <w:tr>
        <w:trPr>
          <w:trHeight w:val="210"/>
        </w:trPr>
        <w:tc>
          <w:tcPr>
            <w:tcW w:w="320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36,515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918,970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(275,061)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680,424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92,722</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26,518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(12,136)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94,732</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1,150,419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(287,250)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962,498</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147,898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(73,758)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(75,453)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147,898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103,587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(13,670)</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(93,079)</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(75,453)</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147,825</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20,707</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(93,079)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89,844</w:t>
            </w: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ind w:left="120"/>
              <w:spacing w:after="0" w:line="156" w:lineRule="exact"/>
              <w:rPr>
                <w:sz w:val="20"/>
                <w:szCs w:val="20"/>
                <w:color w:val="auto"/>
              </w:rPr>
            </w:pPr>
            <w:r>
              <w:rPr>
                <w:rFonts w:ascii="Arial" w:cs="Arial" w:eastAsia="Arial" w:hAnsi="Arial"/>
                <w:sz w:val="18"/>
                <w:szCs w:val="18"/>
                <w:color w:val="auto"/>
              </w:rPr>
              <w:t>Comprehensive income (loss), net of</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82,458</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(75,453)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147,825</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13,321</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(85,693)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82,458</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20"/>
              <w:spacing w:after="0" w:line="195" w:lineRule="exact"/>
              <w:rPr>
                <w:sz w:val="20"/>
                <w:szCs w:val="20"/>
                <w:color w:val="auto"/>
              </w:rPr>
            </w:pPr>
            <w:r>
              <w:rPr>
                <w:rFonts w:ascii="Arial" w:cs="Arial" w:eastAsia="Arial" w:hAnsi="Arial"/>
                <w:sz w:val="18"/>
                <w:szCs w:val="18"/>
                <w:color w:val="auto"/>
                <w:w w:val="98"/>
              </w:rPr>
              <w:t>Net income (loss) available to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101,140</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5"/>
              </w:rPr>
              <w:t>(75,453)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147,825</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20,707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(93,079)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101,140</w:t>
            </w:r>
          </w:p>
        </w:tc>
        <w:tc>
          <w:tcPr>
            <w:tcW w:w="0" w:type="dxa"/>
            <w:vAlign w:val="bottom"/>
          </w:tcPr>
          <w:p>
            <w:pPr>
              <w:spacing w:after="0"/>
              <w:rPr>
                <w:sz w:val="1"/>
                <w:szCs w:val="1"/>
                <w:color w:val="auto"/>
              </w:rPr>
            </w:pPr>
          </w:p>
        </w:tc>
      </w:tr>
      <w:tr>
        <w:trPr>
          <w:trHeight w:val="237"/>
        </w:trPr>
        <w:tc>
          <w:tcPr>
            <w:tcW w:w="320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Comprehensive income (loss), net of</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0" w:type="dxa"/>
            <w:vAlign w:val="bottom"/>
            <w:vMerge w:val="continue"/>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95,648</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(75,453)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147,825</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(87,587)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95,648</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taxes, available to common shareholders</w:t>
            </w: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Nine Months Ended September 30,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Eliminations</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400" w:type="dxa"/>
            <w:vAlign w:val="bottom"/>
          </w:tcPr>
          <w:p>
            <w:pPr>
              <w:spacing w:after="0"/>
              <w:rPr>
                <w:sz w:val="20"/>
                <w:szCs w:val="20"/>
                <w:color w:val="auto"/>
              </w:rPr>
            </w:pPr>
            <w:r>
              <w:rPr>
                <w:rFonts w:ascii="Arial" w:cs="Arial" w:eastAsia="Arial" w:hAnsi="Arial"/>
                <w:sz w:val="14"/>
                <w:szCs w:val="14"/>
                <w:color w:val="auto"/>
              </w:rPr>
              <w:t>(in thousands)</w:t>
            </w: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Guarantors</w:t>
            </w:r>
          </w:p>
        </w:tc>
        <w:tc>
          <w:tcPr>
            <w:tcW w:w="10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332,490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332,490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392,488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392,488</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229,608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95,305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(243,784)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81,129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108,446</w:t>
            </w:r>
          </w:p>
        </w:tc>
        <w:tc>
          <w:tcPr>
            <w:tcW w:w="0" w:type="dxa"/>
            <w:vAlign w:val="bottom"/>
          </w:tcPr>
          <w:p>
            <w:pPr>
              <w:spacing w:after="0"/>
              <w:rPr>
                <w:sz w:val="1"/>
                <w:szCs w:val="1"/>
                <w:color w:val="auto"/>
              </w:rPr>
            </w:pPr>
          </w:p>
        </w:tc>
      </w:tr>
      <w:tr>
        <w:trPr>
          <w:trHeight w:val="210"/>
        </w:trPr>
        <w:tc>
          <w:tcPr>
            <w:tcW w:w="34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229,608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928,753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(243,808)</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914,553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88,550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211,677</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421,846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(229,268)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226,965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0" w:type="dxa"/>
            <w:vAlign w:val="bottom"/>
          </w:tcPr>
          <w:p>
            <w:pPr>
              <w:spacing w:after="0"/>
              <w:rPr>
                <w:sz w:val="1"/>
                <w:szCs w:val="1"/>
                <w:color w:val="auto"/>
              </w:rPr>
            </w:pPr>
          </w:p>
        </w:tc>
      </w:tr>
      <w:tr>
        <w:trPr>
          <w:trHeight w:val="210"/>
        </w:trPr>
        <w:tc>
          <w:tcPr>
            <w:tcW w:w="340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34,387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744,396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(229,268)</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549,515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80,947</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23,181</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Impairment charges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89,655</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899,807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(243,808)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751,810</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143,103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162,743</w:t>
            </w: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(56,690)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143,103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115,224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(9,586)</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(113,647)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105,476</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(56,690)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142,941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27,396</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(113,647)</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105,476</w:t>
            </w:r>
          </w:p>
        </w:tc>
        <w:tc>
          <w:tcPr>
            <w:tcW w:w="0" w:type="dxa"/>
            <w:vAlign w:val="bottom"/>
          </w:tcPr>
          <w:p>
            <w:pPr>
              <w:spacing w:after="0"/>
              <w:rPr>
                <w:sz w:val="1"/>
                <w:szCs w:val="1"/>
                <w:color w:val="auto"/>
              </w:rPr>
            </w:pPr>
          </w:p>
        </w:tc>
      </w:tr>
      <w:tr>
        <w:trPr>
          <w:trHeight w:val="197"/>
        </w:trPr>
        <w:tc>
          <w:tcPr>
            <w:tcW w:w="3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109,077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(56,690)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142,941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30,997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(117,248)</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109,077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91"/>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Nine Months Ended September 30,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Net cash provided by (used in) operating</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(105,860)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Purchase of additional interest in Gaylord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Rockies joint venture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(31,576)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(72,302)</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Net repayments under revolving credit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(302,000)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senior notes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w w:val="99"/>
              </w:rPr>
              <w:t>Borrowing under Gaylord Rockies term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loan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Repayment of Gaylord Rockies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mezzanine loans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(496,612)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(9,166)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Distribution from consolidated joint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w w:val="93"/>
              </w:rPr>
              <w:t>venture to noncontrolling interest partners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(105,793)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(105,793)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Payment of tax withholdings for share-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Net cash provided by (used in) financing</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(140,931)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(164,171)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188,209</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(116,893)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Net change in cash, cash equivalents, and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148,297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vMerge w:val="continue"/>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158,344</w:t>
            </w:r>
          </w:p>
        </w:tc>
        <w:tc>
          <w:tcPr>
            <w:tcW w:w="4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159,459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Nine Months Ended September 30,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Guarantors</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Non-</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Guarantor</w:t>
            </w: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960" w:type="dxa"/>
            <w:vAlign w:val="bottom"/>
            <w:gridSpan w:val="3"/>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(94,109)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$ 130,139</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(56,180)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(76,624)</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Collection of notes receivable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Purchase of remaining interest in Opry City</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Stage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(3,948)</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(2,199)</w:t>
            </w:r>
          </w:p>
        </w:tc>
        <w:tc>
          <w:tcPr>
            <w:tcW w:w="34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(56,180)</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(86,362)</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(142,542)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facility</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(128,769)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Payment of tax withholdings for share-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based compensation</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(4,121)</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(132,890)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(37,047)</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8"/>
              </w:rPr>
              <w:t>Net change in cash, cash equivalents,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43,762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77,877</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line="182" w:lineRule="exact"/>
              <w:rPr>
                <w:sz w:val="20"/>
                <w:szCs w:val="20"/>
                <w:color w:val="auto"/>
              </w:rPr>
            </w:pPr>
            <w:r>
              <w:rPr>
                <w:rFonts w:ascii="Arial" w:cs="Arial" w:eastAsia="Arial" w:hAnsi="Arial"/>
                <w:sz w:val="18"/>
                <w:szCs w:val="18"/>
                <w:color w:val="auto"/>
                <w:w w:val="93"/>
              </w:rPr>
              <w:t>Cash, cash equivalents, and restricted cash,</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2,508</w:t>
            </w:r>
          </w:p>
        </w:tc>
        <w:tc>
          <w:tcPr>
            <w:tcW w:w="16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$ 121,639</w:t>
            </w:r>
          </w:p>
        </w:tc>
        <w:tc>
          <w:tcPr>
            <w:tcW w:w="140" w:type="dxa"/>
            <w:vAlign w:val="bottom"/>
          </w:tcPr>
          <w:p>
            <w:pPr>
              <w:spacing w:after="0"/>
              <w:rPr>
                <w:sz w:val="15"/>
                <w:szCs w:val="15"/>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124,397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end of period</w:t>
            </w:r>
          </w:p>
        </w:tc>
        <w:tc>
          <w:tcPr>
            <w:tcW w:w="10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2018, included in our Annual Report on Form 10-K that was filed with the SEC on February 26,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Marriott International, Inc.’s (“Marriott’s”)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34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changes in interest rates, including future changes from LIBOR to a different base rate, and those factors described in this Quarterly Report on Form 10-Q and our Annual Report on Form 10-K for the year ended December 31, 2018 or described from time to time in our other reports filed with the SEC.</w:t>
      </w:r>
    </w:p>
    <w:p>
      <w:pPr>
        <w:sectPr>
          <w:pgSz w:w="11900" w:h="16838" w:orient="portrait"/>
          <w:cols w:equalWidth="0" w:num="1">
            <w:col w:w="9060"/>
          </w:cols>
          <w:pgMar w:left="1420" w:top="517" w:right="141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303-room overflow hotel adjacent to Gaylord Opryland, and the AC Hotel at National Harbor, Washington D.C. (“AC Hotel”), a 192-room overflow hotel adjacent to Gaylord National. We also own a 62.1% interest in the Gaylord Rockies joint venture that owns Gaylord Rockies, which opened in December 2018 and is also managed by Marriott.</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our Annual Report on Form 10-K for the year ended December 31, 2018 for important information regarding forward-looking statements made in this report and risks and uncertainties we face.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98"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more fully discussed in the Company’s Annual Report on Form 10-K for the year ended December 31, 2018, on December 31, 2018, we completed our purchase of additional interests in the Gaylord Rockies joint venture, increasing our ownership to 61.2%. In addition, on July 31, 2019, we increased our ownership in the Gaylord Rockies joint venture to</w:t>
      </w:r>
    </w:p>
    <w:p>
      <w:pPr>
        <w:ind w:right="40"/>
        <w:spacing w:after="0" w:line="252" w:lineRule="auto"/>
        <w:rPr>
          <w:sz w:val="20"/>
          <w:szCs w:val="20"/>
          <w:color w:val="auto"/>
        </w:rPr>
      </w:pPr>
      <w:r>
        <w:rPr>
          <w:rFonts w:ascii="Arial" w:cs="Arial" w:eastAsia="Arial" w:hAnsi="Arial"/>
          <w:sz w:val="18"/>
          <w:szCs w:val="18"/>
          <w:color w:val="auto"/>
        </w:rPr>
        <w:t>62.1%. Our management has concluded that the Company is the primary beneficiary of this variable interest entity (“VIE”) and the financial position and results of operations of the VIE have been consolidated in the accompanying condensed consolidated financial statements included herein, beginning on December 31, 2018 with respect to the balance sheet and January 1, 2019 with respect to statements of operations and comprehensive income and statements of cash flows. Gaylord Rockies opened on a limited basis in December 2018 and on a fully operational basis in first quarter 2019 and is managed by Marriott.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Activity</w:t>
      </w:r>
    </w:p>
    <w:p>
      <w:pPr>
        <w:spacing w:after="0" w:line="18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July 2019, the Gaylord Rockies joint venture refinanced its previous $500 million construction loan and $39 million mezzanine loan, which were scheduled to mature in December 2019, by entering into an $800 million secured term loan facility, with an option for an additional $80 million of borrowing capacity should the Gaylord Rockies joint venture decide to pursue a future expansion of Gaylord Rockies. The new term loan facility matures in 2023. Net proceeds, after repayment of the construction and mezzanine loans and the payment of expenses, were distributed to the owners of the</w:t>
      </w:r>
    </w:p>
    <w:p>
      <w:pPr>
        <w:sectPr>
          <w:pgSz w:w="11900" w:h="16838" w:orient="portrait"/>
          <w:cols w:equalWidth="0" w:num="1">
            <w:col w:w="9040"/>
          </w:cols>
          <w:pgMar w:left="1420" w:top="517" w:right="14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59"/>
        <w:spacing w:after="0" w:line="342" w:lineRule="auto"/>
        <w:rPr>
          <w:sz w:val="20"/>
          <w:szCs w:val="20"/>
          <w:color w:val="auto"/>
        </w:rPr>
      </w:pPr>
      <w:r>
        <w:rPr>
          <w:rFonts w:ascii="Arial" w:cs="Arial" w:eastAsia="Arial" w:hAnsi="Arial"/>
          <w:sz w:val="16"/>
          <w:szCs w:val="16"/>
          <w:color w:val="auto"/>
        </w:rPr>
        <w:t>Gaylord Rockies joint venture pro rata in proportion to their interests therein. We received a distribution of approximately $153 million, which we used to repay a portion of the outstanding indebtedness under our revolving credit facility.</w:t>
      </w:r>
    </w:p>
    <w:p>
      <w:pPr>
        <w:spacing w:after="0" w:line="97" w:lineRule="exact"/>
        <w:rPr>
          <w:sz w:val="20"/>
          <w:szCs w:val="20"/>
          <w:color w:val="auto"/>
        </w:rPr>
      </w:pPr>
    </w:p>
    <w:p>
      <w:pPr>
        <w:ind w:right="79"/>
        <w:spacing w:after="0" w:line="273" w:lineRule="auto"/>
        <w:rPr>
          <w:sz w:val="20"/>
          <w:szCs w:val="20"/>
          <w:color w:val="auto"/>
        </w:rPr>
      </w:pPr>
      <w:r>
        <w:rPr>
          <w:rFonts w:ascii="Arial" w:cs="Arial" w:eastAsia="Arial" w:hAnsi="Arial"/>
          <w:sz w:val="17"/>
          <w:szCs w:val="17"/>
          <w:color w:val="auto"/>
        </w:rPr>
        <w:t>In September 2019, we refinanced our previous $350 million 5% senior notes due 2021 by issuing $500 million in 4.75% senior notes due 2027 through a private placement. Net proceeds of the $500 million 4.75% senior notes, after deducting the initial purchasers’ discounts, commissions and offering expenses, were approximately $493 million, and were used to repurchase a portion of the $350 million 5% senior notes due 2021 validly tendered and accepted for purchase pursuant to our previously announced cash tender offer, redeem the remaining portion of the $350 million 5% senior notes, and to repay a portion of the outstanding indebtedness under our revolving credit facility.</w:t>
      </w:r>
    </w:p>
    <w:p>
      <w:pPr>
        <w:spacing w:after="0" w:line="138"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In October 2019, we completed a tack-on private placement of $200 million in additional 4.75% senior notes due 2027 at an issue price of 101.250% of their aggregate principal amount plus accrued interest from the issuance date of the original $500 million 4.75% senior notes. Net proceeds, after deducting the initial purchasers’ discounts, commissions and offering expenses, were approximately $199 million, and were used to repay a portion of the outstanding indebtedness under our revolving credit facility.</w:t>
      </w:r>
    </w:p>
    <w:p>
      <w:pPr>
        <w:spacing w:after="0" w:line="148" w:lineRule="exact"/>
        <w:rPr>
          <w:sz w:val="20"/>
          <w:szCs w:val="20"/>
          <w:color w:val="auto"/>
        </w:rPr>
      </w:pPr>
    </w:p>
    <w:p>
      <w:pPr>
        <w:ind w:right="99"/>
        <w:spacing w:after="0" w:line="254" w:lineRule="auto"/>
        <w:rPr>
          <w:sz w:val="20"/>
          <w:szCs w:val="20"/>
          <w:color w:val="auto"/>
        </w:rPr>
      </w:pPr>
      <w:r>
        <w:rPr>
          <w:rFonts w:ascii="Arial" w:cs="Arial" w:eastAsia="Arial" w:hAnsi="Arial"/>
          <w:sz w:val="18"/>
          <w:szCs w:val="18"/>
          <w:color w:val="auto"/>
        </w:rPr>
        <w:t>In October 2019, we completed the refinancing of our existing credit facility by extending the maturity of our $700 million revolving credit facility and $200 million term loan A to 2024 and 2025, respectively. In addition, we increased the outstanding portion of the term loan A to $300 million and the accordion feature of the facility from $500 million to $600 million. Further, the applicable margin on the interest rate for the revolving credit facility and the term loan A portion of the facility were decreased. There were no changes to the $500 million term loan B portion of the credit facility. The net proceeds of the increase in the term loan A, after deducting initial transaction expenses payable at closing, were approximately $94 million and, along with cash on hand, were used to repay $100 million of the outstanding indebtedness under our $500 million term loan B.</w:t>
      </w:r>
    </w:p>
    <w:p>
      <w:pPr>
        <w:spacing w:after="0" w:line="165" w:lineRule="exact"/>
        <w:rPr>
          <w:sz w:val="20"/>
          <w:szCs w:val="20"/>
          <w:color w:val="auto"/>
        </w:rPr>
      </w:pPr>
    </w:p>
    <w:p>
      <w:pPr>
        <w:ind w:right="379"/>
        <w:spacing w:after="0" w:line="277" w:lineRule="auto"/>
        <w:rPr>
          <w:sz w:val="20"/>
          <w:szCs w:val="20"/>
          <w:color w:val="auto"/>
        </w:rPr>
      </w:pPr>
      <w:r>
        <w:rPr>
          <w:rFonts w:ascii="Arial" w:cs="Arial" w:eastAsia="Arial" w:hAnsi="Arial"/>
          <w:sz w:val="18"/>
          <w:szCs w:val="18"/>
          <w:color w:val="auto"/>
        </w:rPr>
        <w:t>For further discussion of the agreements governing each of these debt instruments, see the “Principal Debt Agreements” section of “Liquidity and Capital Resources”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SoundWaves at Gaylord Opryland</w:t>
      </w:r>
    </w:p>
    <w:p>
      <w:pPr>
        <w:spacing w:after="0" w:line="185"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opened in second quarter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85" w:lineRule="exact"/>
        <w:rPr>
          <w:sz w:val="20"/>
          <w:szCs w:val="20"/>
          <w:color w:val="auto"/>
        </w:rPr>
      </w:pPr>
    </w:p>
    <w:p>
      <w:pPr>
        <w:ind w:right="239"/>
        <w:spacing w:after="0" w:line="264" w:lineRule="auto"/>
        <w:rPr>
          <w:sz w:val="20"/>
          <w:szCs w:val="20"/>
          <w:color w:val="auto"/>
        </w:rPr>
      </w:pPr>
      <w:r>
        <w:rPr>
          <w:rFonts w:ascii="Arial" w:cs="Arial" w:eastAsia="Arial" w:hAnsi="Arial"/>
          <w:sz w:val="18"/>
          <w:szCs w:val="18"/>
          <w:color w:val="auto"/>
        </w:rPr>
        <w:t>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98" w:lineRule="exact"/>
        <w:rPr>
          <w:sz w:val="20"/>
          <w:szCs w:val="20"/>
          <w:color w:val="auto"/>
        </w:rPr>
      </w:pPr>
    </w:p>
    <w:p>
      <w:pPr>
        <w:ind w:right="39"/>
        <w:spacing w:after="0" w:line="269" w:lineRule="auto"/>
        <w:rPr>
          <w:sz w:val="20"/>
          <w:szCs w:val="20"/>
          <w:color w:val="auto"/>
        </w:rPr>
      </w:pPr>
      <w:r>
        <w:rPr>
          <w:rFonts w:ascii="Arial" w:cs="Arial" w:eastAsia="Arial" w:hAnsi="Arial"/>
          <w:sz w:val="17"/>
          <w:szCs w:val="17"/>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26, 2019, our board of directors declared our first quarter 2019 cash dividend in the amount of $0.90 per share of common stock, or an aggregate of approximately $46.3 million in cash, which was paid on April 15, 2019 to stockholders of record as of the close of business on March 29, 2019. On June 18, 2019, our board of directors declared our second quarter 2019 cash dividend in the amount of $0.90 per share of common stock, or an aggregate of approximately $46.3 million in cash, which was paid on July 15, 2019 to stockholders of record as of the close of business on June 28, 2019. On September 16, 2019, our board of directors declared our third quarter 2019 cash dividend in the amount of $0.90 per share of common stock, or an aggregate of approximately $46.3 million in cash, which was paid on October 15, 2019 to stockholders of record as of the close of business on September 30, 2019. We currently plan to pay a quarterly cash</w:t>
      </w:r>
    </w:p>
    <w:p>
      <w:pPr>
        <w:sectPr>
          <w:pgSz w:w="11900" w:h="16838" w:orient="portrait"/>
          <w:cols w:equalWidth="0" w:num="1">
            <w:col w:w="9039"/>
          </w:cols>
          <w:pgMar w:left="1420" w:top="517" w:right="1440"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dividend of $0.90 per share of common stock in January 2020. The declaration, timing and amount of dividends will be determined by action of our board of directors. Our dividend policy may be altered at any time by our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While our short-term capital allocation strategy has focused on returning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To this end, we recently increased our investment in the Gaylord Rockies joint venture to 62.1%. As a REIT, we do not view independent, large-scale development of resort and convention hotels as a part of our long-term growth strategy.</w:t>
      </w:r>
    </w:p>
    <w:p>
      <w:pPr>
        <w:spacing w:after="0" w:line="14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680" w:right="18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129" w:lineRule="exact"/>
        <w:rPr>
          <w:rFonts w:ascii="Arial" w:cs="Arial" w:eastAsia="Arial" w:hAnsi="Arial"/>
          <w:sz w:val="18"/>
          <w:szCs w:val="18"/>
          <w:color w:val="auto"/>
        </w:rPr>
      </w:pPr>
    </w:p>
    <w:p>
      <w:pPr>
        <w:ind w:left="680" w:right="740" w:hanging="320"/>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New Country Ventures, and our other Nashville-based attractions.</w:t>
      </w:r>
    </w:p>
    <w:p>
      <w:pPr>
        <w:spacing w:after="0" w:line="143" w:lineRule="exact"/>
        <w:rPr>
          <w:rFonts w:ascii="Arial" w:cs="Arial" w:eastAsia="Arial" w:hAnsi="Arial"/>
          <w:sz w:val="18"/>
          <w:szCs w:val="18"/>
          <w:color w:val="auto"/>
        </w:rPr>
      </w:pPr>
    </w:p>
    <w:p>
      <w:pPr>
        <w:ind w:left="680" w:hanging="320"/>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three months and nine months ended September 30, 2019 and 2018, our total revenues were divided among these business segments as follows: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18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15 %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12 %</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146" w:lineRule="exact"/>
        <w:rPr>
          <w:sz w:val="20"/>
          <w:szCs w:val="20"/>
          <w:color w:val="auto"/>
        </w:rPr>
      </w:pPr>
    </w:p>
    <w:p>
      <w:pPr>
        <w:ind w:left="680" w:hanging="32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98" w:lineRule="exact"/>
        <w:rPr>
          <w:rFonts w:ascii="Arial" w:cs="Arial" w:eastAsia="Arial" w:hAnsi="Arial"/>
          <w:sz w:val="18"/>
          <w:szCs w:val="18"/>
          <w:color w:val="auto"/>
        </w:rPr>
      </w:pPr>
    </w:p>
    <w:p>
      <w:pPr>
        <w:ind w:left="680" w:hanging="320"/>
        <w:spacing w:after="0"/>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680" w:right="480" w:hanging="320"/>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680" w:right="80" w:hanging="320"/>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54" w:lineRule="exact"/>
        <w:rPr>
          <w:rFonts w:ascii="Arial" w:cs="Arial" w:eastAsia="Arial" w:hAnsi="Arial"/>
          <w:sz w:val="18"/>
          <w:szCs w:val="18"/>
          <w:color w:val="auto"/>
        </w:rPr>
      </w:pPr>
    </w:p>
    <w:p>
      <w:pPr>
        <w:jc w:val="both"/>
        <w:ind w:left="680" w:right="240" w:hanging="320"/>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5" w:name="page36"/>
    <w:bookmarkEnd w:id="3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left="20" w:right="40"/>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months and nine months ended September 30, 2019 and 2018. The table also shows the percentage relationships to total revenues and, in the case of segment operating income, its relationship to segment revenues (in thousands, except percentages).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5"/>
          </w:tcPr>
          <w:p>
            <w:pPr>
              <w:jc w:val="right"/>
              <w:ind w:right="399"/>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3"/>
              </w:rPr>
              <w:t>Unaudited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10"/>
          </w:tcPr>
          <w:p>
            <w:pPr>
              <w:jc w:val="right"/>
              <w:ind w:right="404"/>
              <w:spacing w:after="0"/>
              <w:rPr>
                <w:sz w:val="20"/>
                <w:szCs w:val="20"/>
                <w:color w:val="auto"/>
              </w:rPr>
            </w:pPr>
            <w:r>
              <w:rPr>
                <w:rFonts w:ascii="Arial" w:cs="Arial" w:eastAsia="Arial" w:hAnsi="Arial"/>
                <w:sz w:val="14"/>
                <w:szCs w:val="14"/>
                <w:b w:val="1"/>
                <w:bCs w:val="1"/>
                <w:color w:val="auto"/>
                <w:w w:val="99"/>
              </w:rPr>
              <w:t>Three Months Ended 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center"/>
              <w:ind w:left="199"/>
              <w:spacing w:after="0"/>
              <w:rPr>
                <w:sz w:val="20"/>
                <w:szCs w:val="20"/>
                <w:color w:val="auto"/>
              </w:rPr>
            </w:pPr>
            <w:r>
              <w:rPr>
                <w:rFonts w:ascii="Arial" w:cs="Arial" w:eastAsia="Arial" w:hAnsi="Arial"/>
                <w:sz w:val="14"/>
                <w:szCs w:val="14"/>
                <w:b w:val="1"/>
                <w:bCs w:val="1"/>
                <w:color w:val="auto"/>
                <w:w w:val="92"/>
              </w:rPr>
              <w:t>Nine Months Ended September 30,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gridSpan w:val="2"/>
          </w:tcPr>
          <w:p>
            <w:pPr>
              <w:jc w:val="center"/>
              <w:ind w:left="59"/>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gridSpan w:val="2"/>
          </w:tcPr>
          <w:p>
            <w:pPr>
              <w:jc w:val="center"/>
              <w:ind w:lef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tcBorders>
            <w:gridSpan w:val="2"/>
          </w:tcPr>
          <w:p>
            <w:pPr>
              <w:jc w:val="center"/>
              <w:ind w:left="7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gridSpan w:val="3"/>
          </w:tcPr>
          <w:p>
            <w:pPr>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134,950</w:t>
            </w:r>
          </w:p>
        </w:tc>
        <w:tc>
          <w:tcPr>
            <w:tcW w:w="88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35.5 %$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103,181</w:t>
            </w: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35.3 %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411,866</w:t>
            </w: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35.6 %$ 332,490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155,173</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40.9 %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118,496</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40.5 %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499,346</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43.1 %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392,488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revenue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38,134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111,684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81,129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Entertainment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51,530</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13.6 %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43,009</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14.7 %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135,385</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11.7 %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108,446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379,787</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292,249</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1,158,281</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914,553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3"/>
        </w:trPr>
        <w:tc>
          <w:tcPr>
            <w:tcW w:w="278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88,550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88,584</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23.3 %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67,305</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23.0 %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270,623</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23.4 %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211,677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23.1 %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273,074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226,965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Hotel management fees,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8,388</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6,558</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2.2 %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28,543</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22,323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31,327</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92,722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80,947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Corporate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9,404</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7,212</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26,518</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2.3 %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23,181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4,540</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200"/>
              <w:spacing w:after="0"/>
              <w:rPr>
                <w:sz w:val="20"/>
                <w:szCs w:val="20"/>
                <w:color w:val="auto"/>
              </w:rPr>
            </w:pPr>
            <w:r>
              <w:rPr>
                <w:rFonts w:ascii="Arial" w:cs="Arial" w:eastAsia="Arial" w:hAnsi="Arial"/>
                <w:sz w:val="16"/>
                <w:szCs w:val="16"/>
                <w:color w:val="auto"/>
              </w:rPr>
              <w:t>Hospitality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50,445</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13.3 %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27,946</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9.6 %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150,909</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13.0 %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81,379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Entertainment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20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421</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1,210</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1,391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w w:val="97"/>
              </w:rPr>
              <w:t>Total depreciation and amortization</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53,998</w:t>
            </w:r>
          </w:p>
        </w:tc>
        <w:tc>
          <w:tcPr>
            <w:tcW w:w="7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30,994</w:t>
            </w:r>
          </w:p>
        </w:tc>
        <w:tc>
          <w:tcPr>
            <w:tcW w:w="7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160,560</w:t>
            </w:r>
          </w:p>
        </w:tc>
        <w:tc>
          <w:tcPr>
            <w:tcW w:w="7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89,655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323,284</w:t>
            </w:r>
          </w:p>
        </w:tc>
        <w:tc>
          <w:tcPr>
            <w:tcW w:w="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85.1 %</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252,149</w:t>
            </w:r>
          </w:p>
        </w:tc>
        <w:tc>
          <w:tcPr>
            <w:tcW w:w="78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86.3 %</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962,498</w:t>
            </w:r>
          </w:p>
        </w:tc>
        <w:tc>
          <w:tcPr>
            <w:tcW w:w="760" w:type="dxa"/>
            <w:vAlign w:val="bottom"/>
            <w:tcBorders>
              <w:bottom w:val="single" w:sz="8" w:color="CCEEFF"/>
            </w:tcBorders>
            <w:gridSpan w:val="3"/>
          </w:tcPr>
          <w:p>
            <w:pPr>
              <w:jc w:val="right"/>
              <w:spacing w:after="0"/>
              <w:rPr>
                <w:sz w:val="20"/>
                <w:szCs w:val="20"/>
                <w:color w:val="auto"/>
              </w:rPr>
            </w:pPr>
            <w:r>
              <w:rPr>
                <w:rFonts w:ascii="Arial" w:cs="Arial" w:eastAsia="Arial" w:hAnsi="Arial"/>
                <w:sz w:val="16"/>
                <w:szCs w:val="16"/>
                <w:color w:val="auto"/>
              </w:rPr>
              <w:t>83.1 %</w:t>
            </w:r>
          </w:p>
        </w:tc>
        <w:tc>
          <w:tcPr>
            <w:tcW w:w="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751,810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82.2 %</w:t>
            </w:r>
          </w:p>
        </w:tc>
        <w:tc>
          <w:tcPr>
            <w:tcW w:w="0" w:type="dxa"/>
            <w:vAlign w:val="bottom"/>
          </w:tcPr>
          <w:p>
            <w:pPr>
              <w:spacing w:after="0"/>
              <w:rPr>
                <w:sz w:val="1"/>
                <w:szCs w:val="1"/>
                <w:color w:val="auto"/>
              </w:rPr>
            </w:pPr>
          </w:p>
        </w:tc>
      </w:tr>
      <w:tr>
        <w:trPr>
          <w:trHeight w:val="196"/>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Hospitality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52,116</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15.9 %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43,518</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17.5 %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191,563</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18.7 %</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175,213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21.7 %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20,614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(9,825)</w:t>
            </w: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(7,647)</w:t>
            </w: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(27,728)</w:t>
            </w: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(24,572)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gridSpan w:val="2"/>
          </w:tcPr>
          <w:p>
            <w:pPr>
              <w:ind w:left="100"/>
              <w:spacing w:after="0"/>
              <w:rPr>
                <w:sz w:val="20"/>
                <w:szCs w:val="20"/>
                <w:color w:val="auto"/>
              </w:rPr>
            </w:pPr>
            <w:r>
              <w:rPr>
                <w:rFonts w:ascii="Arial" w:cs="Arial" w:eastAsia="Arial" w:hAnsi="Arial"/>
                <w:sz w:val="16"/>
                <w:szCs w:val="16"/>
                <w:color w:val="auto"/>
              </w:rPr>
              <w:t>Impairment charges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(4,540)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(4,540)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income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56,503</w:t>
            </w:r>
          </w:p>
        </w:tc>
        <w:tc>
          <w:tcPr>
            <w:tcW w:w="7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40,100</w:t>
            </w:r>
          </w:p>
        </w:tc>
        <w:tc>
          <w:tcPr>
            <w:tcW w:w="7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195,783</w:t>
            </w:r>
          </w:p>
        </w:tc>
        <w:tc>
          <w:tcPr>
            <w:tcW w:w="76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162,743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03"/>
        </w:trPr>
        <w:tc>
          <w:tcPr>
            <w:tcW w:w="278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(35,261)</w:t>
            </w: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(19,220)</w:t>
            </w: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(100,840)</w:t>
            </w: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(55,574)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8,756</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8,197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780" w:type="dxa"/>
            <w:vAlign w:val="bottom"/>
            <w:gridSpan w:val="3"/>
          </w:tcPr>
          <w:p>
            <w:pPr>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(494)</w:t>
            </w: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joint ventures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780" w:type="dxa"/>
            <w:vAlign w:val="bottom"/>
            <w:gridSpan w:val="3"/>
          </w:tcPr>
          <w:p>
            <w:pPr>
              <w:spacing w:after="0"/>
              <w:rPr>
                <w:sz w:val="20"/>
                <w:szCs w:val="20"/>
                <w:color w:val="auto"/>
              </w:rPr>
            </w:pPr>
            <w:r>
              <w:rPr>
                <w:rFonts w:ascii="Arial" w:cs="Arial" w:eastAsia="Arial" w:hAnsi="Arial"/>
                <w:sz w:val="16"/>
                <w:szCs w:val="16"/>
                <w:color w:val="auto"/>
              </w:rPr>
              <w:t>Other gains and (losses),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1,109</w:t>
            </w: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1,881</w:t>
            </w: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857</w:t>
            </w: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2,085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(13,743)</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(9,748)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96"/>
        </w:trPr>
        <w:tc>
          <w:tcPr>
            <w:tcW w:w="278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20,890</w:t>
            </w: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22,591</w:t>
            </w: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89,844</w:t>
            </w: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2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105,476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loss attributable to noncontrolling</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in consolidated joint venture</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04"/>
              <w:spacing w:after="0"/>
              <w:rPr>
                <w:sz w:val="20"/>
                <w:szCs w:val="20"/>
                <w:color w:val="auto"/>
              </w:rPr>
            </w:pPr>
            <w:r>
              <w:rPr>
                <w:rFonts w:ascii="Arial" w:cs="Arial" w:eastAsia="Arial" w:hAnsi="Arial"/>
                <w:sz w:val="16"/>
                <w:szCs w:val="16"/>
                <w:color w:val="auto"/>
              </w:rPr>
              <w:t>(A)</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gridSpan w:val="2"/>
          </w:tcPr>
          <w:p>
            <w:pPr>
              <w:ind w:left="200"/>
              <w:spacing w:after="0" w:line="173" w:lineRule="exact"/>
              <w:rPr>
                <w:sz w:val="20"/>
                <w:szCs w:val="20"/>
                <w:color w:val="auto"/>
              </w:rPr>
            </w:pPr>
            <w:r>
              <w:rPr>
                <w:rFonts w:ascii="Arial" w:cs="Arial" w:eastAsia="Arial" w:hAnsi="Arial"/>
                <w:sz w:val="16"/>
                <w:szCs w:val="16"/>
                <w:color w:val="auto"/>
              </w:rPr>
              <w:t>Net income available to common</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22,349</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22,591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101,140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auto"/>
                <w:w w:val="92"/>
              </w:rPr>
              <w:t>$ 105,476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60" w:type="dxa"/>
            <w:vAlign w:val="bottom"/>
            <w:gridSpan w:val="2"/>
          </w:tcPr>
          <w:p>
            <w:pPr>
              <w:ind w:left="200"/>
              <w:spacing w:after="0"/>
              <w:rPr>
                <w:sz w:val="20"/>
                <w:szCs w:val="20"/>
                <w:color w:val="auto"/>
              </w:rPr>
            </w:pPr>
            <w:r>
              <w:rPr>
                <w:rFonts w:ascii="Arial" w:cs="Arial" w:eastAsia="Arial" w:hAnsi="Arial"/>
                <w:sz w:val="16"/>
                <w:szCs w:val="16"/>
                <w:color w:val="auto"/>
              </w:rPr>
              <w:t>stockholders</w:t>
            </w:r>
          </w:p>
        </w:tc>
        <w:tc>
          <w:tcPr>
            <w:tcW w:w="2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12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center"/>
              <w:ind w:right="104"/>
              <w:spacing w:after="0"/>
              <w:rPr>
                <w:sz w:val="20"/>
                <w:szCs w:val="20"/>
                <w:color w:val="auto"/>
              </w:rPr>
            </w:pPr>
            <w:r>
              <w:rPr>
                <w:rFonts w:ascii="Arial" w:cs="Arial" w:eastAsia="Arial" w:hAnsi="Arial"/>
                <w:sz w:val="16"/>
                <w:szCs w:val="16"/>
                <w:color w:val="auto"/>
              </w:rPr>
              <w:t>(A)</w:t>
            </w:r>
          </w:p>
        </w:tc>
        <w:tc>
          <w:tcPr>
            <w:tcW w:w="16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center"/>
              <w:ind w:right="15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60" w:right="820" w:hanging="4431"/>
        <w:spacing w:after="0" w:line="778"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financial results for the three months and nine months ended September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 except percentages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4"/>
          </w:tcPr>
          <w:p>
            <w:pPr>
              <w:jc w:val="center"/>
              <w:ind w:left="38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auto"/>
            </w:tcBorders>
            <w:gridSpan w:val="4"/>
          </w:tcPr>
          <w:p>
            <w:pPr>
              <w:jc w:val="center"/>
              <w:ind w:left="362"/>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320" w:type="dxa"/>
            <w:vAlign w:val="bottom"/>
            <w:gridSpan w:val="2"/>
            <w:vMerge w:val="restart"/>
          </w:tcPr>
          <w:p>
            <w:pPr>
              <w:jc w:val="right"/>
              <w:ind w:right="202"/>
              <w:spacing w:after="0"/>
              <w:rPr>
                <w:sz w:val="20"/>
                <w:szCs w:val="20"/>
                <w:color w:val="auto"/>
              </w:rPr>
            </w:pPr>
            <w:r>
              <w:rPr>
                <w:rFonts w:ascii="Arial" w:cs="Arial" w:eastAsia="Arial" w:hAnsi="Arial"/>
                <w:sz w:val="14"/>
                <w:szCs w:val="14"/>
                <w:b w:val="1"/>
                <w:bCs w:val="1"/>
                <w:color w:val="auto"/>
              </w:rPr>
              <w:t>2019</w:t>
            </w:r>
          </w:p>
        </w:tc>
        <w:tc>
          <w:tcPr>
            <w:tcW w:w="9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60" w:type="dxa"/>
            <w:vAlign w:val="bottom"/>
            <w:gridSpan w:val="2"/>
            <w:vMerge w:val="restart"/>
          </w:tcPr>
          <w:p>
            <w:pPr>
              <w:jc w:val="right"/>
              <w:ind w:right="262"/>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0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$ 379,787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$ 292,249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$ 1,158,281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$ 914,553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tcPr>
          <w:p>
            <w:pPr>
              <w:jc w:val="right"/>
              <w:ind w:right="2"/>
              <w:spacing w:after="0"/>
              <w:rPr>
                <w:sz w:val="20"/>
                <w:szCs w:val="20"/>
                <w:color w:val="auto"/>
              </w:rPr>
            </w:pPr>
            <w:r>
              <w:rPr>
                <w:rFonts w:ascii="Arial" w:cs="Arial" w:eastAsia="Arial" w:hAnsi="Arial"/>
                <w:sz w:val="18"/>
                <w:szCs w:val="18"/>
                <w:color w:val="auto"/>
              </w:rPr>
              <w:t>323,284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252,149</w:t>
            </w: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28.2 %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962,498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751,810</w:t>
            </w:r>
          </w:p>
        </w:tc>
        <w:tc>
          <w:tcPr>
            <w:tcW w:w="1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56,503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40.9 %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
              <w:spacing w:after="0"/>
              <w:rPr>
                <w:sz w:val="20"/>
                <w:szCs w:val="20"/>
                <w:color w:val="auto"/>
              </w:rPr>
            </w:pPr>
            <w:r>
              <w:rPr>
                <w:rFonts w:ascii="Arial" w:cs="Arial" w:eastAsia="Arial" w:hAnsi="Arial"/>
                <w:sz w:val="18"/>
                <w:szCs w:val="18"/>
                <w:color w:val="auto"/>
              </w:rPr>
              <w:t>20,890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22,591</w:t>
            </w:r>
          </w:p>
        </w:tc>
        <w:tc>
          <w:tcPr>
            <w:tcW w:w="14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89,844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105,476</w:t>
            </w:r>
          </w:p>
        </w:tc>
        <w:tc>
          <w:tcPr>
            <w:tcW w:w="1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(14.8)%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22,349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22,591</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105,476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Net income available to common</w:t>
            </w: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shareholders per share - diluted</w:t>
            </w:r>
          </w:p>
        </w:tc>
        <w:tc>
          <w:tcPr>
            <w:tcW w:w="1320" w:type="dxa"/>
            <w:vAlign w:val="bottom"/>
            <w:gridSpan w:val="2"/>
          </w:tcPr>
          <w:p>
            <w:pPr>
              <w:jc w:val="right"/>
              <w:ind w:right="2"/>
              <w:spacing w:after="0"/>
              <w:rPr>
                <w:sz w:val="20"/>
                <w:szCs w:val="20"/>
                <w:color w:val="auto"/>
              </w:rPr>
            </w:pPr>
            <w:r>
              <w:rPr>
                <w:rFonts w:ascii="Arial" w:cs="Arial" w:eastAsia="Arial" w:hAnsi="Arial"/>
                <w:sz w:val="18"/>
                <w:szCs w:val="18"/>
                <w:color w:val="auto"/>
              </w:rPr>
              <w:t>0.43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20"/>
                <w:szCs w:val="20"/>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 in our total revenues for the three months ended September 30, 2019, as compared to the same period in 2018, is attributable to increases in our Hospitality segment and Entertainment segment of $79.0 million and $8.5 million, respectively, each as discussed more fully below. The increase in our total revenues for the nine months ended September 30, 2019, as compared to the same period in 2018, is attributable to increases in our Hospitality segment and Entertainment segment of $216.8 million and $26.9 million, respectively, each as discussed more fully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increase in our total operating expenses for the three months ended September 30, 2019, as compared to the same period in 2018, is primarily the result of an increase in our Hospitality segment expenses of $47.9 million and an increase in depreciation and amortization expense of $23.0 million, each as discussed more fully below. The increase in our total operating expenses for the nine months ended September 30, 2019, as compared to the same period in 2018, is primarily the result of increases in our Hospitality segment and Entertainment segment expenses of $130.9 million and $11.8 million, respectively, as well as an increase in depreciation and amortization expense of $70.9 million, each as discussed more fully below. In addition, each of the 2018 periods included $4.5 million in impairment charges that did not recur in the 2019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decrease in our net income to $20.9 million for the three months ended September 30, 2019, as compared to $22.6 million for the same period in 2018, was primarily due to the changes in our revenues and operating expenses reflected above, and the following factors, each as described more fully below:</w:t>
      </w:r>
    </w:p>
    <w:p>
      <w:pPr>
        <w:spacing w:after="0" w:line="141" w:lineRule="exact"/>
        <w:rPr>
          <w:sz w:val="20"/>
          <w:szCs w:val="20"/>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$16.0 million increase in interest expense in the 2019 period.</w:t>
      </w:r>
    </w:p>
    <w:p>
      <w:pPr>
        <w:spacing w:after="0" w:line="184" w:lineRule="exact"/>
        <w:rPr>
          <w:rFonts w:ascii="Arial" w:cs="Arial" w:eastAsia="Arial" w:hAnsi="Arial"/>
          <w:sz w:val="18"/>
          <w:szCs w:val="18"/>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$1.7 million increase in the provision for income taxes in the 2019 period.</w:t>
      </w:r>
    </w:p>
    <w:p>
      <w:pPr>
        <w:spacing w:after="0" w:line="19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decrease in our net income to $89.8 million for the nine months ended September 30, 2019, as compared to $105.5 million for the same period in 2018, was primarily due to the changes in our revenues and operating expenses reflected above, and the following factors, each as described more fully below:</w:t>
      </w:r>
    </w:p>
    <w:p>
      <w:pPr>
        <w:spacing w:after="0" w:line="141" w:lineRule="exact"/>
        <w:rPr>
          <w:sz w:val="20"/>
          <w:szCs w:val="20"/>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$45.3 million increase in interest expense for the 2019 period.</w:t>
      </w:r>
    </w:p>
    <w:p>
      <w:pPr>
        <w:spacing w:after="0" w:line="184" w:lineRule="exact"/>
        <w:rPr>
          <w:rFonts w:ascii="Arial" w:cs="Arial" w:eastAsia="Arial" w:hAnsi="Arial"/>
          <w:sz w:val="18"/>
          <w:szCs w:val="18"/>
          <w:color w:val="auto"/>
        </w:rPr>
      </w:pPr>
    </w:p>
    <w:p>
      <w:pPr>
        <w:ind w:left="680" w:hanging="3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$4.0 million increase in the provision for income taxes in the 2019 period.</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interest expense in both periods was due primarily to interest expense related to the Gaylord Rockies loans, which the Company began consolidating at December 31, 2018, as well as increased interest expense related to the Company’s revolving credit facility, due to increased borrowings.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most important factors and trends contributing to our performance during the three months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described herein were:</w:t>
      </w:r>
    </w:p>
    <w:p>
      <w:pPr>
        <w:spacing w:after="0" w:line="184" w:lineRule="exact"/>
        <w:rPr>
          <w:sz w:val="20"/>
          <w:szCs w:val="20"/>
          <w:color w:val="auto"/>
        </w:rPr>
      </w:pPr>
    </w:p>
    <w:p>
      <w:pPr>
        <w:ind w:left="680" w:right="240" w:hanging="320"/>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opening of Gaylord Rockies on a limited basis in December 2018 and on a fully operational basis in the first quarter of 2019, and the resulting impact on our financial results.</w:t>
      </w:r>
    </w:p>
    <w:p>
      <w:pPr>
        <w:spacing w:after="0" w:line="129" w:lineRule="exact"/>
        <w:rPr>
          <w:rFonts w:ascii="Arial" w:cs="Arial" w:eastAsia="Arial" w:hAnsi="Arial"/>
          <w:sz w:val="18"/>
          <w:szCs w:val="18"/>
          <w:color w:val="auto"/>
        </w:rPr>
      </w:pPr>
    </w:p>
    <w:p>
      <w:pPr>
        <w:ind w:left="680" w:right="280" w:hanging="320"/>
        <w:spacing w:after="0" w:line="259"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occupied rooms (an increase of 5.8% and 13.9%, respectively) and outside-the-room spending (an increase of 4.1% and 16.1%, respectively) at Gaylord Texan during the 2019 periods, as compared to the 2018 periods, primarily due to increases in group business partially attributable to the recent rooms and meeting space expansion, which opened in the second quarter of 2018.</w:t>
      </w:r>
    </w:p>
    <w:p>
      <w:pPr>
        <w:spacing w:after="0" w:line="146" w:lineRule="exact"/>
        <w:rPr>
          <w:rFonts w:ascii="Arial" w:cs="Arial" w:eastAsia="Arial" w:hAnsi="Arial"/>
          <w:sz w:val="18"/>
          <w:szCs w:val="18"/>
          <w:color w:val="auto"/>
        </w:rPr>
      </w:pPr>
    </w:p>
    <w:p>
      <w:pPr>
        <w:ind w:left="680" w:hanging="320"/>
        <w:spacing w:after="0" w:line="293"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occupancy (an increase of 4.8 points of occupancy and 2.2 points of occupancy, respectively), ADR (an increase of 5.1% and 2.7%, respectively), and outside-the-room spending (an increase of 11.8% and 9.3%, respectively) at Gaylord Opryland during the 2019 periods, as compared to the 2018 periods. The increase in occupancy is primarily due to transient business, including business attributable to the opening of SoundWaves. The increase in ADR is due to increases in both group and transient business. The increase in outside-the-room spending is primarily due to increased food and beverage outlet revenue, as well as the opening of SoundWaves.</w:t>
      </w:r>
    </w:p>
    <w:p>
      <w:pPr>
        <w:spacing w:after="0" w:line="137" w:lineRule="exact"/>
        <w:rPr>
          <w:rFonts w:ascii="Arial" w:cs="Arial" w:eastAsia="Arial" w:hAnsi="Arial"/>
          <w:sz w:val="16"/>
          <w:szCs w:val="16"/>
          <w:color w:val="auto"/>
        </w:rPr>
      </w:pPr>
    </w:p>
    <w:p>
      <w:pPr>
        <w:ind w:left="680" w:right="140" w:hanging="320"/>
        <w:spacing w:after="0" w:line="25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2019 periods, as compared to the 2018 periods (an increase of 19.8% and 24.8%, respectively), due primarily to increased shows, attendance and retail revenue at the Grand Ole Opry and Ryman Auditorium, as well as the operation of Ole Red Gatlinburg, which opened in March 2019. In addition, the nine-month 2019 period benefitted from the operations of our flagship Ole Red location, which opened in Nashville in May 2018.</w:t>
      </w:r>
    </w:p>
    <w:p>
      <w:pPr>
        <w:spacing w:after="0" w:line="147" w:lineRule="exact"/>
        <w:rPr>
          <w:rFonts w:ascii="Arial" w:cs="Arial" w:eastAsia="Arial" w:hAnsi="Arial"/>
          <w:sz w:val="18"/>
          <w:szCs w:val="18"/>
          <w:color w:val="auto"/>
        </w:rPr>
      </w:pPr>
    </w:p>
    <w:p>
      <w:pPr>
        <w:ind w:left="680" w:right="40" w:hanging="320"/>
        <w:spacing w:after="0" w:line="255"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expenses for our Entertainment segment during the 2019 periods, as compared to the 2018 periods (an increase of 8.6% and 14.5%, respectively), due primarily to the operations of Ole Red Gatlinburg, as well as increased expenses at the Ryman Auditorium primarily due to the increase in variable expenses associated with the increase in revenue. In addition, the nine-month 2019 period was impacted by the operations of Ole Red Nashville. Both 2019 periods benefitted from the 2018 periods including losses from operations of Opry City Stage, which the Company closed in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three months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2019 and 2018 (in thousands, except percentages and performance metrics):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46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48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Rooms</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134,950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95"/>
              </w:rPr>
              <w:t>103,181</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30.8 %</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411,866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332,490</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23.9 %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155,173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118,496</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31.0 %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499,346</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392,488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27.2 %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Other hotel revenue</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38,134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27,563</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38.4</w:t>
            </w:r>
          </w:p>
        </w:tc>
        <w:tc>
          <w:tcPr>
            <w:tcW w:w="2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81,129</w:t>
            </w:r>
          </w:p>
        </w:tc>
        <w:tc>
          <w:tcPr>
            <w:tcW w:w="2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37.7</w:t>
            </w:r>
          </w:p>
        </w:tc>
        <w:tc>
          <w:tcPr>
            <w:tcW w:w="360" w:type="dxa"/>
            <w:vAlign w:val="bottom"/>
            <w:tcBorders>
              <w:bottom w:val="single" w:sz="8" w:color="CCEEFF"/>
            </w:tcBorders>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 hospitality revenue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328,257</w:t>
            </w:r>
          </w:p>
        </w:tc>
        <w:tc>
          <w:tcPr>
            <w:tcW w:w="2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249,240</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1,022,896</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806,107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5"/>
                <w:szCs w:val="15"/>
                <w:color w:val="auto"/>
              </w:rPr>
              <w:t>Hospitality 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37,116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29,563</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25.5 %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108,184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88,550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22.2 %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Food and beverage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88,584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67,305</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31.6 %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270,623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211,677</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27.8 %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91,608</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74,350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273,074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226,965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Management fees,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6,558</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27.9 %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22,323</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27.9 %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50,445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27,946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150,909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81,379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Total Hospitality operating expenses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276,141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205,722</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34.2</w:t>
            </w:r>
          </w:p>
        </w:tc>
        <w:tc>
          <w:tcPr>
            <w:tcW w:w="2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831,333</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630,894</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31.8</w:t>
            </w:r>
          </w:p>
        </w:tc>
        <w:tc>
          <w:tcPr>
            <w:tcW w:w="360" w:type="dxa"/>
            <w:vAlign w:val="bottom"/>
            <w:tcBorders>
              <w:bottom w:val="single" w:sz="8" w:color="CCEEFF"/>
            </w:tcBorders>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Hospitality operating income (1)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52,116</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43,518</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191,563</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175,213</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3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40" w:type="dxa"/>
            <w:vAlign w:val="bottom"/>
            <w:gridSpan w:val="3"/>
            <w:vMerge w:val="restart"/>
          </w:tcPr>
          <w:p>
            <w:pPr>
              <w:spacing w:after="0"/>
              <w:rPr>
                <w:sz w:val="20"/>
                <w:szCs w:val="20"/>
                <w:color w:val="auto"/>
              </w:rPr>
            </w:pPr>
            <w:r>
              <w:rPr>
                <w:rFonts w:ascii="Arial" w:cs="Arial" w:eastAsia="Arial" w:hAnsi="Arial"/>
                <w:sz w:val="15"/>
                <w:szCs w:val="15"/>
                <w:color w:val="auto"/>
              </w:rPr>
              <w:t>Hospitality performance metrics:</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 (2)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77.1 %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73.2 %</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3.9 pts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75.8 %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75.3 %</w:t>
            </w:r>
          </w:p>
        </w:tc>
        <w:tc>
          <w:tcPr>
            <w:tcW w:w="84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0.5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188.13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177.97</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5.7 %</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196.81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191.13</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145.09</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130.27</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11.4 %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143.97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352.92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314.69</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12.1 %</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370.61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349.04</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574,403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413,268</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39.0 %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1,335,080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1,448,830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16"/>
        </w:trPr>
        <w:tc>
          <w:tcPr>
            <w:tcW w:w="3240" w:type="dxa"/>
            <w:vAlign w:val="bottom"/>
            <w:gridSpan w:val="3"/>
          </w:tcPr>
          <w:p>
            <w:pPr>
              <w:spacing w:after="0"/>
              <w:rPr>
                <w:sz w:val="20"/>
                <w:szCs w:val="20"/>
                <w:color w:val="auto"/>
              </w:rPr>
            </w:pPr>
            <w:r>
              <w:rPr>
                <w:rFonts w:ascii="Arial" w:cs="Arial" w:eastAsia="Arial" w:hAnsi="Arial"/>
                <w:sz w:val="15"/>
                <w:szCs w:val="15"/>
                <w:color w:val="auto"/>
              </w:rPr>
              <w:t>Same-store Hospitality performance metrics (5):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 (2)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75.5 %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73.2 %</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2.3 pts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76.8 %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75.3 %</w:t>
            </w:r>
          </w:p>
        </w:tc>
        <w:tc>
          <w:tcPr>
            <w:tcW w:w="84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1.5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186.04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177.97</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4.5 %</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196.33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191.13</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130.27</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7.9 %</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143.97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3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332.45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314.69</w:t>
            </w:r>
          </w:p>
        </w:tc>
        <w:tc>
          <w:tcPr>
            <w:tcW w:w="2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5"/>
                <w:szCs w:val="15"/>
                <w:color w:val="auto"/>
              </w:rPr>
              <w:t>5.6 %</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364.75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349.04</w:t>
            </w:r>
          </w:p>
        </w:tc>
        <w:tc>
          <w:tcPr>
            <w:tcW w:w="220" w:type="dxa"/>
            <w:vAlign w:val="bottom"/>
          </w:tcPr>
          <w:p>
            <w:pPr>
              <w:spacing w:after="0"/>
              <w:rPr>
                <w:sz w:val="18"/>
                <w:szCs w:val="18"/>
                <w:color w:val="auto"/>
              </w:rPr>
            </w:pPr>
          </w:p>
        </w:tc>
        <w:tc>
          <w:tcPr>
            <w:tcW w:w="840" w:type="dxa"/>
            <w:vAlign w:val="bottom"/>
            <w:gridSpan w:val="2"/>
          </w:tcPr>
          <w:p>
            <w:pPr>
              <w:jc w:val="right"/>
              <w:ind w:right="163"/>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492,056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339,294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1,115,587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1,184,587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3"/>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480" w:hanging="331"/>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of $0.2 million in the three months ended September 30, 2018, and $0.6 million and $2.2 million in the nine months ended September 30, 2019 and 2018, respectively. See discussion of preopening costs below.</w:t>
      </w:r>
    </w:p>
    <w:p>
      <w:pPr>
        <w:spacing w:after="0" w:line="154" w:lineRule="exact"/>
        <w:rPr>
          <w:rFonts w:ascii="Arial" w:cs="Arial" w:eastAsia="Arial" w:hAnsi="Arial"/>
          <w:sz w:val="18"/>
          <w:szCs w:val="18"/>
          <w:color w:val="auto"/>
        </w:rPr>
      </w:pPr>
    </w:p>
    <w:p>
      <w:pPr>
        <w:ind w:left="340" w:hanging="331"/>
        <w:spacing w:after="0" w:line="288"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Hospitality segment occupancy percentage was impacted in the 2019 periods due to the addition of 303 rooms associated with the 2018 Gaylord Texan expansion, as well as the addition of Gaylord Rockies and the related impact on additional rooms available. For the three months and nine months ended September 30, 2019, actual occupied rooms increased</w:t>
      </w:r>
    </w:p>
    <w:p>
      <w:pPr>
        <w:ind w:left="340" w:right="200"/>
        <w:spacing w:after="0" w:line="261" w:lineRule="auto"/>
        <w:rPr>
          <w:rFonts w:ascii="Arial" w:cs="Arial" w:eastAsia="Arial" w:hAnsi="Arial"/>
          <w:sz w:val="16"/>
          <w:szCs w:val="16"/>
          <w:color w:val="auto"/>
        </w:rPr>
      </w:pPr>
      <w:r>
        <w:rPr>
          <w:rFonts w:ascii="Arial" w:cs="Arial" w:eastAsia="Arial" w:hAnsi="Arial"/>
          <w:sz w:val="18"/>
          <w:szCs w:val="18"/>
          <w:color w:val="auto"/>
        </w:rPr>
        <w:t>23.7% and 20.3%, respectively, on a consolidated basis and 3.2% and 3.8%, respectively, on a same-store basis, which excludes Gaylord Rockies.</w:t>
      </w:r>
    </w:p>
    <w:p>
      <w:pPr>
        <w:spacing w:after="0" w:line="143" w:lineRule="exact"/>
        <w:rPr>
          <w:rFonts w:ascii="Arial" w:cs="Arial" w:eastAsia="Arial" w:hAnsi="Arial"/>
          <w:sz w:val="16"/>
          <w:szCs w:val="16"/>
          <w:color w:val="auto"/>
        </w:rPr>
      </w:pPr>
    </w:p>
    <w:p>
      <w:pPr>
        <w:ind w:left="340" w:right="800" w:hanging="331"/>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29" w:lineRule="exact"/>
        <w:rPr>
          <w:rFonts w:ascii="Arial" w:cs="Arial" w:eastAsia="Arial" w:hAnsi="Arial"/>
          <w:sz w:val="18"/>
          <w:szCs w:val="18"/>
          <w:color w:val="auto"/>
        </w:rPr>
      </w:pPr>
    </w:p>
    <w:p>
      <w:pPr>
        <w:ind w:left="340" w:right="100" w:hanging="331"/>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(5)  Same-store Hospitality segment performance metrics do not include Gaylord Rockies, which opened in December 2018.</w:t>
      </w:r>
    </w:p>
    <w:p>
      <w:pPr>
        <w:spacing w:after="0" w:line="2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increase in total Hospitality segment revenue in the three months ended September 30, 2019, as compared to the same period in 2018, is primarily due to increases of $9.6 million, $3.7 million and $2.0 million at Gaylord Opryland, Gaylord Texan and Gaylord Palms, respectively, as well as revenue from Gaylord Rockies of $64.9 million, partially offset by a decrease of $1.2 million at Gaylord National. The increase in total Hospitality segment revenue in the nine months ended September 30, 2019, as compared to the same period in 2018, is primarily due to increases of $28.1 million, $19.9 million, $2.1 million and $1.1 million at Gaylord Texan, Gaylord Opryland, Gaylord National and Gaylord Palms, respectively, as well as revenue from Gaylord Rockies of $165.6 million. See below for further discussion.</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Total Hospitality segment revenues in the three months and nine months ended September 30, 2019 include $3.4 million and $13.1 million, respectively, in attrition and cancellation fee collections, an increase of $0.2 million and $4.7 million from the 2018 periods.</w:t>
      </w:r>
    </w:p>
    <w:p>
      <w:pPr>
        <w:spacing w:after="0" w:line="14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8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6"/>
              </w:rPr>
              <w:t>Three Months Ended</w:t>
            </w:r>
          </w:p>
        </w:tc>
        <w:tc>
          <w:tcPr>
            <w:tcW w:w="15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860" w:type="dxa"/>
            <w:vAlign w:val="bottom"/>
          </w:tcPr>
          <w:p>
            <w:pPr>
              <w:spacing w:after="0"/>
              <w:rPr>
                <w:sz w:val="14"/>
                <w:szCs w:val="14"/>
                <w:color w:val="auto"/>
              </w:rPr>
            </w:pPr>
          </w:p>
        </w:tc>
        <w:tc>
          <w:tcPr>
            <w:tcW w:w="18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38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28 %</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30 %</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r>
    </w:tbl>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Rooms operating expenses increased in the three months ended September 30, 2019, as compared to the same period in 2018, due primarily to the addition of Gaylord Rockies. Rooms operating expenses increased in the nine months ended September 30, 2019, as compared to the same period in 2018, due primarily to the addition of Gaylord Rockies, as well as increased variable costs at Gaylord Texan, as described below.</w:t>
      </w:r>
    </w:p>
    <w:p>
      <w:pPr>
        <w:spacing w:after="0" w:line="1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Food and beverage operating expenses increased in the three months and nine months ended September 30, 2019, as compared to the same periods in 2018, primarily due to the addition of Gaylord Rockies, as well as increased variable costs at Gaylord Texan and Gaylord Opryland, as described below.</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Other hotel expenses for the three months and nine months ended September 30, 2019 and 2018 consist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gridSpan w:val="6"/>
          </w:tcPr>
          <w:p>
            <w:pPr>
              <w:jc w:val="right"/>
              <w:ind w:right="63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00" w:type="dxa"/>
            <w:vAlign w:val="bottom"/>
            <w:gridSpan w:val="5"/>
          </w:tcPr>
          <w:p>
            <w:pPr>
              <w:jc w:val="center"/>
              <w:ind w:left="399"/>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bottom w:val="single" w:sz="8" w:color="auto"/>
            </w:tcBorders>
            <w:gridSpan w:val="5"/>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38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92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50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$ 36,232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$ 28,395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$ 106,714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84,790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Utilities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8,549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7,245</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18.0 %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20,418</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9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9.3 %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37,431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30,117</w:t>
            </w: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24.3 %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114,721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96,494</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hotel expenses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$ 91,608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$ 74,350</w:t>
            </w:r>
          </w:p>
        </w:tc>
        <w:tc>
          <w:tcPr>
            <w:tcW w:w="900" w:type="dxa"/>
            <w:vAlign w:val="bottom"/>
            <w:tcBorders>
              <w:top w:val="single" w:sz="8" w:color="CCEEFF"/>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23.2 %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$ 273,074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226,965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and nine months ended September 30, 2019, as compared to the same periods in 2018, primarily due to expenses related to Gaylord Rockies, as well as slight increases at each of our other Gaylord Hotels properties. Utility costs increased during the three months and nine months ended September 30, 2019, as compared to the same periods in 2018, primarily due to utility costs for Gaylord Rockies. Property taxes increased during the three months and nine months ended September 30, 2019, as compared to the 2018 periods, primarily due to an increase at Gaylord Texan due to the 2018 expansion. The nine-month 2019 increase also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included an increase at Gaylord National as a result of a 2018 refund from a prior year property tax settlement. Other expenses, which include supplies, advertising, maintenance costs and consulting costs, increased during the three months and nine months ended September 30, 2019, as compared to the same periods in 2018, primarily as a result of expenses at Gaylord Rockies, as well as various increases at each of our other Gaylord Hotels properties.</w:t>
      </w:r>
    </w:p>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September 30, 2019 and 2018, we incurred $7.3 million and $5.0 million, respectively, and in the nine months ended September 30, 2019 and 2018, we incurred $22.3 million and $16.3 million, respectively, related to base management fees for our Hospitality segment. In addition, in the three months ended September 30, 2019 and 2018, we incurred $1.9 million and $2.5 million, respectively, and in the nine months ended September 30, 2019 and 2018, we incurred $8.6 million and $8.5 million, respectively, related to incentive management fees for our Hospitality segment. Management fees are presented throughout this Quarterly Report on Form 10-Q net of the amortization of the $190.0 million in deferred management rights proceeds discussed in Note 8, “Deferred Management Rights Proceeds,” to the accompanying condensed consolidated financial statements included herein.</w:t>
      </w:r>
    </w:p>
    <w:p>
      <w:pPr>
        <w:spacing w:after="0" w:line="13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Total Hospitality segment depreciation and amortization expense increased in the three months and nine months ended September 30, 2019, as compared to the same periods in 2018, primarily due to depreciation and amortization at Gaylord Rockies, which is significantly higher than our other Gaylord Hotels properties due to amortization related to intangible assets that were recognized as part of our increased ownership as of December 31, 2018, as well as higher fixed asset balances than the other hotels.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and nine months ended September 30, 2019 and 2018.</w:t>
      </w:r>
    </w:p>
    <w:p>
      <w:pPr>
        <w:spacing w:after="0" w:line="1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are as follows (in 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3"/>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$ 38,968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$ 34,792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118,274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111,956</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120,091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116,519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14,195</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36.1 %</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29,776</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278,130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258,251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700" w:type="dxa"/>
            <w:vAlign w:val="bottom"/>
          </w:tcPr>
          <w:p>
            <w:pPr>
              <w:jc w:val="right"/>
              <w:spacing w:after="0"/>
              <w:rPr>
                <w:sz w:val="20"/>
                <w:szCs w:val="20"/>
                <w:color w:val="auto"/>
              </w:rPr>
            </w:pPr>
            <w:r>
              <w:rPr>
                <w:rFonts w:ascii="Arial" w:cs="Arial" w:eastAsia="Arial" w:hAnsi="Arial"/>
                <w:sz w:val="18"/>
                <w:szCs w:val="18"/>
                <w:color w:val="auto"/>
              </w:rPr>
              <w:t>20,991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19,271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8.9 %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60,156</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700" w:type="dxa"/>
            <w:vAlign w:val="bottom"/>
          </w:tcPr>
          <w:p>
            <w:pPr>
              <w:jc w:val="right"/>
              <w:spacing w:after="0"/>
              <w:rPr>
                <w:sz w:val="20"/>
                <w:szCs w:val="20"/>
                <w:color w:val="auto"/>
              </w:rPr>
            </w:pPr>
            <w:r>
              <w:rPr>
                <w:rFonts w:ascii="Arial" w:cs="Arial" w:eastAsia="Arial" w:hAnsi="Arial"/>
                <w:sz w:val="18"/>
                <w:szCs w:val="18"/>
                <w:color w:val="auto"/>
              </w:rPr>
              <w:t>2,458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8,762</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33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700" w:type="dxa"/>
            <w:vAlign w:val="bottom"/>
          </w:tcPr>
          <w:p>
            <w:pPr>
              <w:jc w:val="right"/>
              <w:spacing w:after="0"/>
              <w:rPr>
                <w:sz w:val="20"/>
                <w:szCs w:val="20"/>
                <w:color w:val="auto"/>
              </w:rPr>
            </w:pPr>
            <w:r>
              <w:rPr>
                <w:rFonts w:ascii="Arial" w:cs="Arial" w:eastAsia="Arial" w:hAnsi="Arial"/>
                <w:sz w:val="18"/>
                <w:szCs w:val="18"/>
                <w:color w:val="auto"/>
              </w:rPr>
              <w:t>69,164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62,581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204,196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191,428</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940" w:type="dxa"/>
            <w:vAlign w:val="bottom"/>
            <w:gridSpan w:val="2"/>
          </w:tcPr>
          <w:p>
            <w:pPr>
              <w:jc w:val="right"/>
              <w:ind w:right="8"/>
              <w:spacing w:after="0"/>
              <w:rPr>
                <w:sz w:val="20"/>
                <w:szCs w:val="20"/>
                <w:color w:val="auto"/>
              </w:rPr>
            </w:pPr>
            <w:r>
              <w:rPr>
                <w:rFonts w:ascii="Arial" w:cs="Arial" w:eastAsia="Arial" w:hAnsi="Arial"/>
                <w:sz w:val="18"/>
                <w:szCs w:val="18"/>
                <w:color w:val="auto"/>
              </w:rPr>
              <w:t>77.2 %</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72.4 %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 pts</w:t>
            </w:r>
          </w:p>
        </w:tc>
        <w:tc>
          <w:tcPr>
            <w:tcW w:w="140" w:type="dxa"/>
            <w:vAlign w:val="bottom"/>
          </w:tcPr>
          <w:p>
            <w:pPr>
              <w:spacing w:after="0"/>
              <w:rPr>
                <w:sz w:val="18"/>
                <w:szCs w:val="18"/>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color w:val="auto"/>
              </w:rPr>
              <w:t>77.6 %</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75.4 %</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 pts</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$ 189.97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$ 180.77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$ 146.66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$ 130.95</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150.01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142.00</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$ 339.43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$ 303.32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40" w:hanging="331"/>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in the nine months ended September 30, 2019 and $0.2 million and $0.3 million in the three months and nine months ended September 30, 2018, respectively. See discussion of preopening costs below.</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Rooms revenue and RevPAR increased at Gaylord Opryland during the three months and nine months ended September 30, 2019, as compared to the same periods in 2018, as the result of an increase in transient occupancy and an increase in ADR for both group and transient business. Rooms revenue and RevPAR were negatively impacted during the 2019 periods by a rooms renovation project, which resulted in approximately 6,000 and 26,250 room nights out of service, respectively. The rooms renovation project is expected to be completed in the fourth quarter of 2019. Rooms expenses increased during the 2019 periods, as compared to the 2018 periods, primarily due to increased variable costs associated with the increase in occupancy.</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Food and beverage revenue increased at Gaylord Opryland during the three months and nine months ended September 30, 2019, as compared to the same periods in 2018, primarily due to increases in food and beverage outlet revenue, including new food and beverage outlets associated with SoundWaves. Food and beverage expenses increased in the 2019 periods, as compared to the 2018 periods, primarily due to increased employment costs and increased variable costs associated with the increase in revenue.</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hotel revenue increased at Gaylord Opryland during the three months and nine months ended September 30, 2019, as compared to the same periods in 2018, primarily due to revenues from SoundWaves, as well as an increase in attrition and cancellation fee collections. Other hotel expenses increased in the 2019 periods, as compared to the 2018 periods, primarily due to additional operating expense for SoundWaves.</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and amortization at Gaylord Opryland was stable during the three months and decreased slightly during the nine months ended September 30, 2019, as compared to the same periods in 2018.</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and nine months ended September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3"/>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7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$ 15,334</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$ 15,299</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0.2 %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57,411</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56,990</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4,814</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4,871</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16,355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15,701</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148,127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147,071</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11,912</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10,961</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38,412</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4,017</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35,976</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119,609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117,522</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72.7 %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72.8 %</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(0.1)pts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77.4 %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78.6 %</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$ 161.98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$ 161.31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RevPAR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$ 117.71</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$ 117.44</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0.2 %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148.52</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147.43</w:t>
            </w:r>
          </w:p>
        </w:tc>
        <w:tc>
          <w:tcPr>
            <w:tcW w:w="2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$ 298.62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Rooms revenue and RevPAR increased at Gaylord Palms during the three months and nine months ended September 30, 2019, as compared to the same periods in 2018, due primarily to an increase in ADR for both group and transient business. Rooms expenses decreased during the 2019 periods, as compared to the 2018 periods, primarily due to a decrease in group commissions.</w:t>
      </w:r>
    </w:p>
    <w:p>
      <w:pPr>
        <w:spacing w:after="0" w:line="14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Food and beverage revenue increased at Gaylord Palms during the three months ended September 30, 2019, as compared to the same period in 2018, due primarily to an increase in both catering and food and beverage outlet revenue. Food and beverage expenses increased in the three-month 2019 period, as compared to the same period in 2018, due primarily to increased variable costs associated with the increase in revenue. Food and beverage revenue and expense were stable at Gaylord Palms during the nine months ended September 30, 2019, as compared to the same period in 2018.</w:t>
      </w:r>
    </w:p>
    <w:p>
      <w:pPr>
        <w:spacing w:after="0" w:line="11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Other hotel revenue at Gaylord Palms decreased during the three months and increased during the nine months ended September 30, 2019, as compared to the same periods in 2018, primarily due to changes in attrition and cancellation fee collections. The 2019 periods include an increase in resort fees driven by an increase in the resort fee rate. Other hotel expenses increased in the 2019 periods, as compared to the 2018 periods, primarily as a result of higher sales and marketing costs.</w:t>
      </w:r>
    </w:p>
    <w:p>
      <w:pPr>
        <w:spacing w:after="0" w:line="16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Depreciation and amortization increased slightly at Gaylord Palms during the three months and nine months ended September 30, 2019, as compared to the same periods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nine months ended September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2018 are 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$ 25,524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$ 23,463</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74,932</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65,295</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111,990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Other hotel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7,352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7,158</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18,722</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62,826</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207,873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179,794</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17,335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16,089</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53,479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47,391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5,335</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 (1)</w:t>
            </w:r>
          </w:p>
        </w:tc>
        <w:tc>
          <w:tcPr>
            <w:tcW w:w="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45,810</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148,072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131,834</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80.6 %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76.2 %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 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78.6 %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75.2 %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$ 189.64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$ 184.45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$ 152.94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$ 140.59</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151.31</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143.68</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$ 398.52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$ 376.45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20" w:hanging="331"/>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Gaylord Texan operating expenses do not include preopening costs of $2.0 million in the nine months ended September 30, 2018. See discussion of preopening costs below.</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Rooms revenue and RevPAR increased at Gaylord Texan during the three months and nine months ended September 30, 2019, as compared to the same periods in 2018, due primarily to an increase in occupancy for both group and transient business, as well as an increase in ADR for both group and transient business. The 2019 periods were also positively impacted by additional room availability from the 2018 rooms expansion, which resulted in an increase in actual rooms sold of 5.8% and 13.9%, respectively, compared to the 2018 periods. Rooms expenses increased during the 2019 periods, as compared to the 2018 periods, primarily due to increased variable costs associated with the increase in rooms sold and increased capacity.</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Food and beverage revenue increased at Gaylord Texan during the three months and nine months ended September 30, 2019, as compared to the same periods in 2018, due to an increase in both catering and food and beverage outlet revenue. Food and beverage expenses increased in the 2019 periods, as compared to the 2018 periods, primarily due to an increase in variable costs associated with the increase in revenue.</w:t>
      </w:r>
    </w:p>
    <w:p>
      <w:pPr>
        <w:spacing w:after="0" w:line="146"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Other hotel revenue at Gaylord Texan increased during the three months and nine months ended September 30, 2019, as compared to the same periods in 2018, primarily as a result of an increase in parking and resort fees associated with the increase in total rooms nights sold, partially offset by a decrease in attrition and cancellation fee collections. Other hotel expenses increased in the 2019 periods, as compared to the 2018 periods, due primarily to increases in property taxes as a result of the 2018 expansion, as well as increases in marketing, maintenance and credit card expenses.</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Depreciation and amortization at Gaylord Texas was stable during the three months and increased during the nine months ended September 30, 2019, as compared to the 2018 periods, primarily as a result of the 2018 rooms and meeting space expansion that resulted in increased depreciable asset levels.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and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are 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2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7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$ 26,264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$ 24,489</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87,538</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82,097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101,970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5,462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5,015</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16,679</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59,128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60,303</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202,886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200,746</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18,826</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19,936</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61,849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62,746</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3,348</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56,671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55,960</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177,151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173,557</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71.9 %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71.9 %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 pts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73.7 %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 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$ 198.96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$ 185.56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7.2 %</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RevPAR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$ 143.02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$ 133.36</w:t>
            </w: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7.2 %</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160.65</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150.66</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$ 328.39</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Rooms revenue and RevPAR increased at Gaylord National during the three months and nine months ended September 30, 2019, as compared to the same periods in 2018, due primarily to an increase in ADR for both group and transient business, as well as an increase in group occupancy. Rooms expenses increased at Gaylord National during the 2019 periods, as compared to the 2018 periods, primarily due to increased group commissions.</w:t>
      </w:r>
    </w:p>
    <w:p>
      <w:pPr>
        <w:spacing w:after="0" w:line="13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Food and beverage revenue decreased at Gaylord National during the three months and nine months ended September 30, 2019, as compared to the same periods in 2018, primarily as a result of a decrease in banquet revenue due to a mix shift from corporate groups to other groups. Food and beverage expenses decreased in the 2019 periods, as compared to the 2018 periods, primarily as a result of decreased variable costs associated with the decrease in revenue.</w:t>
      </w:r>
    </w:p>
    <w:p>
      <w:pPr>
        <w:spacing w:after="0" w:line="11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Other hotel revenue increased at Gaylord National during the three months and nine months ended September 30, 2019, as compared to the same periods in 2018, primarily due to an increase in ancillary fees, such as parking and spa revenue. Other hotel expenses increased in the 2019 periods, as compared to the 2018 periods, due to an increase in credit card expense. In addition, the nine-month 2019 period was impacted by an increase in property tax expense as compared to the 2018 period due to the nine-month 2018 period including a refund from a previous property tax settlement.</w:t>
      </w:r>
    </w:p>
    <w:p>
      <w:pPr>
        <w:spacing w:after="0" w:line="13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Depreciation and amortization at Gaylord National increased slightly during the three months and nine months ended September 30, 2019, as compared to the same periods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and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22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September 30, 2019</w:t>
            </w:r>
          </w:p>
        </w:tc>
      </w:tr>
      <w:tr>
        <w:trPr>
          <w:trHeight w:val="210"/>
        </w:trPr>
        <w:tc>
          <w:tcPr>
            <w:tcW w:w="6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57,453</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91,995</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16,180</w:t>
            </w:r>
          </w:p>
        </w:tc>
        <w:tc>
          <w:tcPr>
            <w:tcW w:w="260" w:type="dxa"/>
            <w:vAlign w:val="bottom"/>
            <w:tcBorders>
              <w:bottom w:val="single" w:sz="8" w:color="CCEEFF"/>
            </w:tcBorders>
          </w:tcPr>
          <w:p>
            <w:pPr>
              <w:spacing w:after="0"/>
              <w:rPr>
                <w:sz w:val="18"/>
                <w:szCs w:val="18"/>
                <w:color w:val="auto"/>
              </w:rPr>
            </w:pPr>
          </w:p>
        </w:tc>
      </w:tr>
      <w:tr>
        <w:trPr>
          <w:trHeight w:val="210"/>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165,628</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16,722</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50,459</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26,134</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6,574</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67,414</w:t>
            </w:r>
          </w:p>
        </w:tc>
        <w:tc>
          <w:tcPr>
            <w:tcW w:w="260" w:type="dxa"/>
            <w:vAlign w:val="bottom"/>
            <w:shd w:val="clear" w:color="auto" w:fill="CCEEFF"/>
          </w:tcPr>
          <w:p>
            <w:pPr>
              <w:spacing w:after="0"/>
              <w:rPr>
                <w:sz w:val="18"/>
                <w:szCs w:val="18"/>
                <w:color w:val="auto"/>
              </w:rPr>
            </w:pPr>
          </w:p>
        </w:tc>
      </w:tr>
      <w:tr>
        <w:trPr>
          <w:trHeight w:val="210"/>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167,303</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86.3 %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70.2 %</w:t>
            </w: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199.83</w:t>
            </w:r>
          </w:p>
        </w:tc>
        <w:tc>
          <w:tcPr>
            <w:tcW w:w="26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140.21</w:t>
            </w:r>
          </w:p>
        </w:tc>
        <w:tc>
          <w:tcPr>
            <w:tcW w:w="2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404.19</w:t>
            </w:r>
          </w:p>
        </w:tc>
        <w:tc>
          <w:tcPr>
            <w:tcW w:w="2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80" w:lineRule="exact"/>
        <w:rPr>
          <w:sz w:val="20"/>
          <w:szCs w:val="20"/>
          <w:color w:val="auto"/>
        </w:rPr>
      </w:pPr>
    </w:p>
    <w:p>
      <w:pPr>
        <w:ind w:left="340" w:right="780" w:hanging="331"/>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$0.6 million in the nine months ended September 30, 2019. See discussion of preopening costs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months and</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and 2018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80" w:type="dxa"/>
            <w:vAlign w:val="bottom"/>
            <w:gridSpan w:val="7"/>
          </w:tcPr>
          <w:p>
            <w:pPr>
              <w:jc w:val="right"/>
              <w:ind w:right="7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80" w:type="dxa"/>
            <w:vAlign w:val="bottom"/>
            <w:gridSpan w:val="6"/>
          </w:tcPr>
          <w:p>
            <w:pPr>
              <w:jc w:val="center"/>
              <w:ind w:left="278"/>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left="25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5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$ 51,530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43,009</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135,385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108,446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34,022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31,327</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80,947</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3"/>
              </w:rPr>
              <w:t>Depreciation and amortization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19.9 %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Operating income (1)</w:t>
            </w:r>
          </w:p>
        </w:tc>
        <w:tc>
          <w:tcPr>
            <w:tcW w:w="15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$ 14,376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020" w:type="dxa"/>
            <w:vAlign w:val="bottom"/>
            <w:gridSpan w:val="3"/>
          </w:tcPr>
          <w:p>
            <w:pPr>
              <w:jc w:val="right"/>
              <w:ind w:right="150"/>
              <w:spacing w:after="0"/>
              <w:rPr>
                <w:sz w:val="20"/>
                <w:szCs w:val="20"/>
                <w:color w:val="auto"/>
              </w:rPr>
            </w:pPr>
            <w:r>
              <w:rPr>
                <w:rFonts w:ascii="Arial" w:cs="Arial" w:eastAsia="Arial" w:hAnsi="Arial"/>
                <w:sz w:val="18"/>
                <w:szCs w:val="18"/>
                <w:color w:val="auto"/>
              </w:rPr>
              <w:t>58.5 %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34,222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20,614</w:t>
            </w:r>
          </w:p>
        </w:tc>
        <w:tc>
          <w:tcPr>
            <w:tcW w:w="1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66.0 %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80" w:hanging="331"/>
        <w:spacing w:after="0" w:line="25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Entertainment segment operating income does not include preopening costs of $0.2 million and $0.1 million in the three months ended September 30, 2019 and 2018, respectively, and $1.6 million and $1.7 million in the nine months ended September 30, 2019 and 2018, respectively. Entertainment segment operating income also does not include impairment charges of $4.5 million in the 2018 periods. See discussion of preopening costs and impairment charges below.</w:t>
      </w:r>
    </w:p>
    <w:p>
      <w:pPr>
        <w:spacing w:after="0" w:line="14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Entertainment segment revenue increased during the three months and nine months ended September 30, 2019, as compared to the same periods in 2018, primarily due to increased shows, attendance and retail revenue at the Grand Ole Opry and Ryman Auditorium, as well as the opening of Ole Red Gatlinburg in March 2019. In addition, the nine-month 2019 period benefitted from the full nine months of operations of our flagship Ole Red location, which opened in Nashville in May 2018.</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Entertainment operating expenses increased during the three months and nine months ended September 30, 2019, as compared to the same periods in 2018, due primarily to the operations of Ole Red Gatlinburg, as well as increased expenses at the Ryman Auditorium primarily due to the increase in variable expenses associated with the increase in revenue. The nine-month 2019 period was also impacted by the full nine months of operations of Ole Red Nashville. In addition, the 2018 periods included losses from operations of Opry City Stage, which the Company closed in 2018.</w:t>
      </w:r>
    </w:p>
    <w:p>
      <w:pPr>
        <w:spacing w:after="0" w:line="1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Entertainment depreciation expense increased in the three months and nine months ended September 30, 2019, as compared to the same periods in 2018, primarily as a result of Ole Red Gatlinburg and additions to the Grand Ole Opry House and the associated increased depreciable asset levels.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2019 and 2018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right"/>
              <w:ind w:right="59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40" w:type="dxa"/>
            <w:vAlign w:val="bottom"/>
            <w:gridSpan w:val="5"/>
          </w:tcPr>
          <w:p>
            <w:pPr>
              <w:jc w:val="center"/>
              <w:ind w:left="299"/>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8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w w:val="98"/>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(9,825)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(7,647)</w:t>
            </w:r>
          </w:p>
        </w:tc>
        <w:tc>
          <w:tcPr>
            <w:tcW w:w="8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(27,728)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(24,572)</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8"/>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information technology and other administrative costs, increased in the three months and nine months ended September 30, 2019, as compared to the same periods in 2018, primarily due to an increase in administrative and employment costs associated with supporting our growth initiatives within our Hospitality and Entertainment segments.</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Corporate and Other depreciation and amortization expense decreased in the three months and nine months ended September 30, 2019, as compared with the same periods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9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Preopening costs of $2.3 million during the nine months ended September 30, 2019 primarily include costs associated with Ole Red Gatlinburg, which opened in March 2019, and Gaylord Rockies, which opened on a fully operational basis in first quarter 2019. Preopening costs of $4.0 million during the nine months ended September 30, 2018 primarily include costs associated with an expansion of the guest rooms and convention space at Gaylord Texan, which opened in the second quarter of 2018, and costs associated with Ole Red Nashville, which opened in May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other factors which affected our net income for the three months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40" w:type="dxa"/>
            <w:vAlign w:val="bottom"/>
            <w:gridSpan w:val="6"/>
          </w:tcPr>
          <w:p>
            <w:pPr>
              <w:jc w:val="center"/>
              <w:ind w:right="17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820" w:type="dxa"/>
            <w:vAlign w:val="bottom"/>
            <w:gridSpan w:val="5"/>
          </w:tcPr>
          <w:p>
            <w:pPr>
              <w:jc w:val="center"/>
              <w:ind w:left="482"/>
              <w:spacing w:after="0"/>
              <w:rPr>
                <w:sz w:val="20"/>
                <w:szCs w:val="20"/>
                <w:color w:val="auto"/>
              </w:rPr>
            </w:pPr>
            <w:r>
              <w:rPr>
                <w:rFonts w:ascii="Arial" w:cs="Arial" w:eastAsia="Arial" w:hAnsi="Arial"/>
                <w:sz w:val="14"/>
                <w:szCs w:val="14"/>
                <w:b w:val="1"/>
                <w:bCs w:val="1"/>
                <w:color w:val="auto"/>
                <w:w w:val="93"/>
              </w:rPr>
              <w:t>Nine Months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Borders>
              <w:bottom w:val="single" w:sz="8" w:color="auto"/>
            </w:tcBorders>
            <w:gridSpan w:val="5"/>
          </w:tcPr>
          <w:p>
            <w:pPr>
              <w:jc w:val="center"/>
              <w:ind w:left="462"/>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300" w:type="dxa"/>
            <w:vAlign w:val="bottom"/>
            <w:gridSpan w:val="2"/>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5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940" w:type="dxa"/>
            <w:vAlign w:val="bottom"/>
            <w:gridSpan w:val="2"/>
            <w:vMerge w:val="restart"/>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8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$ 35,261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$ 19,220</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$ 100,840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$ 55,574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7.5 %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Loss from extinguishment of debt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(100.0)%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4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68.7 %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78.7 %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(1,863)</w:t>
            </w:r>
          </w:p>
        </w:tc>
        <w:tc>
          <w:tcPr>
            <w:tcW w:w="140" w:type="dxa"/>
            <w:vAlign w:val="bottom"/>
          </w:tcPr>
          <w:p>
            <w:pPr>
              <w:spacing w:after="0"/>
              <w:rPr>
                <w:sz w:val="20"/>
                <w:szCs w:val="20"/>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(89.9)%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(9,748)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Interest expense increased $16.0 million during the three months and increased $45.3 million during the nine months ended September 30, 2019, as compared to the same periods in 2018, due primarily to interest expense related to the Gaylord Rockies joint venture, which the Company began consolidating at December 31, 2018, as well as increased interest expense related to the Company’s revolving credit facility due to increased average borrowings and interest rate, and a decrease in capitalized interest in the 2019 periods. The three-month 2019 increase also includes $2.8 million in deferred financing cost write-offs associated with the refinancing of our previous $350 million 5% senior notes due 2021 and the Gaylord Rockies joint venture’s previous construction and mezzanine loans. See additional discussion of these agreements below.</w:t>
      </w:r>
    </w:p>
    <w:p>
      <w:pPr>
        <w:spacing w:after="0" w:line="12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Cash interest expense increased $12.2 million to $32.0 million in the three months and increased $37.8 million to $94.6 million in the nine months ended September 30, 2019, as compared to the same periods in 2018. Non-cash interest expense, which includes amortization and write-off of deferred financing costs, the effects of interest rate swaps, and is offset by capitalized interest, increased $3.8 million to $3.3 million in the three months and increased $7.5 million to $6.3 million in the nine months ended September 30, 2019, as compared to the same periods in 2018.</w:t>
      </w:r>
    </w:p>
    <w:p>
      <w:pPr>
        <w:spacing w:after="0" w:line="13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weighted average interest rate on our borrowings, excluding the write-off of deferred financing costs and capitalized interest, was 4.9% for each of the three months ended September 30, 2019 and 2018 and 5.1% and 4.8% for the nine months ended September 30, 2019 and 2018,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income for the three months and nine months ended September 30, 2019 and 2018 primarily includes amounts earned on the bonds that were received in connection with the development of Gaylord National, which we hold as notes receivable. See Note 6, “Notes Receivable,” to the accompanying condensed consolidated financial statements for additional discussion of interest income on these bonds.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9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September 2019, we commenced a cash tender offer for any and all outstanding $350 million 5% senior notes due 2021 at a redemption price of $1,002.50 per $1,000 principal amount. Pursuant to the tender offer, $197.5 million aggregate principal amount of these notes were validly tendered. As a result of our purchase of these tendered notes, we recognized a loss on extinguishment of debt of $0.5 million in the three months and nine months ended September 30,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Joint Ventures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loss from joint ventures for the three months and nine months ended September 30, 2019 represents preopening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joint venture that we entered into in April 2019 with Gray Television, Inc. to create and distribute a linear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multicast and over-the-top channel dedicated to the country music lifestyle. The loss from joint ventures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September 30, 2018 primarily represents preopening expenses incurred by our Gaylord Rockies joint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venture, which opened on a limited basis in December 2018 and on a fully operational basis in first quarter 2019, as well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losses incurred by our previous Opry City Stage joint venture. In addition, the nine-month 2018 period includes a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 million recognized from the re-measurement of the pre-existing Opry City Stage equity method investment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purchase of the remaining joint venture interest in the second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Other gains and (losses), net for the three months and nine months ended September 30, 2019 and 2018 primarily includes gains of $2.8 million and $2.7 million, respectively, from a fund associated with the Gaylord National bonds to reimburse us for certain marketing and maintenance expenses. These gains were partially offset by pension settlement losses associated with our defined benefit pension plan of $1.6 million and $1.0 million in the 2019 and 2018 periods,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2019 and 2018, we recorded an income tax provision of $3.5 million and $1.9</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respectively. For the nine months ended September 30, 2019 and 2018, we recorded an income tax provision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$13.7 million and $9.7 million, respectively. These results differ from the statutory rate primarily due to the REIT dividends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deduction in all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nine months ended September 30, 2019, our net cash flows provided by operating activities were $231.1 million, primarily reflecting cash provided by our income before depreciation expense, amortization expense and other non-cash charges of approximately $276.2 million, partially offset by unfavorable changes in working capital of approximately $45.1 million. The unfavorable changes in working capital primarily resulted from a decrease in accounts payable and accrued liabilities primarily attributable to the payment of liabilities associated with Gaylord Rockies and our Christmas-related and incentive compensation programs, as well as an increase in accounts receivable due to a seasonal change in the timing of payments received from corporate group customers at our Gaylord Hotels properties, in addition to Gaylord Rockies becoming fully operational in 2019.</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nine months ended September 30, 2018, our net cash flows provided by operating activities were $225.3 million, primarily reflecting cash provided by our income before depreciation expense, amortization expense and other non-cash charges of approximately $222.5 million, and favorable changes in working capital of approximately $2.8 million. The favorable changes in working capital primarily resulted from an increase in accounts payable and accrued liabilities primarily attributable to an increase in deferred revenues associated with our Christmas-related programs and an increase in accrued interest on our outstanding debt, partially offset by an increase in trade receivables due to a seasonal change in the timing of payments received from corporate group customers at our Gaylord Hotels properties.</w:t>
      </w:r>
    </w:p>
    <w:p>
      <w:pPr>
        <w:spacing w:after="0" w:line="15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During the nine months ended September 30, 2019, our primary uses of funds for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activities were purchases of property and equipment, which totaled $109.6 million, and consisted primarily of the expansion of Gaylord Palms, a rooms renovation at Gaylord Opryland, construction of Ole Red Orlando,</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construction of SoundWaves, and ongoing maintenance capital expenditures for our existing properties. This use of cash was partially offset by the receipt of $10.4 million of principal received from the redemption of the governmental bonds previously held by the Gaylord Rockies joint venture, as further described in Note 6, “Notes Receivable,” to the condensed consolidated financial statements included herein.</w:t>
      </w:r>
    </w:p>
    <w:p>
      <w:pPr>
        <w:spacing w:after="0" w:line="1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nine months ended September 30, 2018, our primary uses of funds for investing activities were purchases of property and equipment, which totaled $132.8 million and consisted primarily of construction of SoundWaves, the expansion of the guest rooms and convention space at Gaylord Texan, construction of Ole Red Nashville, an expansion of the retail, ticketing and parking areas at the Grand Ole Opry House, and ongoing maintenance capital expenditures for our existing properties.</w:t>
      </w:r>
    </w:p>
    <w:p>
      <w:pPr>
        <w:spacing w:after="0" w:line="1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Cash Flows From Financing Activities</w:t>
      </w:r>
      <w:r>
        <w:rPr>
          <w:rFonts w:ascii="Arial" w:cs="Arial" w:eastAsia="Arial" w:hAnsi="Arial"/>
          <w:sz w:val="16"/>
          <w:szCs w:val="16"/>
          <w:color w:val="auto"/>
        </w:rPr>
        <w:t>. Our cash flows from financing activities primarily reflect the incurrence of debt,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long-term debt and the payment of cash dividends. During the nine months ended September 30, 2019, our net cash flows used in financing activities were $116.9 million, primarily reflecting the repayment of $302.0 million under our revolving credit facility, the payment of $137.0 million in cash dividends and the distribution by the Gaylord Rockies joint venture of $105.8 million to the noncontrolling interest partners in that joint venture, partially offset by increased borrowings under the Gaylord Rockies loans of $303.4 million and the net issuance of $150.0 million in senior notes.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the nine months ended September 30, 2018, our net cash flows used in financing activities were $37.0 million, primarily reflecting the payment of $128.8 in cash dividends, partially offset by $99.0 million in net borrowings under our revolving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September 30, 2019, we had $101.8 million in unrestricted cash and $476.0 million available for borrowing under our revolving credit facility. During the nine months ended September 30, 2019, we net repaid $155.8 million in borrowings under our credit facility and senior notes, paid cash dividends of $137.0 million, incurred capital expenditures of $109.6 million and increased the borrowings under the Gaylord Rockies loans by $303.4 million. In addition, the Gaylord Rockies joint venture distributed $105.8 million to the noncontrolling interest partners in that joint venture. These net outflows were offset by cash flows from operating activities discussed above, resulting in the increase in our cash balance from December 31, 2018 to September 30, 2019.</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currently plan to pay a quarterly cash dividend of $0.90 per share in January 2020, subject to determinations as to the timing and amount by our board of directors. We anticipate investing in our operations during the remainder of 2019 by spending between $40 million and $60 million in capital expenditures, which primarily includes ongoing maintenance capital of our current facilities, an expansion of the guest rooms and convention space at Gaylord Palms, a rooms renovation at Gaylord Opryland, and the construction of Ole Red Orlando.</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financing lease and operating lease obligations, and (iv) declared dividends. If our existing cash and cash from operations were inadequate to fund such items, as well as capital expenditures, we could draw on our credit facility, subject to the satisfaction of covenants in the credit facility.</w:t>
      </w:r>
    </w:p>
    <w:p>
      <w:pPr>
        <w:spacing w:after="0" w:line="14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outstanding principal debt agreements are described below. Based on current projections for compliance under our financial covenants contained in these agreements, we do not foresee a maturity issue prior to their scheduled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we were in compliance with all covenants related to our outstanding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8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May 11, 2017, we entered into a Fifth Amended and Restated Credit Agreement (the “Original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lenders party thereto and Wells Fargo Bank, N.A., as administrative agent, which amended and restated the Company’s existing credit facility. In addition, on May 23, 2017, we entered into an Amendment No. 1 (the “Amendment No. 1”), on June 26, 2018, we entered into an Amendment No. 2 (the “Amendment No. 2”), and on October 31, 2019, we entered into a Sixth Amended and Restated Credit Agreement (the “Credit Agreement”) among the same parties, as discussed below. As amended, our credit facility consists of a $700.0 million senior secured revolving credit facility (the “Revolver”), a $300.0 million senior secured term loan A (increased from $200 million) (the “Term Loan A”), and a $400.0 million senior secured term loan B (the “Term Loan B”), each as discussed below. The Credit Agreement also increased the accordion feature of the Original Credit Agreement from $500 million to $600 million.</w:t>
      </w:r>
    </w:p>
    <w:p>
      <w:pPr>
        <w:spacing w:after="0" w:line="1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5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As amended, the material financial covenants, ratios or tests contained in the Credit Agreement are as follows:</w:t>
      </w:r>
    </w:p>
    <w:p>
      <w:pPr>
        <w:spacing w:after="0" w:line="114" w:lineRule="exact"/>
        <w:rPr>
          <w:sz w:val="20"/>
          <w:szCs w:val="20"/>
          <w:color w:val="auto"/>
        </w:rPr>
      </w:pPr>
    </w:p>
    <w:p>
      <w:pPr>
        <w:ind w:left="680" w:right="54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43" w:lineRule="exact"/>
        <w:rPr>
          <w:rFonts w:ascii="Arial" w:cs="Arial" w:eastAsia="Arial" w:hAnsi="Arial"/>
          <w:sz w:val="18"/>
          <w:szCs w:val="18"/>
          <w:color w:val="auto"/>
        </w:rPr>
      </w:pPr>
    </w:p>
    <w:p>
      <w:pPr>
        <w:ind w:left="680" w:right="160" w:hanging="320"/>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680" w:right="60" w:hanging="320"/>
        <w:spacing w:after="0" w:line="26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9"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i w:val="1"/>
          <w:iCs w:val="1"/>
          <w:color w:val="auto"/>
        </w:rPr>
        <w:t>$700 Million Revolving Credit Facility</w:t>
      </w:r>
      <w:r>
        <w:rPr>
          <w:rFonts w:ascii="Arial" w:cs="Arial" w:eastAsia="Arial" w:hAnsi="Arial"/>
          <w:sz w:val="16"/>
          <w:szCs w:val="16"/>
          <w:color w:val="auto"/>
        </w:rPr>
        <w:t>. Pursuant to the Credit Agreement, the maturity date of the Revolver was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from May 23, 2021 to March 31, 2024, 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forth in the Credit Agreement. At September 30, 2019, the interest rate on the Revolver was LIBOR plus 1.80%.</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Effective October 31, 2019, as amended, the interest rate on the Revolver was LIBOR plus 1.50%. Principal is payable in full at maturity.</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September 30, 2019, $223.0 million of borrowings were outstanding under the Revolver, and the lending banks had issued $1.0 million of letters of credit under the Credit Agreement, which left $476.0 million of availability under the Revolver (subject to the satisfaction of debt incurrence tests under the indentures governing our $400 million in aggregate principal amount of senior notes due 2023 (the “$400 Million 5% Senior Notes”) and our $500 million in aggregate principal amount of senior notes due 2027 (the “$500 Million 4.75% Senior Notes”), which we met at September 30, 2019).</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the Term Loan A was increased from $200 million to $300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maturity date was extended from May 23, 2022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At September 30, 2019, the interest rate on the Term Loan A was LIBOR plus 1.75%. Effective October 31, 2019, as amended, the interest rate on the Term Loan A was LIBOR plus 1.45%. Amounts borrowed under the Term Loan A that are repaid or prepaid may not be reborrowed. At closing in 2017, we drew down on the Term Loan A in full and proceeds were used to pay down a portion of the Revolver. Net proceeds from the increase in the Term Loan A pursuant to the Credit Agreement were approximately $94 million and, along with cash on hand, were used to repay $100 million of the outstanding indebtedness under the Term Loan B.</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Term Loan B Facility. </w:t>
      </w:r>
      <w:r>
        <w:rPr>
          <w:rFonts w:ascii="Arial" w:cs="Arial" w:eastAsia="Arial" w:hAnsi="Arial"/>
          <w:sz w:val="17"/>
          <w:szCs w:val="17"/>
          <w:color w:val="auto"/>
        </w:rPr>
        <w:t>The Term Loan B has a maturity date of May 11, 2024. The applicable interest rate margins for</w:t>
      </w:r>
      <w:r>
        <w:rPr>
          <w:rFonts w:ascii="Arial" w:cs="Arial" w:eastAsia="Arial" w:hAnsi="Arial"/>
          <w:sz w:val="17"/>
          <w:szCs w:val="17"/>
          <w:i w:val="1"/>
          <w:iCs w:val="1"/>
          <w:color w:val="auto"/>
        </w:rPr>
        <w:t xml:space="preserve"> </w:t>
      </w:r>
      <w:r>
        <w:rPr>
          <w:rFonts w:ascii="Arial" w:cs="Arial" w:eastAsia="Arial" w:hAnsi="Arial"/>
          <w:sz w:val="17"/>
          <w:szCs w:val="17"/>
          <w:color w:val="auto"/>
        </w:rPr>
        <w:t>borrowings under the Term Loan B are, at our option, either (i) LIBOR plus 2.00% or (ii) a base rate as set forth in the Credit Agreement. At September 30, 2019,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in 2017, we drew down on the Term Loan B in full. The Credit Agreement did not change the maturity date or applicable margin on interest rates for the Term Loan B. At September 30, 2019, $487.5 million in borrowings were outstanding under the Term Loan B. On October 31, 2019, subsequent to the repayment discussed above, there was $387.5 million outstanding under the Term Loan B.</w:t>
      </w:r>
    </w:p>
    <w:p>
      <w:pPr>
        <w:spacing w:after="0" w:line="14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 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$500 Million 4.75% Senior Notes are redeemable before October 15, 2022, in whole or in part, at 100.00%, plus accrued and unpaid interest thereon to, but not including, the redemption date, plus a make-whole premium. The $500 Million 4.75% Senior Notes will be redeemable, in whole or in part, at any time on or after October 15, 2022 at a redemption price expressed as a percentage of the principal amount thereof, which percentage is 103.563%, 102.375%, 101.188%, and</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100.00% beginning on October 15 of 2022, 2023, 2024, and 2025, respectively, plus accrued and unpaid interest thereon to, but not including, the redemption date.</w:t>
      </w:r>
    </w:p>
    <w:p>
      <w:pPr>
        <w:spacing w:after="0" w:line="15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issuance of the $500 Million 4.75% Senior Notes, we entered into a registration rights agreement that requires us to complete a registered offer to exchange the $500 Million 4.75% Senior Notes for registered notes with substantially identical terms as the $500 Million 4.75% Senior Notes on or before September 18, 2020.</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as discussed below, and to repay a portion of the amounts outstanding under the Revolver.</w:t>
      </w:r>
    </w:p>
    <w:p>
      <w:pPr>
        <w:spacing w:after="0" w:line="1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 4.75% Senior Notes”). All other terms and conditions of the additional 2027 notes are identical to the $500 Million 4.75% Senior Notes. See Note 17, “Subsequent Events” to the accompanying condensed consolidated financial statements included herein for additional discussion regarding the additional 2027 notes.</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$400 Million 5% Senior Notes. </w:t>
      </w:r>
      <w:r>
        <w:rPr>
          <w:rFonts w:ascii="Arial" w:cs="Arial" w:eastAsia="Arial" w:hAnsi="Arial"/>
          <w:sz w:val="18"/>
          <w:szCs w:val="18"/>
          <w:color w:val="auto"/>
        </w:rPr>
        <w:t>In 2015, the Operating Partnership and Finco completed the private placement of</w:t>
      </w:r>
    </w:p>
    <w:p>
      <w:pPr>
        <w:spacing w:after="0" w:line="2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$400.0 million in aggregate principal amount of senior notes due 2023, which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new $700 million 4.75%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28"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$400 Million 5% Senior Notes are redeemable, in whole or in part, at a redemption price expressed as a percentage of the principal amount thereof, which percentage is 102.50%, 101.25%, and 100.00% beginning on April 15 of 2019, 2020, and 2021, respectively, plus accrued and unpaid interest thereon to, but not including, the redemption date.</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$350 Million 5% Senior Notes. </w:t>
      </w:r>
      <w:r>
        <w:rPr>
          <w:rFonts w:ascii="Arial" w:cs="Arial" w:eastAsia="Arial" w:hAnsi="Arial"/>
          <w:sz w:val="18"/>
          <w:szCs w:val="18"/>
          <w:color w:val="auto"/>
        </w:rPr>
        <w:t>In 2013, the Operating Partnership and Finco completed the private placement of $350.0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aggregate principal amount of senior notes due 2021, which were guaranteed by the Company and its subsidiaries that guarantee the Credit Agreement.</w:t>
      </w:r>
    </w:p>
    <w:p>
      <w:pPr>
        <w:spacing w:after="0" w:line="14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September 2019, we commenced a cash tender offer for any and all outstanding $350 Million 5% Senior Notes at a redemption price of $1,002.50 per $1,000 principal amount. Pursuant to the tender offer, $197.5 million aggregate principal amount of the $350 Million 5% Senior Notes were validly tendered. As a result of this tender offer, we recognized a loss on extinguishment of debt of $0.5 million in the three months and nine months ended September 30, 2019. We used a portion of the proceeds from the issuance of the $500 Million 4.75% Senior Notes to fund the tender offer.</w:t>
      </w:r>
    </w:p>
    <w:p>
      <w:pPr>
        <w:spacing w:after="0" w:line="13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accordance with the indenture governing the $350 Million 5% Senior Notes, subsequent to expiration of the tender offer, in September 2019, we gave irrevocable notice of the redemption of all remaining $350 Million 5% Senior Notes</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tendered in the tender offer and irrevocably deposited with the trustee for the $350 Million 5% Senior Notes an amount sufficient to pay the redemption price of the $350 Million 5% Senior Notes called for redemption at that date, including interest. Accordingly, the $350 Million 5% Senior Notes are no longer reflected in the accompanying condensed consolidated balance sheet at September 30, 2019. We used a portion of the proceeds from the issuance of the $500 Million 4.75% Senior Notes to fund the redemption.</w:t>
      </w:r>
    </w:p>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refinancing of the $350 Million 5% Senior Notes, we wrote off $1.7 million of unamortized deferred financing costs, which are recorded as interest expense in the accompanying condensed consolidated financial statements for the three and nine months ended September 30, 2019.</w:t>
      </w:r>
    </w:p>
    <w:p>
      <w:pPr>
        <w:spacing w:after="0" w:line="1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$800 Million Term Loan (Gaylord Rockies Joint Venture)</w:t>
      </w:r>
      <w:r>
        <w:rPr>
          <w:rFonts w:ascii="Arial" w:cs="Arial" w:eastAsia="Arial" w:hAnsi="Arial"/>
          <w:sz w:val="17"/>
          <w:szCs w:val="17"/>
          <w:color w:val="auto"/>
        </w:rPr>
        <w:t>. On July 2, 2019, Aurora Convention Center Hotel, LLC and</w:t>
      </w:r>
      <w:r>
        <w:rPr>
          <w:rFonts w:ascii="Arial" w:cs="Arial" w:eastAsia="Arial" w:hAnsi="Arial"/>
          <w:sz w:val="17"/>
          <w:szCs w:val="17"/>
          <w:i w:val="1"/>
          <w:iCs w:val="1"/>
          <w:color w:val="auto"/>
        </w:rPr>
        <w:t xml:space="preserve"> </w:t>
      </w:r>
      <w:r>
        <w:rPr>
          <w:rFonts w:ascii="Arial" w:cs="Arial" w:eastAsia="Arial" w:hAnsi="Arial"/>
          <w:sz w:val="17"/>
          <w:szCs w:val="17"/>
          <w:color w:val="auto"/>
        </w:rPr>
        <w:t>Aurora Convention Center Hotel Lessee, LLC,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decide to pursue a future expansion of Gaylord Rockies.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8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result of the refinancing, the Gaylord Rockies joint venture wrote off $1.1 million of deferred financing costs, which are recorded as interest expense in the accompanying condensed consolidated financial statements for the three and nine months ended September 30,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Construction Loan (Gaylord Rockies Joint Venture)</w:t>
      </w:r>
    </w:p>
    <w:p>
      <w:pPr>
        <w:spacing w:after="0" w:line="19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December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The Construction Loan bore interest at an annual rate equal to LIBOR plus</w:t>
      </w:r>
    </w:p>
    <w:p>
      <w:pPr>
        <w:spacing w:after="0" w:line="2"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3.25% and had an original maturity date of December 18, 2019. The Construction Loan was secured by substantially all of the assets of Hotel Owner and an assignment of the hotel’s management agreement. As discussed above, the Construction Loan was refinanced in July 2019 by the Gaylord Rockies Loan.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 Million Mezzanine Loan (Gaylord Rockies Joint Venture)</w:t>
      </w:r>
    </w:p>
    <w:p>
      <w:pPr>
        <w:spacing w:after="0" w:line="18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December 2015, Aurora Convention Hotel Mezz, LLC (“Mezz”) and Aurora Convention Center Hotel Lessee Midco Member, LLC (collectively, “Mezz Borrower”), subsidiaries of the entities comprising the Gaylord Rockies joint venture, entered into a Mezzanine Loan Agreement (the “Mezzanine Loan”) with Marriott International Capital</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Corporation, for a mezzanine loan with available borrowings, as amended, of up to $39.0 million. The Mezzanine Loan bore interest at an annual rate of LIBOR plus 7.00% and had an original maturity date of December 18, 2019. The Mezzanine Loan was secured by Mezz Borrower’s interests in the joint venture. As discussed above, the Mezzanine Loan was refinanced in July 2019 by the Gaylord Rockies Loan.</w:t>
      </w:r>
    </w:p>
    <w:p>
      <w:pPr>
        <w:spacing w:after="0" w:line="1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wholly-owned Gaylord Hotels, we are subject to certain debt limitations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680" w:right="60" w:hanging="320"/>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43" w:lineRule="exact"/>
        <w:rPr>
          <w:rFonts w:ascii="Arial" w:cs="Arial" w:eastAsia="Arial" w:hAnsi="Arial"/>
          <w:sz w:val="18"/>
          <w:szCs w:val="18"/>
          <w:color w:val="auto"/>
        </w:rPr>
      </w:pPr>
    </w:p>
    <w:p>
      <w:pPr>
        <w:ind w:left="680" w:hanging="320"/>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680" w:right="260" w:hanging="320"/>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43" w:lineRule="exact"/>
        <w:rPr>
          <w:rFonts w:ascii="Arial" w:cs="Arial" w:eastAsia="Arial" w:hAnsi="Arial"/>
          <w:sz w:val="18"/>
          <w:szCs w:val="18"/>
          <w:color w:val="auto"/>
        </w:rPr>
      </w:pPr>
    </w:p>
    <w:p>
      <w:pPr>
        <w:ind w:left="680" w:right="60" w:hanging="320"/>
        <w:spacing w:after="0" w:line="26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enter into commitments under letters of credit, primarily for the purpose of securing our deductible obligations with our insurers, and lending banks under our Credit Agreement had issued $1.0 million of letters of credit at September 30, 2019.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September 30, 2019, including long-term debt and operating and capital lease commitments (amounts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Total amounts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$ 2,610,500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$ 433,000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$ 1,672,500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575,562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92"/>
              </w:rPr>
              <w:t>Construction commitments (4)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48,626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48,626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0"/>
        </w:trPr>
        <w:tc>
          <w:tcPr>
            <w:tcW w:w="3160" w:type="dxa"/>
            <w:vAlign w:val="bottom"/>
            <w:gridSpan w:val="3"/>
          </w:tcPr>
          <w:p>
            <w:pPr>
              <w:ind w:left="920"/>
              <w:spacing w:after="0"/>
              <w:rPr>
                <w:sz w:val="20"/>
                <w:szCs w:val="20"/>
                <w:color w:val="auto"/>
              </w:rPr>
            </w:pPr>
            <w:r>
              <w:rPr>
                <w:rFonts w:ascii="Arial" w:cs="Arial" w:eastAsia="Arial" w:hAnsi="Arial"/>
                <w:sz w:val="18"/>
                <w:szCs w:val="18"/>
                <w:color w:val="auto"/>
                <w:w w:val="99"/>
              </w:rPr>
              <w:t>Total contractual obligations</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$ 3,279,764</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61,154</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$ 447,867</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$ 1,686,806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1,083,937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0" w:hanging="331"/>
        <w:spacing w:after="0" w:line="31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$518.7 million in interest payments projected to be due in future years (less than 1 year – $114.3 million; 1-3 years – $213.5 million; 3-5 years – $118.7 million; more than five years – $72.2 million) based on the stated interest rates on our fixed-rate debt and the rates in effect at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79"/>
        <w:spacing w:after="0" w:line="276" w:lineRule="auto"/>
        <w:rPr>
          <w:sz w:val="20"/>
          <w:szCs w:val="20"/>
          <w:color w:val="auto"/>
        </w:rPr>
      </w:pPr>
      <w:r>
        <w:rPr>
          <w:rFonts w:ascii="Arial" w:cs="Arial" w:eastAsia="Arial" w:hAnsi="Arial"/>
          <w:sz w:val="17"/>
          <w:szCs w:val="17"/>
          <w:color w:val="auto"/>
        </w:rPr>
        <w:t>September 30, 2019 for our variable-rate debt, including the impact of interest rate swaps.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2018 for a discussion of the interest we paid during the fiscal years 2018, 2017 and 2016.</w:t>
      </w:r>
    </w:p>
    <w:p>
      <w:pPr>
        <w:spacing w:after="0" w:line="146" w:lineRule="exact"/>
        <w:rPr>
          <w:sz w:val="20"/>
          <w:szCs w:val="20"/>
          <w:color w:val="auto"/>
        </w:rPr>
      </w:pPr>
    </w:p>
    <w:p>
      <w:pPr>
        <w:ind w:left="340" w:right="99" w:hanging="331"/>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commitments due in 3-5 years includes $800.0 million of the Gaylord Rockies Loan for the Gaylord Rockies joint venture.</w:t>
      </w:r>
    </w:p>
    <w:p>
      <w:pPr>
        <w:spacing w:after="0" w:line="129" w:lineRule="exact"/>
        <w:rPr>
          <w:rFonts w:ascii="Arial" w:cs="Arial" w:eastAsia="Arial" w:hAnsi="Arial"/>
          <w:sz w:val="18"/>
          <w:szCs w:val="18"/>
          <w:color w:val="auto"/>
        </w:rPr>
      </w:pPr>
    </w:p>
    <w:p>
      <w:pPr>
        <w:ind w:left="340" w:right="239" w:hanging="331"/>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operating lease commitments of $605.7 million includes the 75-year operating lease agreement we entered into during 1999 for 65.3 acres of land located in Osceola County, Florida where Gaylord Palms is located, which we may extend until January 2101.</w:t>
      </w:r>
    </w:p>
    <w:p>
      <w:pPr>
        <w:spacing w:after="0" w:line="140" w:lineRule="exact"/>
        <w:rPr>
          <w:rFonts w:ascii="Arial" w:cs="Arial" w:eastAsia="Arial" w:hAnsi="Arial"/>
          <w:sz w:val="18"/>
          <w:szCs w:val="18"/>
          <w:color w:val="auto"/>
        </w:rPr>
      </w:pPr>
    </w:p>
    <w:p>
      <w:pPr>
        <w:ind w:left="340" w:right="79" w:hanging="331"/>
        <w:spacing w:after="0" w:line="271"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September 30, 2019, $48.6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52" w:lineRule="exact"/>
        <w:rPr>
          <w:sz w:val="20"/>
          <w:szCs w:val="20"/>
          <w:color w:val="auto"/>
        </w:rPr>
      </w:pPr>
    </w:p>
    <w:p>
      <w:pPr>
        <w:ind w:right="39"/>
        <w:spacing w:after="0" w:line="253" w:lineRule="auto"/>
        <w:rPr>
          <w:sz w:val="20"/>
          <w:szCs w:val="20"/>
          <w:color w:val="auto"/>
        </w:rPr>
      </w:pPr>
      <w:r>
        <w:rPr>
          <w:rFonts w:ascii="Arial" w:cs="Arial" w:eastAsia="Arial" w:hAnsi="Arial"/>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10-K for the year ended December 31, 2018 for further discussion related to these obligations. In addition, the timing of the expected cash flows related to our funding obligation in the joint venture described in Note 13, “Commitments and Contingencies,” to the condensed consolidated financial statements included herein is not contractually determined. Therefore, this obligation has been excluded from the contractual obligations table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9"/>
        <w:spacing w:after="0" w:line="268" w:lineRule="auto"/>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derivative financial instruments,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2018. Other than our January 1, 2019 adoption of Financial Accounting Standards Board Accounting Standards Update No. 2016-02, “</w:t>
      </w:r>
      <w:r>
        <w:rPr>
          <w:rFonts w:ascii="Arial" w:cs="Arial" w:eastAsia="Arial" w:hAnsi="Arial"/>
          <w:sz w:val="17"/>
          <w:szCs w:val="17"/>
          <w:i w:val="1"/>
          <w:iCs w:val="1"/>
          <w:color w:val="auto"/>
        </w:rPr>
        <w:t>Leases</w:t>
      </w:r>
      <w:r>
        <w:rPr>
          <w:rFonts w:ascii="Arial" w:cs="Arial" w:eastAsia="Arial" w:hAnsi="Arial"/>
          <w:sz w:val="17"/>
          <w:szCs w:val="17"/>
          <w:color w:val="auto"/>
        </w:rPr>
        <w:t>,” as discussed in Note 1, “Basis of Presentation,” and the inclusion of interest rate swaps as discussed in Note 7, Debt,” to the condensed consolidated financial statements included herein, there were no newly identified critical accounting policies in the first nine months of 2019, nor were there any material changes to the critical accounting policies and estimates discussed in our Annual Report on Form 10-K for the year ended December 31, 2018.</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30, 2019, borrowings outstanding under the Revolver bear interest at an annual rate of LIBOR plus 1.80%, subject to adjustment as described in the Credit Agreement. If LIBOR were to increase by 100 basis points, our annual interest cost on the $223.0 million in borrowings outstanding under the Revolver at September 30, 2019 would increase by approximately $2.2 million.</w:t>
      </w:r>
    </w:p>
    <w:p>
      <w:pPr>
        <w:spacing w:after="0" w:line="16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2019, borrowings outstanding under our Term Loan A bear interest at an annual rate of LIBOR plus 1.75%, subject to adjustment as described in the Credit Agreement. If LIBOR were to increase by 100 basis points, our annual interest cost on the $200.0 million in borrowings outstanding under our Term Loan A at September 30, 2019 would increase by approximately $2.0 million.</w:t>
      </w:r>
    </w:p>
    <w:p>
      <w:pPr>
        <w:spacing w:after="0" w:line="14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September 30, 2019, borrowings outstanding under our Term Loan B bear interest at an annual rate of LIBOR plus 2.00%, subject to adjustment as described in the Credit Agreement. If LIBOR were to increase by 100 basis points, our annual interest cost on the $487.5 million in borrowings outstanding under our Term Loan B at September 30, 2019 would increase by approximately $4.9 million.</w:t>
      </w:r>
    </w:p>
    <w:p>
      <w:pPr>
        <w:spacing w:after="0" w:line="14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of our outstanding cash balances are occasionally invested overnight with high credit quality financial institutions. We do not have significant exposure to changing interest rates on invested cash at September 30, 2019. As a result, the interest rate market risk implicit in these investments at September 30, 2019, if any, is 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September 30, 2019, the value of the investments in the pension plan was $64.0 million, and an immediate 10% decrease in this value would have reduced the value of the investments in the pension plan by approximately $6.4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3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“Risk Factors,” of our Annual Report on Form 10-K for the fiscal year ended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40" w:type="dxa"/>
            <w:vAlign w:val="bottom"/>
            <w:gridSpan w:val="15"/>
          </w:tcPr>
          <w:p>
            <w:pPr>
              <w:ind w:left="334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7460" w:type="dxa"/>
            <w:vAlign w:val="bottom"/>
            <w:tcBorders>
              <w:bottom w:val="single" w:sz="8" w:color="0000EE"/>
            </w:tcBorders>
            <w:gridSpan w:val="15"/>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Certificate of Incorporation of Ryman Hospitality Properties, Inc. (incorporated</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by reference to Exhibit 3.1 to the Company’s Current Report on Form 8-K filed October 1, 2012).</w:t>
              </w:r>
            </w:hyperlink>
          </w:p>
        </w:tc>
        <w:tc>
          <w:tcPr>
            <w:tcW w:w="500" w:type="dxa"/>
            <w:vAlign w:val="bottom"/>
            <w:gridSpan w:val="8"/>
          </w:tcPr>
          <w:p>
            <w:pPr>
              <w:spacing w:after="0"/>
              <w:rPr>
                <w:sz w:val="17"/>
                <w:szCs w:val="17"/>
                <w:color w:val="auto"/>
              </w:rPr>
            </w:pPr>
          </w:p>
        </w:tc>
      </w:tr>
      <w:tr>
        <w:trPr>
          <w:trHeight w:val="41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10"/>
          </w:tcPr>
          <w:p>
            <w:pPr>
              <w:spacing w:after="0"/>
              <w:rPr>
                <w:rFonts w:ascii="Arial" w:cs="Arial" w:eastAsia="Arial" w:hAnsi="Arial"/>
                <w:sz w:val="18"/>
                <w:szCs w:val="18"/>
                <w:color w:val="0000EE"/>
                <w:w w:val="90"/>
              </w:rPr>
            </w:pPr>
            <w:hyperlink r:id="rId62">
              <w:r>
                <w:rPr>
                  <w:rFonts w:ascii="Arial" w:cs="Arial" w:eastAsia="Arial" w:hAnsi="Arial"/>
                  <w:sz w:val="18"/>
                  <w:szCs w:val="18"/>
                  <w:color w:val="0000EE"/>
                  <w:w w:val="90"/>
                </w:rPr>
                <w:t>Amended and Restated Bylaws of Ryman Hospitality Properties, Inc. (incorporated by reference to</w:t>
              </w:r>
            </w:hyperlink>
          </w:p>
        </w:tc>
        <w:tc>
          <w:tcPr>
            <w:tcW w:w="42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Exhibit 3.2 to the Company’s Current Report on Form 8-K filed October 1, 2012).</w:t>
              </w:r>
            </w:hyperlink>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41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7560" w:type="dxa"/>
            <w:vAlign w:val="bottom"/>
            <w:gridSpan w:val="16"/>
          </w:tcPr>
          <w:p>
            <w:pPr>
              <w:spacing w:after="0"/>
              <w:rPr>
                <w:rFonts w:ascii="Arial" w:cs="Arial" w:eastAsia="Arial" w:hAnsi="Arial"/>
                <w:sz w:val="18"/>
                <w:szCs w:val="18"/>
                <w:color w:val="0000EE"/>
                <w:w w:val="98"/>
              </w:rPr>
            </w:pPr>
            <w:hyperlink r:id="rId63">
              <w:r>
                <w:rPr>
                  <w:rFonts w:ascii="Arial" w:cs="Arial" w:eastAsia="Arial" w:hAnsi="Arial"/>
                  <w:sz w:val="18"/>
                  <w:szCs w:val="18"/>
                  <w:color w:val="0000EE"/>
                  <w:w w:val="98"/>
                </w:rPr>
                <w:t>Indenture, dated as of September 19, 2019, among RHP Hotel Properties, LP and RHP Finance</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Corporation, as the issuers, Ryman Hospitality Properties, Inc., as a guarantor, each of the subsidiary</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 xml:space="preserve">guarantors named therein and U.S. Bank National Association, as trustee,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500 Million</w:t>
              </w:r>
            </w:hyperlink>
          </w:p>
        </w:tc>
        <w:tc>
          <w:tcPr>
            <w:tcW w:w="22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4.</w:t>
              </w:r>
              <w:r>
                <w:rPr>
                  <w:rFonts w:ascii="Arial" w:cs="Arial" w:eastAsia="Arial" w:hAnsi="Arial"/>
                  <w:sz w:val="18"/>
                  <w:szCs w:val="18"/>
                  <w:u w:val="single" w:color="auto"/>
                  <w:color w:val="0000EE"/>
                  <w:w w:val="95"/>
                </w:rPr>
                <w:t>750%</w:t>
              </w:r>
              <w:r>
                <w:rPr>
                  <w:rFonts w:ascii="Arial" w:cs="Arial" w:eastAsia="Arial" w:hAnsi="Arial"/>
                  <w:sz w:val="18"/>
                  <w:szCs w:val="18"/>
                  <w:color w:val="0000EE"/>
                  <w:w w:val="95"/>
                </w:rPr>
                <w:t xml:space="preserve"> Senior Notes due 2027 (incorporated by reference to Exhibit 4.1 to the Company’s Current</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Report on Form 8-K filed September 19, 2019).</w:t>
              </w:r>
            </w:hyperlink>
          </w:p>
        </w:tc>
        <w:tc>
          <w:tcPr>
            <w:tcW w:w="3680" w:type="dxa"/>
            <w:vAlign w:val="bottom"/>
            <w:tcBorders>
              <w:top w:val="single" w:sz="8" w:color="0000EE"/>
            </w:tcBorders>
            <w:gridSpan w:val="8"/>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41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7560" w:type="dxa"/>
            <w:vAlign w:val="bottom"/>
            <w:gridSpan w:val="16"/>
          </w:tcPr>
          <w:p>
            <w:pPr>
              <w:spacing w:after="0"/>
              <w:rPr>
                <w:rFonts w:ascii="Arial" w:cs="Arial" w:eastAsia="Arial" w:hAnsi="Arial"/>
                <w:sz w:val="18"/>
                <w:szCs w:val="18"/>
                <w:color w:val="0000EE"/>
                <w:w w:val="96"/>
              </w:rPr>
            </w:pPr>
            <w:hyperlink r:id="rId63">
              <w:r>
                <w:rPr>
                  <w:rFonts w:ascii="Arial" w:cs="Arial" w:eastAsia="Arial" w:hAnsi="Arial"/>
                  <w:sz w:val="18"/>
                  <w:szCs w:val="18"/>
                  <w:color w:val="0000EE"/>
                  <w:w w:val="96"/>
                </w:rPr>
                <w:t>Form of 4.750% Senior Note due 2027 (incorporated by reference to Exhibit A to Exhibit 4.1 to the</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Company’s Current Report on Form 8-K filed September 19, 2019).</w:t>
              </w:r>
            </w:hyperlink>
          </w:p>
        </w:tc>
        <w:tc>
          <w:tcPr>
            <w:tcW w:w="2260" w:type="dxa"/>
            <w:vAlign w:val="bottom"/>
            <w:tcBorders>
              <w:top w:val="single" w:sz="8" w:color="0000EE"/>
            </w:tcBorders>
            <w:gridSpan w:val="8"/>
          </w:tcPr>
          <w:p>
            <w:pPr>
              <w:spacing w:after="0"/>
              <w:rPr>
                <w:sz w:val="17"/>
                <w:szCs w:val="17"/>
                <w:color w:val="auto"/>
              </w:rPr>
            </w:pPr>
          </w:p>
        </w:tc>
        <w:tc>
          <w:tcPr>
            <w:tcW w:w="380" w:type="dxa"/>
            <w:vAlign w:val="bottom"/>
            <w:gridSpan w:val="5"/>
          </w:tcPr>
          <w:p>
            <w:pPr>
              <w:spacing w:after="0"/>
              <w:rPr>
                <w:sz w:val="17"/>
                <w:szCs w:val="17"/>
                <w:color w:val="auto"/>
              </w:rPr>
            </w:pPr>
          </w:p>
        </w:tc>
      </w:tr>
      <w:tr>
        <w:trPr>
          <w:trHeight w:val="41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4"/>
                <w:szCs w:val="24"/>
                <w:color w:val="auto"/>
              </w:rPr>
            </w:pPr>
          </w:p>
        </w:tc>
        <w:tc>
          <w:tcPr>
            <w:tcW w:w="7080" w:type="dxa"/>
            <w:vAlign w:val="bottom"/>
            <w:tcBorders>
              <w:bottom w:val="single" w:sz="8" w:color="0000EE"/>
            </w:tcBorders>
            <w:gridSpan w:val="9"/>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Registration Rights Agreement, dated as of September 19, 2019, among RHP Properties, LP, RHP</w:t>
              </w:r>
            </w:hyperlink>
          </w:p>
        </w:tc>
        <w:tc>
          <w:tcPr>
            <w:tcW w:w="48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w w:val="94"/>
              </w:rPr>
            </w:pPr>
            <w:hyperlink r:id="rId64">
              <w:r>
                <w:rPr>
                  <w:rFonts w:ascii="Arial" w:cs="Arial" w:eastAsia="Arial" w:hAnsi="Arial"/>
                  <w:sz w:val="18"/>
                  <w:szCs w:val="18"/>
                  <w:color w:val="0000EE"/>
                  <w:w w:val="94"/>
                </w:rPr>
                <w:t>Finance Corporation, Ryman Hospitality Properties, Inc., each of the guarantors named therein, and</w:t>
              </w:r>
            </w:hyperlink>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60" w:type="dxa"/>
            <w:vAlign w:val="bottom"/>
            <w:gridSpan w:val="16"/>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Deutsche Bank Securities Inc. as representative of the initial purchasers (incorporated by reference to</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Exhibit 4.3 to the Company’s Current Report on Form 8-K filed September 19, 2019).</w:t>
              </w:r>
            </w:hyperlink>
          </w:p>
        </w:tc>
        <w:tc>
          <w:tcPr>
            <w:tcW w:w="260" w:type="dxa"/>
            <w:vAlign w:val="bottom"/>
            <w:gridSpan w:val="3"/>
          </w:tcPr>
          <w:p>
            <w:pPr>
              <w:spacing w:after="0"/>
              <w:rPr>
                <w:sz w:val="17"/>
                <w:szCs w:val="17"/>
                <w:color w:val="auto"/>
              </w:rPr>
            </w:pPr>
          </w:p>
        </w:tc>
      </w:tr>
      <w:tr>
        <w:trPr>
          <w:trHeight w:val="20"/>
        </w:trPr>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0" w:type="dxa"/>
            <w:vAlign w:val="bottom"/>
            <w:gridSpan w:val="5"/>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412"/>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220" w:type="dxa"/>
            <w:vAlign w:val="bottom"/>
          </w:tcPr>
          <w:p>
            <w:pPr>
              <w:spacing w:after="0"/>
              <w:rPr>
                <w:sz w:val="24"/>
                <w:szCs w:val="24"/>
                <w:color w:val="auto"/>
              </w:rPr>
            </w:pPr>
          </w:p>
        </w:tc>
        <w:tc>
          <w:tcPr>
            <w:tcW w:w="7560" w:type="dxa"/>
            <w:vAlign w:val="bottom"/>
            <w:gridSpan w:val="16"/>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Supplemental Indenture No. 1, dated as of October 8, 2019, by and among RHP Hotel Properties, LP,</w:t>
              </w:r>
            </w:hyperlink>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and RHP Finance Corporation, as the issuers, Ryman Hospitality Properties, Inc., as a guarantor,</w:t>
              </w:r>
            </w:hyperlink>
          </w:p>
        </w:tc>
        <w:tc>
          <w:tcPr>
            <w:tcW w:w="340" w:type="dxa"/>
            <w:vAlign w:val="bottom"/>
            <w:tcBorders>
              <w:top w:val="single" w:sz="8" w:color="0000EE"/>
            </w:tcBorders>
            <w:gridSpan w:val="6"/>
          </w:tcPr>
          <w:p>
            <w:pPr>
              <w:spacing w:after="0"/>
              <w:rPr>
                <w:sz w:val="17"/>
                <w:szCs w:val="17"/>
                <w:color w:val="auto"/>
              </w:rPr>
            </w:pPr>
          </w:p>
        </w:tc>
        <w:tc>
          <w:tcPr>
            <w:tcW w:w="260" w:type="dxa"/>
            <w:vAlign w:val="bottom"/>
            <w:gridSpan w:val="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7520" w:type="dxa"/>
            <w:vAlign w:val="bottom"/>
            <w:tcBorders>
              <w:bottom w:val="single" w:sz="8" w:color="0000EE"/>
            </w:tcBorders>
            <w:gridSpan w:val="15"/>
          </w:tcPr>
          <w:p>
            <w:pPr>
              <w:spacing w:after="0"/>
              <w:rPr>
                <w:rFonts w:ascii="Arial" w:cs="Arial" w:eastAsia="Arial" w:hAnsi="Arial"/>
                <w:sz w:val="18"/>
                <w:szCs w:val="18"/>
                <w:color w:val="0000EE"/>
                <w:w w:val="89"/>
              </w:rPr>
            </w:pPr>
            <w:hyperlink r:id="rId65">
              <w:r>
                <w:rPr>
                  <w:rFonts w:ascii="Arial" w:cs="Arial" w:eastAsia="Arial" w:hAnsi="Arial"/>
                  <w:sz w:val="18"/>
                  <w:szCs w:val="18"/>
                  <w:color w:val="0000EE"/>
                  <w:w w:val="89"/>
                </w:rPr>
                <w:t>each of the subsidiary guarantors named therein and U.S. Bank National Association, as trustee, relating</w:t>
              </w:r>
            </w:hyperlink>
          </w:p>
        </w:tc>
      </w:tr>
      <w:tr>
        <w:trPr>
          <w:trHeight w:val="196"/>
        </w:trPr>
        <w:tc>
          <w:tcPr>
            <w:tcW w:w="1000" w:type="dxa"/>
            <w:vAlign w:val="bottom"/>
          </w:tcPr>
          <w:p>
            <w:pPr>
              <w:spacing w:after="0"/>
              <w:rPr>
                <w:sz w:val="17"/>
                <w:szCs w:val="17"/>
                <w:color w:val="auto"/>
              </w:rPr>
            </w:pPr>
          </w:p>
        </w:tc>
        <w:tc>
          <w:tcPr>
            <w:tcW w:w="7520" w:type="dxa"/>
            <w:vAlign w:val="bottom"/>
            <w:gridSpan w:val="15"/>
          </w:tcPr>
          <w:p>
            <w:pPr>
              <w:spacing w:after="0" w:line="196" w:lineRule="exact"/>
              <w:rPr>
                <w:rFonts w:ascii="Arial" w:cs="Arial" w:eastAsia="Arial" w:hAnsi="Arial"/>
                <w:sz w:val="18"/>
                <w:szCs w:val="18"/>
                <w:color w:val="0000EE"/>
                <w:w w:val="96"/>
              </w:rPr>
            </w:pPr>
            <w:hyperlink r:id="rId65">
              <w:r>
                <w:rPr>
                  <w:rFonts w:ascii="Arial" w:cs="Arial" w:eastAsia="Arial" w:hAnsi="Arial"/>
                  <w:sz w:val="18"/>
                  <w:szCs w:val="18"/>
                  <w:color w:val="0000EE"/>
                  <w:w w:val="96"/>
                </w:rPr>
                <w:t xml:space="preserve">to the </w:t>
              </w:r>
              <w:r>
                <w:rPr>
                  <w:rFonts w:ascii="Arial" w:cs="Arial" w:eastAsia="Arial" w:hAnsi="Arial"/>
                  <w:sz w:val="18"/>
                  <w:szCs w:val="18"/>
                  <w:u w:val="single" w:color="auto"/>
                  <w:color w:val="0000EE"/>
                  <w:w w:val="96"/>
                </w:rPr>
                <w:t>$</w:t>
              </w:r>
              <w:r>
                <w:rPr>
                  <w:rFonts w:ascii="Arial" w:cs="Arial" w:eastAsia="Arial" w:hAnsi="Arial"/>
                  <w:sz w:val="18"/>
                  <w:szCs w:val="18"/>
                  <w:color w:val="0000EE"/>
                  <w:w w:val="96"/>
                </w:rPr>
                <w:t>200 Million 4.750% Senior Notes due 2027 (incorporated by reference to Exhibit 4.3 to the</w:t>
              </w:r>
            </w:hyperlink>
          </w:p>
        </w:tc>
      </w:tr>
      <w:tr>
        <w:trPr>
          <w:trHeight w:val="196"/>
        </w:trPr>
        <w:tc>
          <w:tcPr>
            <w:tcW w:w="10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Company’s Current Report on Form 8-K filed October 8, 2019).</w:t>
              </w:r>
            </w:hyperlink>
          </w:p>
        </w:tc>
        <w:tc>
          <w:tcPr>
            <w:tcW w:w="2480" w:type="dxa"/>
            <w:vAlign w:val="bottom"/>
            <w:tcBorders>
              <w:top w:val="single" w:sz="8" w:color="0000EE"/>
            </w:tcBorders>
            <w:gridSpan w:val="7"/>
          </w:tcPr>
          <w:p>
            <w:pPr>
              <w:spacing w:after="0"/>
              <w:rPr>
                <w:sz w:val="17"/>
                <w:szCs w:val="17"/>
                <w:color w:val="auto"/>
              </w:rPr>
            </w:pPr>
          </w:p>
        </w:tc>
        <w:tc>
          <w:tcPr>
            <w:tcW w:w="400" w:type="dxa"/>
            <w:vAlign w:val="bottom"/>
            <w:gridSpan w:val="6"/>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4.5</w:t>
            </w:r>
          </w:p>
        </w:tc>
        <w:tc>
          <w:tcPr>
            <w:tcW w:w="7420" w:type="dxa"/>
            <w:vAlign w:val="bottom"/>
            <w:tcBorders>
              <w:bottom w:val="single" w:sz="8" w:color="0000EE"/>
            </w:tcBorders>
            <w:gridSpan w:val="13"/>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Registration Rights Agreement, dated as of October 8, 2019, among RHP Properties, LP, RHP Finance</w:t>
              </w:r>
            </w:hyperlink>
          </w:p>
        </w:tc>
        <w:tc>
          <w:tcPr>
            <w:tcW w:w="10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520" w:type="dxa"/>
            <w:vAlign w:val="bottom"/>
            <w:gridSpan w:val="15"/>
          </w:tcPr>
          <w:p>
            <w:pPr>
              <w:spacing w:after="0" w:line="19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Corporation, Ryman Hospitality Properties, Inc., each of the guarantors named therein, and Deutsche</w:t>
              </w:r>
            </w:hyperlink>
          </w:p>
        </w:tc>
      </w:tr>
      <w:tr>
        <w:trPr>
          <w:trHeight w:val="20"/>
        </w:trPr>
        <w:tc>
          <w:tcPr>
            <w:tcW w:w="100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4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Bank Securities Inc. as representative of the initial purchasers (incorporated by reference to Exhibit 4.4</w:t>
              </w:r>
            </w:hyperlink>
          </w:p>
        </w:tc>
        <w:tc>
          <w:tcPr>
            <w:tcW w:w="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2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to the Company’s Current Report on Form 8-K filed October 8, 2019).</w:t>
              </w:r>
            </w:hyperlink>
          </w:p>
        </w:tc>
      </w:tr>
      <w:tr>
        <w:trPr>
          <w:trHeight w:val="20"/>
        </w:trPr>
        <w:tc>
          <w:tcPr>
            <w:tcW w:w="100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7520" w:type="dxa"/>
            <w:vAlign w:val="bottom"/>
            <w:gridSpan w:val="15"/>
          </w:tcPr>
          <w:p>
            <w:pPr>
              <w:spacing w:after="0"/>
              <w:rPr>
                <w:rFonts w:ascii="Arial" w:cs="Arial" w:eastAsia="Arial" w:hAnsi="Arial"/>
                <w:sz w:val="18"/>
                <w:szCs w:val="18"/>
                <w:color w:val="0000EE"/>
                <w:w w:val="98"/>
              </w:rPr>
            </w:pPr>
            <w:hyperlink r:id="rId68">
              <w:r>
                <w:rPr>
                  <w:rFonts w:ascii="Arial" w:cs="Arial" w:eastAsia="Arial" w:hAnsi="Arial"/>
                  <w:sz w:val="18"/>
                  <w:szCs w:val="18"/>
                  <w:color w:val="0000EE"/>
                  <w:w w:val="98"/>
                </w:rPr>
                <w:t>Second Amended and Restated Loan Agreement entered into as of July 2, 2019, among Aurora</w:t>
              </w:r>
            </w:hyperlink>
          </w:p>
        </w:tc>
      </w:tr>
      <w:tr>
        <w:trPr>
          <w:trHeight w:val="20"/>
        </w:trPr>
        <w:tc>
          <w:tcPr>
            <w:tcW w:w="100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1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Convention Center Hotel, LLC, Aurora Convention Center Hotel Lessee, LLC, Wells Fargo Bank,</w:t>
              </w:r>
            </w:hyperlink>
          </w:p>
        </w:tc>
        <w:tc>
          <w:tcPr>
            <w:tcW w:w="42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520" w:type="dxa"/>
            <w:vAlign w:val="bottom"/>
            <w:gridSpan w:val="15"/>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National Association, and the financial institutions from time to time party thereto (incorporated by</w:t>
              </w:r>
            </w:hyperlink>
          </w:p>
        </w:tc>
      </w:tr>
      <w:tr>
        <w:trPr>
          <w:trHeight w:val="196"/>
        </w:trPr>
        <w:tc>
          <w:tcPr>
            <w:tcW w:w="100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reference to Exhibit 10.1 to the Company’s Current Report on Form 8-K filed July 5, 2019).</w:t>
              </w:r>
            </w:hyperlink>
          </w:p>
        </w:tc>
        <w:tc>
          <w:tcPr>
            <w:tcW w:w="520" w:type="dxa"/>
            <w:vAlign w:val="bottom"/>
            <w:tcBorders>
              <w:top w:val="single" w:sz="8" w:color="0000EE"/>
            </w:tcBorders>
            <w:gridSpan w:val="5"/>
          </w:tcPr>
          <w:p>
            <w:pPr>
              <w:spacing w:after="0"/>
              <w:rPr>
                <w:sz w:val="17"/>
                <w:szCs w:val="17"/>
                <w:color w:val="auto"/>
              </w:rPr>
            </w:pPr>
          </w:p>
        </w:tc>
        <w:tc>
          <w:tcPr>
            <w:tcW w:w="360" w:type="dxa"/>
            <w:vAlign w:val="bottom"/>
            <w:gridSpan w:val="4"/>
          </w:tcPr>
          <w:p>
            <w:pPr>
              <w:spacing w:after="0"/>
              <w:rPr>
                <w:sz w:val="17"/>
                <w:szCs w:val="17"/>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6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Colin V. Reed pursuant to Section 302 of Sarbanes-Oxley Act of 2002.</w:t>
              </w:r>
            </w:hyperlink>
          </w:p>
        </w:tc>
        <w:tc>
          <w:tcPr>
            <w:tcW w:w="1260" w:type="dxa"/>
            <w:vAlign w:val="bottom"/>
            <w:gridSpan w:val="11"/>
          </w:tcPr>
          <w:p>
            <w:pPr>
              <w:spacing w:after="0"/>
              <w:rPr>
                <w:sz w:val="24"/>
                <w:szCs w:val="24"/>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7520" w:type="dxa"/>
            <w:vAlign w:val="bottom"/>
            <w:gridSpan w:val="1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Certification of Mark Fioravanti pursuant to Section 302 of Sarbanes-Oxley Act of 2002.</w:t>
              </w:r>
            </w:hyperlink>
          </w:p>
        </w:tc>
      </w:tr>
      <w:tr>
        <w:trPr>
          <w:trHeight w:val="20"/>
        </w:trPr>
        <w:tc>
          <w:tcPr>
            <w:tcW w:w="100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7520" w:type="dxa"/>
            <w:vAlign w:val="bottom"/>
            <w:gridSpan w:val="15"/>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Certification of Colin V. Reed and Mark Fioravanti pursuant to 18 U.S.C. Section 1350, as adopted</w:t>
              </w:r>
            </w:hyperlink>
          </w:p>
        </w:tc>
      </w:tr>
      <w:tr>
        <w:trPr>
          <w:trHeight w:val="196"/>
        </w:trPr>
        <w:tc>
          <w:tcPr>
            <w:tcW w:w="1000" w:type="dxa"/>
            <w:vAlign w:val="bottom"/>
          </w:tcPr>
          <w:p>
            <w:pPr>
              <w:spacing w:after="0"/>
              <w:rPr>
                <w:sz w:val="17"/>
                <w:szCs w:val="17"/>
                <w:color w:val="auto"/>
              </w:rPr>
            </w:pPr>
          </w:p>
        </w:tc>
        <w:tc>
          <w:tcPr>
            <w:tcW w:w="4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pursuant to Section 906 of Sarbanes-Oxley Act of 2002.</w:t>
              </w:r>
            </w:hyperlink>
          </w:p>
        </w:tc>
        <w:tc>
          <w:tcPr>
            <w:tcW w:w="3080" w:type="dxa"/>
            <w:vAlign w:val="bottom"/>
            <w:tcBorders>
              <w:top w:val="single" w:sz="8" w:color="0000EE"/>
            </w:tcBorders>
            <w:gridSpan w:val="9"/>
          </w:tcPr>
          <w:p>
            <w:pPr>
              <w:spacing w:after="0"/>
              <w:rPr>
                <w:sz w:val="17"/>
                <w:szCs w:val="17"/>
                <w:color w:val="auto"/>
              </w:rPr>
            </w:pPr>
          </w:p>
        </w:tc>
        <w:tc>
          <w:tcPr>
            <w:tcW w:w="380" w:type="dxa"/>
            <w:vAlign w:val="bottom"/>
            <w:gridSpan w:val="5"/>
          </w:tcPr>
          <w:p>
            <w:pPr>
              <w:spacing w:after="0"/>
              <w:rPr>
                <w:sz w:val="17"/>
                <w:szCs w:val="17"/>
                <w:color w:val="auto"/>
              </w:rPr>
            </w:pPr>
          </w:p>
        </w:tc>
      </w:tr>
      <w:tr>
        <w:trPr>
          <w:trHeight w:val="438"/>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7520" w:type="dxa"/>
            <w:vAlign w:val="bottom"/>
            <w:gridSpan w:val="15"/>
          </w:tcPr>
          <w:p>
            <w:pPr>
              <w:spacing w:after="0"/>
              <w:rPr>
                <w:sz w:val="20"/>
                <w:szCs w:val="20"/>
                <w:color w:val="auto"/>
              </w:rPr>
            </w:pPr>
            <w:r>
              <w:rPr>
                <w:rFonts w:ascii="Arial" w:cs="Arial" w:eastAsia="Arial" w:hAnsi="Arial"/>
                <w:sz w:val="18"/>
                <w:szCs w:val="18"/>
                <w:color w:val="auto"/>
                <w:w w:val="94"/>
              </w:rPr>
              <w:t>The following materials from Ryman Hospitality Properties, Inc.’s Quarterly Report on Form 10-Q for</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9"/>
              </w:rPr>
              <w:t>the quarterly period ended September 30, 2019, formatted in Inline XBRL (eXtensible Business</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1"/>
              </w:rPr>
              <w:t>Reporting Language): (i) Condensed Consolidated Balance Sheets (unaudited) at September 30, 2019</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3"/>
              </w:rPr>
              <w:t>and December 31, 2018, (ii) Condensed Consolidated Statements of Operations and Comprehensive</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7"/>
              </w:rPr>
              <w:t>Income (unaudited) for the three months and nine months ended September 30, 2019 and 2018,</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9"/>
              </w:rPr>
              <w:t>(iii) Condensed Consolidated Statements of Cash Flows (unaudited) for the nine months ended</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97"/>
              </w:rPr>
              <w:t>September 30, 2019 and 2018, (iv) Condensed Consolidated Statements of Stockholders’ Equity</w:t>
            </w:r>
          </w:p>
        </w:tc>
      </w:tr>
      <w:tr>
        <w:trPr>
          <w:trHeight w:val="216"/>
        </w:trPr>
        <w:tc>
          <w:tcPr>
            <w:tcW w:w="1000" w:type="dxa"/>
            <w:vAlign w:val="bottom"/>
          </w:tcPr>
          <w:p>
            <w:pPr>
              <w:spacing w:after="0"/>
              <w:rPr>
                <w:sz w:val="18"/>
                <w:szCs w:val="18"/>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w w:val="89"/>
              </w:rPr>
              <w:t>(unaudited) for the three months and nine months ended September 30, 2019 and 2018, and (v) Notes to</w:t>
            </w:r>
          </w:p>
        </w:tc>
      </w:tr>
      <w:tr>
        <w:trPr>
          <w:trHeight w:val="230"/>
        </w:trPr>
        <w:tc>
          <w:tcPr>
            <w:tcW w:w="1000" w:type="dxa"/>
            <w:vAlign w:val="bottom"/>
          </w:tcPr>
          <w:p>
            <w:pPr>
              <w:spacing w:after="0"/>
              <w:rPr>
                <w:sz w:val="20"/>
                <w:szCs w:val="20"/>
                <w:color w:val="auto"/>
              </w:rPr>
            </w:pPr>
          </w:p>
        </w:tc>
        <w:tc>
          <w:tcPr>
            <w:tcW w:w="7520" w:type="dxa"/>
            <w:vAlign w:val="bottom"/>
            <w:gridSpan w:val="15"/>
          </w:tcPr>
          <w:p>
            <w:pPr>
              <w:spacing w:after="0"/>
              <w:rPr>
                <w:sz w:val="20"/>
                <w:szCs w:val="20"/>
                <w:color w:val="auto"/>
              </w:rPr>
            </w:pPr>
            <w:r>
              <w:rPr>
                <w:rFonts w:ascii="Arial" w:cs="Arial" w:eastAsia="Arial" w:hAnsi="Arial"/>
                <w:sz w:val="18"/>
                <w:szCs w:val="18"/>
                <w:color w:val="auto"/>
              </w:rPr>
              <w:t>Condensed Consolidated Financial Statements (unaudited).</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752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82" w:lineRule="exact"/>
        <w:rPr>
          <w:sz w:val="20"/>
          <w:szCs w:val="20"/>
          <w:color w:val="auto"/>
        </w:rPr>
      </w:pPr>
    </w:p>
    <w:p>
      <w:pPr>
        <w:ind w:left="320" w:hanging="311"/>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Date: November 5, 2019</w:t>
            </w: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By:/s/ Colin V. Reed</w:t>
            </w:r>
          </w:p>
        </w:tc>
      </w:tr>
      <w:tr>
        <w:trPr>
          <w:trHeight w:val="19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432"/>
        </w:trPr>
        <w:tc>
          <w:tcPr>
            <w:tcW w:w="3200" w:type="dxa"/>
            <w:vAlign w:val="bottom"/>
          </w:tcPr>
          <w:p>
            <w:pPr>
              <w:spacing w:after="0"/>
              <w:rPr>
                <w:sz w:val="24"/>
                <w:szCs w:val="24"/>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By:/s/ Mark Fioravanti</w:t>
            </w:r>
          </w:p>
        </w:tc>
      </w:tr>
      <w:tr>
        <w:trPr>
          <w:trHeight w:val="19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200" w:type="dxa"/>
            <w:vAlign w:val="bottom"/>
          </w:tcPr>
          <w:p>
            <w:pPr>
              <w:spacing w:after="0"/>
              <w:rPr>
                <w:sz w:val="24"/>
                <w:szCs w:val="24"/>
                <w:color w:val="auto"/>
              </w:rPr>
            </w:pPr>
          </w:p>
        </w:tc>
        <w:tc>
          <w:tcPr>
            <w:tcW w:w="5860" w:type="dxa"/>
            <w:vAlign w:val="bottom"/>
            <w:gridSpan w:val="2"/>
          </w:tcPr>
          <w:p>
            <w:pPr>
              <w:ind w:left="1420"/>
              <w:spacing w:after="0"/>
              <w:rPr>
                <w:sz w:val="20"/>
                <w:szCs w:val="20"/>
                <w:color w:val="auto"/>
              </w:rPr>
            </w:pPr>
            <w:r>
              <w:rPr>
                <w:rFonts w:ascii="Arial" w:cs="Arial" w:eastAsia="Arial" w:hAnsi="Arial"/>
                <w:sz w:val="18"/>
                <w:szCs w:val="18"/>
                <w:color w:val="auto"/>
              </w:rPr>
              <w:t>By:/s/ Jennifer Hutcheson</w:t>
            </w:r>
          </w:p>
        </w:tc>
      </w:tr>
      <w:tr>
        <w:trPr>
          <w:trHeight w:val="19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Senior Vice President, Corporate</w:t>
            </w:r>
          </w:p>
        </w:tc>
      </w:tr>
      <w:tr>
        <w:trPr>
          <w:trHeight w:val="230"/>
        </w:trPr>
        <w:tc>
          <w:tcPr>
            <w:tcW w:w="3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60" w:type="dxa"/>
            <w:vAlign w:val="bottom"/>
          </w:tcPr>
          <w:p>
            <w:pPr>
              <w:ind w:left="22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41" w:hanging="641"/>
        <w:spacing w:after="0"/>
        <w:tabs>
          <w:tab w:leader="none" w:pos="6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41" w:right="360" w:hanging="641"/>
        <w:spacing w:after="0" w:line="264" w:lineRule="auto"/>
        <w:tabs>
          <w:tab w:leader="none" w:pos="6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80" w:hanging="641"/>
        <w:spacing w:after="0" w:line="264" w:lineRule="auto"/>
        <w:tabs>
          <w:tab w:leader="none" w:pos="6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1" w:right="180" w:hanging="641"/>
        <w:spacing w:after="0" w:line="264" w:lineRule="auto"/>
        <w:tabs>
          <w:tab w:leader="none" w:pos="6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29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60" w:firstLine="648"/>
        <w:spacing w:after="0" w:line="286" w:lineRule="auto"/>
        <w:tabs>
          <w:tab w:leader="none" w:pos="130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3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41" w:right="40" w:hanging="641"/>
        <w:spacing w:after="0" w:line="264" w:lineRule="auto"/>
        <w:tabs>
          <w:tab w:leader="none" w:pos="6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right="40" w:firstLine="648"/>
        <w:spacing w:after="0" w:line="342" w:lineRule="auto"/>
        <w:tabs>
          <w:tab w:leader="none" w:pos="1293"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00" w:firstLine="648"/>
        <w:spacing w:after="0" w:line="277" w:lineRule="auto"/>
        <w:tabs>
          <w:tab w:leader="none" w:pos="13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5, 2019</w:t>
      </w:r>
    </w:p>
    <w:p>
      <w:pPr>
        <w:spacing w:after="0" w:line="225" w:lineRule="exact"/>
        <w:rPr>
          <w:sz w:val="20"/>
          <w:szCs w:val="20"/>
          <w:color w:val="auto"/>
        </w:rPr>
      </w:pPr>
    </w:p>
    <w:p>
      <w:pPr>
        <w:ind w:left="1"/>
        <w:spacing w:after="0"/>
        <w:tabs>
          <w:tab w:leader="none" w:pos="440" w:val="left"/>
        </w:tabs>
        <w:rPr>
          <w:sz w:val="20"/>
          <w:szCs w:val="20"/>
          <w:color w:val="auto"/>
        </w:rPr>
      </w:pPr>
      <w:r>
        <w:rPr>
          <w:rFonts w:ascii="Arial" w:cs="Arial" w:eastAsia="Arial" w:hAnsi="Arial"/>
          <w:sz w:val="18"/>
          <w:szCs w:val="18"/>
          <w:color w:val="auto"/>
        </w:rPr>
        <w:t>By:</w:t>
        <w:tab/>
        <w:t>/s/ Colin V. Reed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-130810</wp:posOffset>
            </wp:positionV>
            <wp:extent cx="2941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1" w:hanging="681"/>
        <w:spacing w:after="0"/>
        <w:tabs>
          <w:tab w:leader="none" w:pos="6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1" w:right="80" w:hanging="1"/>
        <w:spacing w:after="0" w:line="264" w:lineRule="auto"/>
        <w:tabs>
          <w:tab w:leader="none" w:pos="6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329"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80" w:firstLine="648"/>
        <w:spacing w:after="0" w:line="286"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29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 w:right="420" w:hanging="1"/>
        <w:spacing w:after="0" w:line="264" w:lineRule="auto"/>
        <w:tabs>
          <w:tab w:leader="none" w:pos="6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firstLine="648"/>
        <w:spacing w:after="0" w:line="342" w:lineRule="auto"/>
        <w:tabs>
          <w:tab w:leader="none" w:pos="1319"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20" w:firstLine="648"/>
        <w:spacing w:after="0" w:line="277" w:lineRule="auto"/>
        <w:tabs>
          <w:tab w:leader="none" w:pos="12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November 5, 2019</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-130810</wp:posOffset>
            </wp:positionV>
            <wp:extent cx="22040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September 30, 2019, as filed with the Securities and Exchange Commission on the date hereof (the "Report"), each of the undersigned certifies, pursuant to 18 U.S.C. § 1350, as adopted pursuant to §906 of the Sarbanes-Oxley Act of 2002, that:</w:t>
      </w:r>
    </w:p>
    <w:p>
      <w:pPr>
        <w:spacing w:after="0" w:line="166" w:lineRule="exact"/>
        <w:rPr>
          <w:sz w:val="20"/>
          <w:szCs w:val="20"/>
          <w:color w:val="auto"/>
        </w:rPr>
      </w:pPr>
    </w:p>
    <w:p>
      <w:pPr>
        <w:ind w:left="1260" w:hanging="612"/>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380" w:firstLine="648"/>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Colin V. Reed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November 5, 2019</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November 5, 2019</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470535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lvl w:ilvl="1">
      <w:lvlJc w:val="left"/>
      <w:lvlText w:val="(%2)"/>
      <w:numFmt w:val="decimal"/>
      <w:start w:val="1"/>
    </w:lvl>
  </w:abstractNum>
  <w:abstractNum w:abstractNumId="4">
    <w:nsid w:val="1BEFD79F"/>
    <w:multiLevelType w:val="hybridMultilevel"/>
    <w:lvl w:ilvl="0">
      <w:lvlJc w:val="left"/>
      <w:lvlText w:val="%1."/>
      <w:numFmt w:val="decimal"/>
      <w:start w:val="17"/>
    </w:lvl>
    <w:lvl w:ilvl="1">
      <w:lvlJc w:val="left"/>
      <w:lvlText w:val="%2"/>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upp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6"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61" Type="http://schemas.openxmlformats.org/officeDocument/2006/relationships/hyperlink" Target="http://www.sec.gov/Archives/edgar/data/1040829/000119312512410191/d419132dex31.htm" TargetMode="External"/><Relationship Id="rId62" Type="http://schemas.openxmlformats.org/officeDocument/2006/relationships/hyperlink" Target="http://www.sec.gov/Archives/edgar/data/1040829/000119312512410191/d419132dex32.htm" TargetMode="External"/><Relationship Id="rId63" Type="http://schemas.openxmlformats.org/officeDocument/2006/relationships/hyperlink" Target="http://www.sec.gov/Archives/edgar/data/1040829/000141057819001323/tv529738_ex4-1.htm" TargetMode="External"/><Relationship Id="rId64" Type="http://schemas.openxmlformats.org/officeDocument/2006/relationships/hyperlink" Target="http://www.sec.gov/Archives/edgar/data/1040829/000141057819001323/tv529738_ex4-3.htm" TargetMode="External"/><Relationship Id="rId65" Type="http://schemas.openxmlformats.org/officeDocument/2006/relationships/hyperlink" Target="http://www.sec.gov/Archives/edgar/data/1040829/000141057819001570/tv530763_ex4-3.htm" TargetMode="External"/><Relationship Id="rId67" Type="http://schemas.openxmlformats.org/officeDocument/2006/relationships/hyperlink" Target="http://www.sec.gov/Archives/edgar/data/1040829/000141057819001570/tv530763_ex4-4.htm" TargetMode="External"/><Relationship Id="rId68" Type="http://schemas.openxmlformats.org/officeDocument/2006/relationships/hyperlink" Target="http://www.sec.gov/Archives/edgar/data/1040829/000119312519189493/d758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2019-12-28T02:42:36Z</dcterms:created>
  <dcterms:modified xsi:type="dcterms:W3CDTF">2019-12-28T02:42:36Z</dcterms:modified>
</cp:coreProperties>
</file>