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280" w:right="980" w:hanging="3272"/>
        <w:spacing w:after="0" w:line="282" w:lineRule="auto"/>
        <w:tabs>
          <w:tab w:leader="none" w:pos="2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April 30, 2024</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59,890,393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4"/>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2024</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March 31, 2024 and December 31,</w:t>
            </w:r>
          </w:p>
        </w:tc>
        <w:tc>
          <w:tcPr>
            <w:tcW w:w="3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Ended March 31, 2024 and 2023</w:t>
            </w:r>
          </w:p>
        </w:tc>
        <w:tc>
          <w:tcPr>
            <w:tcW w:w="720" w:type="dxa"/>
            <w:vAlign w:val="bottom"/>
            <w:tcBorders>
              <w:top w:val="single" w:sz="8" w:color="0000EE"/>
            </w:tcBorders>
          </w:tcPr>
          <w:p>
            <w:pPr>
              <w:spacing w:after="0"/>
              <w:rPr>
                <w:sz w:val="17"/>
                <w:szCs w:val="17"/>
                <w:color w:val="auto"/>
              </w:rPr>
            </w:pPr>
          </w:p>
        </w:tc>
        <w:tc>
          <w:tcPr>
            <w:tcW w:w="120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Three Months</w:t>
            </w:r>
          </w:p>
        </w:tc>
        <w:tc>
          <w:tcPr>
            <w:tcW w:w="56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2024 and 2023</w:t>
            </w:r>
          </w:p>
        </w:tc>
        <w:tc>
          <w:tcPr>
            <w:tcW w:w="4560" w:type="dxa"/>
            <w:vAlign w:val="bottom"/>
            <w:gridSpan w:val="1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and Noncontrolling Interest (Unaudited) - For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the Three Months Ended March 31, 2024 and 2023</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3,988,172</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465,311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81,571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163,572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5,089,299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3,377,814</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Distributions payable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67,257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4,202,027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59,890 and 59,712 shares issued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1,485,360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668 and 668 shares, at cost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(917,538)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(17,979)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533,407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572,777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5,089,299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1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173,633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161,251</w:t>
            </w: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215,804</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47,384</w:t>
            </w: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67,280</w:t>
            </w:r>
          </w:p>
        </w:tc>
        <w:tc>
          <w:tcPr>
            <w:tcW w:w="240" w:type="dxa"/>
            <w:vAlign w:val="bottom"/>
            <w:shd w:val="clear" w:color="auto" w:fill="CCEEFF"/>
          </w:tcPr>
          <w:p>
            <w:pPr>
              <w:spacing w:after="0"/>
              <w:rPr>
                <w:sz w:val="18"/>
                <w:szCs w:val="18"/>
                <w:color w:val="auto"/>
              </w:rPr>
            </w:pPr>
          </w:p>
        </w:tc>
      </w:tr>
      <w:tr>
        <w:trPr>
          <w:trHeight w:val="196"/>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528,345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491,719</w:t>
            </w:r>
          </w:p>
        </w:tc>
        <w:tc>
          <w:tcPr>
            <w:tcW w:w="24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42,059</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115,181</w:t>
            </w: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103,059</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Management fees, net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15,195</w:t>
            </w:r>
          </w:p>
        </w:tc>
        <w:tc>
          <w:tcPr>
            <w:tcW w:w="240" w:type="dxa"/>
            <w:vAlign w:val="bottom"/>
            <w:tcBorders>
              <w:bottom w:val="single" w:sz="8" w:color="CCEEFF"/>
            </w:tcBorders>
          </w:tcPr>
          <w:p>
            <w:pPr>
              <w:spacing w:after="0"/>
              <w:rPr>
                <w:sz w:val="18"/>
                <w:szCs w:val="18"/>
                <w:color w:val="auto"/>
              </w:rPr>
            </w:pPr>
          </w:p>
        </w:tc>
      </w:tr>
      <w:tr>
        <w:trPr>
          <w:trHeight w:val="19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309,055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275,494</w:t>
            </w:r>
          </w:p>
        </w:tc>
        <w:tc>
          <w:tcPr>
            <w:tcW w:w="240" w:type="dxa"/>
            <w:vAlign w:val="bottom"/>
            <w:shd w:val="clear" w:color="auto" w:fill="CCEEFF"/>
          </w:tcPr>
          <w:p>
            <w:pPr>
              <w:spacing w:after="0"/>
              <w:rPr>
                <w:sz w:val="17"/>
                <w:szCs w:val="17"/>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51,434</w:t>
            </w: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10,594</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sale of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57,202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48,357</w:t>
            </w:r>
          </w:p>
        </w:tc>
        <w:tc>
          <w:tcPr>
            <w:tcW w:w="240" w:type="dxa"/>
            <w:vAlign w:val="bottom"/>
            <w:tcBorders>
              <w:bottom w:val="single" w:sz="8" w:color="CCEEFF"/>
            </w:tcBorders>
          </w:tcPr>
          <w:p>
            <w:pPr>
              <w:spacing w:after="0"/>
              <w:rPr>
                <w:sz w:val="18"/>
                <w:szCs w:val="18"/>
                <w:color w:val="auto"/>
              </w:rPr>
            </w:pPr>
          </w:p>
        </w:tc>
      </w:tr>
      <w:tr>
        <w:trPr>
          <w:trHeight w:val="19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431,964</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386,069</w:t>
            </w:r>
          </w:p>
        </w:tc>
        <w:tc>
          <w:tcPr>
            <w:tcW w:w="240" w:type="dxa"/>
            <w:vAlign w:val="bottom"/>
            <w:shd w:val="clear" w:color="auto" w:fill="CCEEFF"/>
          </w:tcPr>
          <w:p>
            <w:pPr>
              <w:spacing w:after="0"/>
              <w:rPr>
                <w:sz w:val="17"/>
                <w:szCs w:val="17"/>
                <w:color w:val="auto"/>
              </w:rPr>
            </w:pPr>
          </w:p>
        </w:tc>
      </w:tr>
      <w:tr>
        <w:trPr>
          <w:trHeight w:val="196"/>
        </w:trPr>
        <w:tc>
          <w:tcPr>
            <w:tcW w:w="5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105,650</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(42,528)</w:t>
            </w: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40" w:type="dxa"/>
            <w:vAlign w:val="bottom"/>
            <w:tcBorders>
              <w:bottom w:val="single" w:sz="8" w:color="CCEEFF"/>
            </w:tcBorders>
          </w:tcPr>
          <w:p>
            <w:pPr>
              <w:spacing w:after="0"/>
              <w:rPr>
                <w:sz w:val="18"/>
                <w:szCs w:val="18"/>
                <w:color w:val="auto"/>
              </w:rPr>
            </w:pPr>
          </w:p>
        </w:tc>
      </w:tr>
      <w:tr>
        <w:trPr>
          <w:trHeight w:val="19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62,627</w:t>
            </w:r>
          </w:p>
        </w:tc>
        <w:tc>
          <w:tcPr>
            <w:tcW w:w="240" w:type="dxa"/>
            <w:vAlign w:val="bottom"/>
            <w:shd w:val="clear" w:color="auto" w:fill="CCEEFF"/>
          </w:tcPr>
          <w:p>
            <w:pPr>
              <w:spacing w:after="0"/>
              <w:rPr>
                <w:sz w:val="17"/>
                <w:szCs w:val="17"/>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240" w:type="dxa"/>
            <w:vAlign w:val="bottom"/>
            <w:tcBorders>
              <w:bottom w:val="single" w:sz="8" w:color="CCEEFF"/>
            </w:tcBorders>
          </w:tcPr>
          <w:p>
            <w:pPr>
              <w:spacing w:after="0"/>
              <w:rPr>
                <w:sz w:val="18"/>
                <w:szCs w:val="18"/>
                <w:color w:val="auto"/>
              </w:rPr>
            </w:pPr>
          </w:p>
        </w:tc>
      </w:tr>
      <w:tr>
        <w:trPr>
          <w:trHeight w:val="19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60,994</w:t>
            </w:r>
          </w:p>
        </w:tc>
        <w:tc>
          <w:tcPr>
            <w:tcW w:w="24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 in consolidated joint venture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Operating Partnership</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240" w:type="dxa"/>
            <w:vAlign w:val="bottom"/>
            <w:tcBorders>
              <w:bottom w:val="single" w:sz="8" w:color="CCEEFF"/>
            </w:tcBorders>
          </w:tcPr>
          <w:p>
            <w:pPr>
              <w:spacing w:after="0"/>
              <w:rPr>
                <w:sz w:val="18"/>
                <w:szCs w:val="18"/>
                <w:color w:val="auto"/>
              </w:rPr>
            </w:pPr>
          </w:p>
        </w:tc>
      </w:tr>
      <w:tr>
        <w:trPr>
          <w:trHeight w:val="183"/>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43,056</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61,320</w:t>
            </w:r>
          </w:p>
        </w:tc>
        <w:tc>
          <w:tcPr>
            <w:tcW w:w="240" w:type="dxa"/>
            <w:vAlign w:val="bottom"/>
            <w:shd w:val="clear" w:color="auto" w:fill="CCEEFF"/>
          </w:tcPr>
          <w:p>
            <w:pPr>
              <w:spacing w:after="0"/>
              <w:rPr>
                <w:sz w:val="15"/>
                <w:szCs w:val="15"/>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r>
        <w:trPr>
          <w:trHeight w:val="170"/>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per share available to common stockholders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40" w:type="dxa"/>
            <w:vAlign w:val="bottom"/>
            <w:shd w:val="clear" w:color="auto" w:fill="CCEEFF"/>
          </w:tcPr>
          <w:p>
            <w:pPr>
              <w:spacing w:after="0"/>
              <w:rPr>
                <w:sz w:val="17"/>
                <w:szCs w:val="17"/>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r>
        <w:trPr>
          <w:trHeight w:val="196"/>
        </w:trPr>
        <w:tc>
          <w:tcPr>
            <w:tcW w:w="59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Diluted income per share available to common stockholders</w:t>
            </w:r>
          </w:p>
        </w:tc>
        <w:tc>
          <w:tcPr>
            <w:tcW w:w="4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0.67</w:t>
            </w:r>
          </w:p>
        </w:tc>
        <w:tc>
          <w:tcPr>
            <w:tcW w:w="4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1.02</w:t>
            </w:r>
          </w:p>
        </w:tc>
        <w:tc>
          <w:tcPr>
            <w:tcW w:w="240" w:type="dxa"/>
            <w:vAlign w:val="bottom"/>
          </w:tcPr>
          <w:p>
            <w:pPr>
              <w:spacing w:after="0"/>
              <w:rPr>
                <w:sz w:val="17"/>
                <w:szCs w:val="17"/>
                <w:color w:val="auto"/>
              </w:rPr>
            </w:pPr>
          </w:p>
        </w:tc>
      </w:tr>
      <w:tr>
        <w:trPr>
          <w:trHeight w:val="170"/>
        </w:trPr>
        <w:tc>
          <w:tcPr>
            <w:tcW w:w="59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net of taxes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44,169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54,702</w:t>
            </w:r>
          </w:p>
        </w:tc>
        <w:tc>
          <w:tcPr>
            <w:tcW w:w="2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net of taxes, attributable to noncontrolling interest in consolidated joint venture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4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Comprehensive income, net of taxes, attributable to noncontrolling interest in Operating Partnership</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40" w:type="dxa"/>
            <w:vAlign w:val="bottom"/>
            <w:tcBorders>
              <w:bottom w:val="single" w:sz="8" w:color="CCEEFF"/>
            </w:tcBorders>
          </w:tcPr>
          <w:p>
            <w:pPr>
              <w:spacing w:after="0"/>
              <w:rPr>
                <w:sz w:val="18"/>
                <w:szCs w:val="18"/>
                <w:color w:val="auto"/>
              </w:rPr>
            </w:pPr>
          </w:p>
        </w:tc>
      </w:tr>
      <w:tr>
        <w:trPr>
          <w:trHeight w:val="18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net of taxes, available to common stockholders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44,169</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55,295</w:t>
            </w:r>
          </w:p>
        </w:tc>
        <w:tc>
          <w:tcPr>
            <w:tcW w:w="240" w:type="dxa"/>
            <w:vAlign w:val="bottom"/>
            <w:shd w:val="clear" w:color="auto" w:fill="CCEEFF"/>
          </w:tcPr>
          <w:p>
            <w:pPr>
              <w:spacing w:after="0"/>
              <w:rPr>
                <w:sz w:val="15"/>
                <w:szCs w:val="15"/>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0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8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42,761</w:t>
            </w:r>
          </w:p>
        </w:tc>
        <w:tc>
          <w:tcPr>
            <w:tcW w:w="200" w:type="dxa"/>
            <w:vAlign w:val="bottom"/>
          </w:tcPr>
          <w:p>
            <w:pPr>
              <w:spacing w:after="0"/>
              <w:rPr>
                <w:sz w:val="14"/>
                <w:szCs w:val="14"/>
                <w:color w:val="auto"/>
              </w:rPr>
            </w:pPr>
          </w:p>
        </w:tc>
        <w:tc>
          <w:tcPr>
            <w:tcW w:w="18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60,994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(benefit) for deferred income taxes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57,202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48,357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2,674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2,806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3,862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3,739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(15,584)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(30,379)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(79,054)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(56,294)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(3,915)</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(953)</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7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7,473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31,711</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(79,430)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(36,771)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2,143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Circle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(9,916)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(79,251)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(48,544)</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(201,250)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under OEG revolving credit facility</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(16,815)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(67,135)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(12,092)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(4,080)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7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(81,781)</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(13,872)</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(153,559)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(30,705)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444,330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546,882</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413,625</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88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465,311</w:t>
            </w:r>
          </w:p>
        </w:tc>
        <w:tc>
          <w:tcPr>
            <w:tcW w:w="200" w:type="dxa"/>
            <w:vAlign w:val="bottom"/>
          </w:tcPr>
          <w:p>
            <w:pPr>
              <w:spacing w:after="0"/>
              <w:rPr>
                <w:sz w:val="14"/>
                <w:szCs w:val="14"/>
                <w:color w:val="auto"/>
              </w:rPr>
            </w:pPr>
          </w:p>
        </w:tc>
        <w:tc>
          <w:tcPr>
            <w:tcW w:w="18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318,512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81,571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95,113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Pr>
          <w:p>
            <w:pPr>
              <w:spacing w:after="0"/>
              <w:rPr>
                <w:sz w:val="13"/>
                <w:szCs w:val="13"/>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546,882</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413,625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$ 1,502,710</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(894,259)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569,153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572,777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345,126</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(579)</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9,318</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(66,335)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(66,174)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(66,609)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$ 1,485,360</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(917,538)</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(17,979)</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529,934</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3,473</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533,407</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353,865</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551"/>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2022</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$ 1,102,733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(978,619)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95,276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95,901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311,857</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61,757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(763)</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8,659</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($0.75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(41,900)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(41,794)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(42,090)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(4,080)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(4,079)</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(4,079)</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553</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$ 1,093,839</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(959,199)</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(17,215)</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99,511</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766</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100,277</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319,753</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4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also owns a controlling 70% equity interest in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Luke Combs-themed bar, music venue and event space currently under construction; and Block 21, a mixed-use entertainment, lodging, office, and retail complex located in Austin, Texas (“Block 21”).</w:t>
      </w:r>
    </w:p>
    <w:p>
      <w:pPr>
        <w:spacing w:after="0" w:line="14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consolidates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 and any adjustment necessary to reflect the noncontrolling interest at its redemption value is shown in the accompanying condensed consolidated statement of equity and noncontrolling interest. See Note 3, “Income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2023.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4"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200"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No. 2023-07,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requiring public entities to provide disclosures of significant segment expenses and other segment items, as well as to provide in interim periods all disclosures about a reportable segment’s profit or loss and assets that are currently required annually. The guidance is applied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retrospectively and will be effective for the Company for fiscal year 2024 and for interim periods beginning in fiscal year 2025. The Company is currently evaluating the impact of this ASU but does not anticipate this adoption to have a material impact on the Company’s financial statements.</w:t>
      </w:r>
    </w:p>
    <w:p>
      <w:pPr>
        <w:spacing w:after="0" w:line="174"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0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Cash received from advanced ticket sales is deferred and recognized as revenue at the time of the event. Entertainment segment revenues from licenses of content are recognized at the point in time the content is delivered to the licensee and the licensee can use and benefit from the content.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9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2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$ 131,401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$ 120,513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$ 528,345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$ 491,719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6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20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1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$ 103,835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$ 111,806</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84,546</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86,398</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72,772</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49,941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$ 461,470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$ 424,439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and Austin, Texas.</w:t>
      </w:r>
    </w:p>
    <w:p>
      <w:pPr>
        <w:spacing w:after="0" w:line="121"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March 31, 2024 and December 31, 2023, the Company had $188.5 million and $159.8 million, respectively, in deferred revenues, which are included in accounts payable and accrued liabilities in the accompanying condensed consolidated balance sheets. Of the amount outstanding at December 31, 2023, approximately $82.8 million was recognized in revenue during the three months ended March 31, 2024.</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INCOME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9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3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attributable to noncontrolling interest in consolidated joint venture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 - if-converted method</w:t>
            </w:r>
          </w:p>
        </w:tc>
        <w:tc>
          <w:tcPr>
            <w:tcW w:w="4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42,477</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60,557</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63,404</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59,326</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2023,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converted on the first day of the period or the date of issuance and the minority investor’s noncontrolling equity interest was redeemed in exchange for shares of the Company’s common stock.</w:t>
      </w:r>
    </w:p>
    <w:p>
      <w:pPr>
        <w:spacing w:after="0" w:line="13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RHP Hotel Properties, LP (the “Operating Partnership”) have been excluded from the denominator of the diluted income per share calculation for the three months ended March 31, 2024 and 2023 as there would be no effect on the calculation of diluted income per share because the income attributable to the OP Units held by the noncontrolling interest holders would also be added to derive net income available to common stockholders.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frozen noncontributory defined benefit pension plan, interest rate derivatives designated as cash flow hedges related to the Company’s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w:t>
      </w:r>
    </w:p>
    <w:p>
      <w:pPr>
        <w:spacing w:after="0" w:line="15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three months ended March 31, 2024 and 2023 consisted of the following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5"/>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400" w:type="dxa"/>
            <w:vAlign w:val="bottom"/>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9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420" w:type="dxa"/>
            <w:vAlign w:val="bottom"/>
            <w:gridSpan w:val="2"/>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6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Losses arising during period</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(3,034)</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8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Property and equipment at March 31, 2024 and December 31, 2023 is recorded at cost, with the exception of right-of-use finance lease assets and the initial value assigned to assets acquired in an acquisition, and summarized as follows (in thousands):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4,406,834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4,396,302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122,923</w:t>
            </w: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6,352,594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6,265,287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(2,309,701)</w:t>
            </w: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3,988,172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3,955,586</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20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2023, in connection with the development of Gaylord National, the Company holds two issuances of governmental bonds (“Series A bond” and “Series B bond”) with a total carrying value and approximate fair value of $60.6 million and $61.8 million at March 31, 2024 and December 31, 2023, respectively, net of credit loss reserve of $38.0 million at each of March 31, 2024 and December 31, 2023.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51"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 payments due to others, the Series B bond is fully reserved. The Series A bond is of higher priority than other tranches which fall between the Company’s two issuances.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interest income of $1.2 million and $1.3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respectively, on these bonds. The Company received payments of $2.4 million and $4.7 million during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March 31, 2024 and 2023, respectively, relating to these bonds. Before consideration of the credit 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reserve, accrued interest receivable included as a component of the carrying value of notes receivable is $39.9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$41.0 million at March 31, 2024 and December 31,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March 31, 2024 and December 31, 2023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9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 w:type="dxa"/>
            <w:vAlign w:val="bottom"/>
            <w:tcBorders>
              <w:bottom w:val="single" w:sz="8" w:color="CCEEFF"/>
            </w:tcBorders>
          </w:tcPr>
          <w:p>
            <w:pPr>
              <w:spacing w:after="0"/>
              <w:rPr>
                <w:sz w:val="15"/>
                <w:szCs w:val="15"/>
                <w:color w:val="auto"/>
              </w:rPr>
            </w:pPr>
          </w:p>
        </w:tc>
        <w:tc>
          <w:tcPr>
            <w:tcW w:w="6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SOFR plus 1.50%, maturing May 18, 2027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$500M Term Loan B, interest at SOFR plus 2.75%, maturing May 18, 2030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496,250</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$400M Senior Notes, interest at 7.25%, maturing July 15, 2028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$600M</w:t>
            </w:r>
          </w:p>
        </w:tc>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$700M</w:t>
            </w: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$1B Senior Notes, interest at 6.50%, maturing April 1, 2032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$800M</w:t>
            </w: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Rockies Term Loan, interest at SOFR plus 2.50%, maturing July 2, 2024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$300M</w:t>
            </w:r>
          </w:p>
        </w:tc>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OEG Term Loan, interest at SOFR plus 5.00%, maturing June 16, 2029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296,250</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$65M OEG Revolver, interest at SOFR plus 4.25%, maturing June 16, 2027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21 CMBS Loan, interest at 5.58%, maturing January 5, 2026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131,871</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r>
      <w:tr>
        <w:trPr>
          <w:trHeight w:val="209"/>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3,377,814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3,377,028</w:t>
            </w:r>
          </w:p>
        </w:tc>
      </w:tr>
      <w:tr>
        <w:trPr>
          <w:trHeight w:val="20"/>
        </w:trPr>
        <w:tc>
          <w:tcPr>
            <w:tcW w:w="5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Amounts due within one year of the balance sheet date consist of the amortization payments for the $500 million term loan B of 1.0% of the original principal balance, amortization payments for the $300 million OEG term loan of 1.0% of the original principal balance, and amortization of the Block 21 CMBS Loan based on a 30-year amortization.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2024, there were no defaults under the covenants related to the Company’s outstanding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Billion 6.50% Senior Notes due 2032</w:t>
      </w:r>
    </w:p>
    <w:p>
      <w:pPr>
        <w:spacing w:after="0" w:line="200" w:lineRule="exact"/>
        <w:rPr>
          <w:sz w:val="20"/>
          <w:szCs w:val="20"/>
          <w:color w:val="auto"/>
        </w:rPr>
      </w:pPr>
    </w:p>
    <w:p>
      <w:pPr>
        <w:ind w:left="60" w:right="479"/>
        <w:spacing w:after="0" w:line="276" w:lineRule="auto"/>
        <w:rPr>
          <w:sz w:val="20"/>
          <w:szCs w:val="20"/>
          <w:color w:val="auto"/>
        </w:rPr>
      </w:pPr>
      <w:r>
        <w:rPr>
          <w:rFonts w:ascii="Times New Roman" w:cs="Times New Roman" w:eastAsia="Times New Roman" w:hAnsi="Times New Roman"/>
          <w:sz w:val="17"/>
          <w:szCs w:val="17"/>
          <w:color w:val="auto"/>
        </w:rPr>
        <w:t>On March 28, 2024, the Operating Partnership and RHP Finance Corporation (collectively, the “issuing subsidiaries”) completed the private placement of $1.0 billion in aggregate principal amount of 6.50% senior notes due 2032 (the</w:t>
      </w:r>
    </w:p>
    <w:p>
      <w:pPr>
        <w:spacing w:after="0" w:line="1"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“$1 Billion 6.50% Senior Notes”), which are guaranteed by the Company and its subsidiaries that guarantee the Company’s credit agreement.</w:t>
      </w:r>
    </w:p>
    <w:p>
      <w:pPr>
        <w:spacing w:after="0" w:line="141"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on October 1, 2024. The $1 Billion 6.50% Senior Notes are general unsecured and unsubordinated obligations of the issuing subsidiaries and rank equal in right of payment with such subsidiaries’ existing and future senior unsecured indebtedness, including the Company’s $700 million in aggregate principal amount of 4.75% senior notes due 2027, $400 million in aggregate principal amount of 7.25% senior notes due 2028 and $600 million in aggregate principal amount of 4.50% senior notes due 2029, and senior in right of payment to future subordinated indebtedness, if any.</w:t>
      </w:r>
    </w:p>
    <w:p>
      <w:pPr>
        <w:spacing w:after="0" w:line="148"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The Company used a portion of these net proceeds to prepay the indebtedness outstanding under its previous $800.0 million Gaylord Rockies term loan and used the remaining proceeds, together with cash on hand, to pay down $200.0 million under its existing $500.0 million senior secured term loan B (the “Term Loan B”).</w:t>
      </w:r>
    </w:p>
    <w:p>
      <w:pPr>
        <w:spacing w:after="0" w:line="14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July 2019, Aurora Convention Center Hotel, LLC and Aurora Convention Center Hotel Lessee, LLC, the entities that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 Gaylord Rockies, entered into a Second Amended and Restated Loan Agreement (the “Gaylord Rockies Loan”)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Wells Fargo Bank, National Association, as administrative agent. The Gaylord Rockies Loan consisted of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$800.0 million secured term loan facility, with a maturity date of July 2, 2024 with two, one-year extension options, subject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certain requirements in the Gaylord Rockies Loan, and bore interest at Adjusted Daily Simple SOFR plus 2.50%.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previously entered into an interest rate swap to fix the SOFR portion of the interest rate at 5.2105% for the fifth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of the loan. The Company designated this interest rate swap as an effective cash flow hedge.</w:t>
      </w:r>
    </w:p>
    <w:p>
      <w:pPr>
        <w:spacing w:after="0" w:line="16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On March 28, 2024, the Company paid off the Gaylord Rockies Loan with proceeds from the $1 Billion 6.50% Senior Notes discussed above and terminated the interest rate swap.</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00"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On April 12, 2024, the Company entered into an Incremental Tranche B Term Loan Agreement (the “Incremental Agreement”), which supplements the Company’s credit agreement. The Incremental Agreement reduces the applicable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interest rate margins for the loans advanced under the refinanced Term Loan B. The applicable interest rate margins for the refinanced Term Loan B under the Incremental Agreement are (i) 2.25% for SOFR Loans (as defined in the Company’s credit agreement) and (ii) 1.25% for base rate loans. The Incremental Agreement did not change the maturity dates under the Company’s credit agreement or result in any increase in principal indebtedness. In addition, the Incremental Agreement confirms that the annual amortization under the Term Loan B is 1% of the refinanced $295.0 million outstanding principal amount, with the balance due at maturity.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The Company has entered into or previously entered into interest rate swaps to manage interest rate risk associated with the previous Gaylord Rockies $800 million term loan and a portion of the $300 million OEG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2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$0.4 million will be reclassified from accumulated other comprehensive income as a reduction to interest expense in the next twelve months.</w:t>
      </w:r>
    </w:p>
    <w:p>
      <w:pPr>
        <w:spacing w:after="0" w:line="16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 March 2024, as discussed above, the Company paid off the Gaylord Rockies Loan and subsequently terminated the associated interest rate swap. The Company received approximately $0.2 million from the counterparty to the swap, which has been recorded as a reduction in interest expense for the three months ended March 31, 2024.</w:t>
      </w:r>
    </w:p>
    <w:p>
      <w:pPr>
        <w:spacing w:after="0" w:line="13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March 31, 2024 and December 31, 2023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5"/>
                <w:szCs w:val="15"/>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2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60" w:type="dxa"/>
            <w:vAlign w:val="bottom"/>
            <w:gridSpan w:val="2"/>
            <w:vMerge w:val="continue"/>
          </w:tcPr>
          <w:p>
            <w:pPr>
              <w:spacing w:after="0"/>
              <w:rPr>
                <w:sz w:val="10"/>
                <w:szCs w:val="10"/>
                <w:color w:val="auto"/>
              </w:rPr>
            </w:pPr>
          </w:p>
        </w:tc>
        <w:tc>
          <w:tcPr>
            <w:tcW w:w="82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Gaylord Rockies Term Loan</w:t>
            </w:r>
          </w:p>
        </w:tc>
        <w:tc>
          <w:tcPr>
            <w:tcW w:w="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5.2105%</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Daily SOFR</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July 2, 2024</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800,000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6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40" w:type="dxa"/>
            <w:vAlign w:val="bottom"/>
            <w:tcBorders>
              <w:bottom w:val="single" w:sz="8" w:color="CCEEFF"/>
            </w:tcBorders>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December 18, 2025</w:t>
            </w:r>
          </w:p>
        </w:tc>
        <w:tc>
          <w:tcPr>
            <w:tcW w:w="80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35"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6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560" w:type="dxa"/>
            <w:vAlign w:val="bottom"/>
            <w:gridSpan w:val="2"/>
            <w:vMerge w:val="continue"/>
          </w:tcPr>
          <w:p>
            <w:pPr>
              <w:spacing w:after="0"/>
              <w:rPr>
                <w:sz w:val="15"/>
                <w:szCs w:val="15"/>
                <w:color w:val="auto"/>
              </w:rPr>
            </w:pPr>
          </w:p>
        </w:tc>
        <w:tc>
          <w:tcPr>
            <w:tcW w:w="20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156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98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64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6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w:t>
            </w:r>
          </w:p>
        </w:tc>
        <w:tc>
          <w:tcPr>
            <w:tcW w:w="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(1,010)</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2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1,975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8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547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5,268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March 31, 2024 and 2023 was $60.4 million and $42.5 million,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has not posted any collateral related to these agreements and was not in breach of any agreement provisions.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DEFERRED MANAGEMENT RIGHTS PROCEEDS:</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are not considered reasonably assured to be exercised and, as a result, are not included in the Company’s calculation of its right-of-use assets and lease liabilities.</w:t>
      </w:r>
    </w:p>
    <w:p>
      <w:pPr>
        <w:spacing w:after="0" w:line="192"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months ended March 31, 2024 and 2023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4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2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2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March 31, 2024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553,898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(471,589)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1.8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 PLANS:</w:t>
      </w:r>
    </w:p>
    <w:p>
      <w:pPr>
        <w:spacing w:after="0" w:line="202"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0.1 million restricted stock units with a weighted-average grant date fair value of $121.75 per unit. There were 0.4 million and 0.6 million restricted stock units outstanding at March 31, 2024 and December 31, 2023.</w:t>
      </w:r>
    </w:p>
    <w:p>
      <w:pPr>
        <w:spacing w:after="0" w:line="135"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$3.9 million and $3.7 million for the three months ended March 31,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an income tax provision of $0.5 million and $1.6 million, respectively, related to its TRSs.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2024 and December 31, 2023, the Company had no unrecognized tax benefits.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02"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limited guarantees to the Block 21 lenders under the Block 21 CMBS Loan via a guaranty agreement, a guaranty of completion agreement and an environmental indemnity.</w:t>
      </w:r>
    </w:p>
    <w:p>
      <w:pPr>
        <w:spacing w:after="0" w:line="9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requests an unspecified amount of damages related to alleged injuries to two guests. The Company intends to vigorously defend the lawsuit and believes it has strong defenses. The lawsuit is in its early stages so the Company cannot predict its likely outcome or estimate the range of possible loss, but the Company does not believe that the outcome will have a material impact on the Company’s financial position.</w:t>
      </w:r>
    </w:p>
    <w:p>
      <w:pPr>
        <w:spacing w:after="0" w:line="162"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ind w:left="60" w:right="279"/>
        <w:spacing w:after="0" w:line="261" w:lineRule="auto"/>
        <w:rPr>
          <w:sz w:val="20"/>
          <w:szCs w:val="20"/>
          <w:color w:val="auto"/>
        </w:rPr>
      </w:pPr>
      <w:r>
        <w:rPr>
          <w:rFonts w:ascii="Times New Roman" w:cs="Times New Roman" w:eastAsia="Times New Roman" w:hAnsi="Times New Roman"/>
          <w:sz w:val="18"/>
          <w:szCs w:val="18"/>
          <w:color w:val="auto"/>
        </w:rPr>
        <w:t>On February 22, 2024, the Company’s board of directors declared the Company’s first quarter 2024 cash dividend in the amount of $1.10 per share of common stock, or an aggregate of approximately $66.3 million in cash, which was paid on April 15, 2024 to stockholders of record as of the close of business on March 29, 2024. Any future dividend is subject to the Company’s board of directors’ determination as to the amount of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March 31, 2024, 0.4 million outstanding OP Units, or 0.7% of the outstanding OP Units, were held by the noncontrolling limited partners and are included as a component of equity in the accompanying condensed consolidated balance sheets. The Company owns, directly or indirectly, the remaining 99.3% of the outstanding OP Units.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5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4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March 31, 2024 and December 31, 2023,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8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8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March 31, 2024 are not required to be recorded at fair value, and financial assets and liabilities approximate fair value, except as described below.</w:t>
      </w:r>
    </w:p>
    <w:p>
      <w:pPr>
        <w:spacing w:after="0" w:line="135"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The Company has outstanding $600.0 million in aggregate principal amount of $600 million 4.50% senior notes. The carrying value of these notes at March 31, 2024 was $593.3 million, net of unamortized deferred financing costs (“DFCs”). The fair value of these notes, based upon quoted market prices (Level 1), was $560.4 million at March 31, 2024.</w:t>
      </w:r>
    </w:p>
    <w:p>
      <w:pPr>
        <w:spacing w:after="0" w:line="117"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The Company has outstanding $700.0 million in aggregate principal amount of $700 million 4.75% senior notes. The carrying value of these notes at March 31, 2024 was $695.2 million, net of unamortized DFCs and premiums. The fair value of these notes, based upon quoted market prices (Level 1), was $673.2 million at March 31,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FINANCIAL REPORTING BY BUSINESS SEGMENTS: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right="31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JW Marriott Hill Country (effective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 at Opryland and the AC Hotel;</w:t>
      </w:r>
    </w:p>
    <w:p>
      <w:pPr>
        <w:ind w:left="720" w:right="5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and Block 21;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461,470</w:t>
            </w:r>
          </w:p>
        </w:tc>
        <w:tc>
          <w:tcPr>
            <w:tcW w:w="100" w:type="dxa"/>
            <w:vAlign w:val="bottom"/>
          </w:tcPr>
          <w:p>
            <w:pPr>
              <w:spacing w:after="0"/>
              <w:rPr>
                <w:sz w:val="18"/>
                <w:szCs w:val="18"/>
                <w:color w:val="auto"/>
              </w:rPr>
            </w:pPr>
          </w:p>
        </w:tc>
        <w:tc>
          <w:tcPr>
            <w:tcW w:w="34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50,230</w:t>
            </w:r>
          </w:p>
        </w:tc>
        <w:tc>
          <w:tcPr>
            <w:tcW w:w="100" w:type="dxa"/>
            <w:vAlign w:val="bottom"/>
          </w:tcPr>
          <w:p>
            <w:pPr>
              <w:spacing w:after="0"/>
              <w:rPr>
                <w:sz w:val="18"/>
                <w:szCs w:val="18"/>
                <w:color w:val="auto"/>
              </w:rPr>
            </w:pPr>
          </w:p>
        </w:tc>
        <w:tc>
          <w:tcPr>
            <w:tcW w:w="34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102,185</w:t>
            </w:r>
          </w:p>
        </w:tc>
        <w:tc>
          <w:tcPr>
            <w:tcW w:w="100" w:type="dxa"/>
            <w:vAlign w:val="bottom"/>
          </w:tcPr>
          <w:p>
            <w:pPr>
              <w:spacing w:after="0"/>
              <w:rPr>
                <w:sz w:val="18"/>
                <w:szCs w:val="18"/>
                <w:color w:val="auto"/>
              </w:rPr>
            </w:pPr>
          </w:p>
        </w:tc>
        <w:tc>
          <w:tcPr>
            <w:tcW w:w="34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sale of assets</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2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3,975,307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4,039,804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635,914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478,078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5,089,299</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5,188,537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8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2023, included in our Annual Report on Form 10-K that was filed with the SEC on February 23,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future performance of our business, anticipated business levels and our anticipated financial results during future periods, and other business or operational issues;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and increased costs on our business and on our customers, including group customers at our hotels; and (xii) any other business or operational matters. We have based these forward-looking statements on our current expectations and projections about future events.</w:t>
      </w:r>
    </w:p>
    <w:p>
      <w:pPr>
        <w:spacing w:after="0" w:line="16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on our business, including the effects on costs of labor and supplies and effects on group customers at our hotels and customers in our OEG businesses, our ability to remain qualified as a REIT, our ability to execute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2023 or described from time to time in our other reports filed with the SEC.</w:t>
      </w:r>
    </w:p>
    <w:p>
      <w:pPr>
        <w:spacing w:after="0" w:line="16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Our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6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98 years; the Ryman Auditorium, the storied live music venue and former home of the Grand Ole Opry located in downtown Nashville; WSM-AM, the Opry’s radio home; Ole Red, a brand of Blake Shelton-themed bar, music venue and event spaces; Category 10, a Luke Combs-themed bar, music venue and event space currently under construction; and Block 21, a mixed-use entertainment, lodging, office, and retail complex located in Austin, Texas (“Block 21”).</w:t>
      </w:r>
    </w:p>
    <w:p>
      <w:pPr>
        <w:spacing w:after="0" w:line="14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2023 for important information regarding forward-looking statements made in this report and risks and uncertainties we face.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 of $1 Billion 6.50% Senior Notes due 2032</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In March 2024, the Operating Partnership and Finco completed the private placement of $1.0 billion in aggregate principal amount of 6.50% senior notes due 2032 (the “$1 Billion 6.50% Senior Notes”), which are guaranteed by the Company and its subsidiaries that guarantee our credit agreement.</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Gaylord Rockies $800.0 million term loan and used the remaining proceeds, together with cash on hand, to repay $200.0 million under our $500.0 million term loan B.</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We believe this strategy creates a better experience for both meeting planners and guests and has led to our current Gaylord Hotels properties claiming a place among the leading convention hotels in the country.</w:t>
      </w:r>
    </w:p>
    <w:p>
      <w:pPr>
        <w:spacing w:after="0" w:line="14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48"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2021, we completed the $158 million expansion of Gaylord Palms, and we also completed the renovation of all of the guestrooms at Gaylord National. In 2022, we completed a re-concepting of the food and beverage options at Gaylord National and began a $98 million multi-year interior and exterior enhancement project at Gaylord Rockies to better position the property for our group customers. In early 2024, we identified over $1 billion in capital investment opportunities across our entire hotel portfolio, comprised of projects that we anticipate completing in phases through 2027.</w:t>
      </w:r>
    </w:p>
    <w:p>
      <w:pPr>
        <w:spacing w:after="0" w:line="15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purchased Block 21, and in April 2023 announced a partnership with Luke Combs for Category 10, an entertainment venue concept expected to have a phased opening beginning later in 2024. Further, in 2022, we completed a strategic transaction to sell a minority interest in OEG to an affiliate of Atairos Group, Inc. and its strategic partner NBCUniversal Media, LLC, who we believe will be able to help us expand the distribution of our OEG brands.</w:t>
      </w:r>
    </w:p>
    <w:p>
      <w:pPr>
        <w:spacing w:after="0" w:line="151"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85" w:lineRule="exact"/>
        <w:rPr>
          <w:sz w:val="20"/>
          <w:szCs w:val="20"/>
          <w:color w:val="auto"/>
        </w:rPr>
      </w:pPr>
    </w:p>
    <w:p>
      <w:pPr>
        <w:ind w:left="720" w:right="1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JW Marriott Hill Country (effective June 30, 2023), the Inn at Opryland and the AC Hotel.</w:t>
      </w:r>
    </w:p>
    <w:p>
      <w:pPr>
        <w:spacing w:after="0" w:line="12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and our other Nashville-based attractions.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our total revenues were divided among these business segments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8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0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3"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2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35"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p>
      <w:pPr>
        <w:spacing w:after="0" w:line="133" w:lineRule="exact"/>
        <w:rPr>
          <w:sz w:val="20"/>
          <w:szCs w:val="20"/>
          <w:color w:val="auto"/>
        </w:rPr>
      </w:pPr>
    </w:p>
    <w:p>
      <w:pPr>
        <w:jc w:val="both"/>
        <w:ind w:left="720" w:right="159" w:hanging="319"/>
        <w:spacing w:after="0" w:line="26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ended March 31, 2024 and 2023. The table also shows the percentage relationships to total revenues and, in the case of segment operating income, its relationship to segment revenues (in thousands, except percentages).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Statement Data:</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gridSpan w:val="2"/>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6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173,633</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161,251</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235,083</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215,804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52,754</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47,384</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66,875</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67,280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506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528,345</w:t>
            </w:r>
          </w:p>
        </w:tc>
        <w:tc>
          <w:tcPr>
            <w:tcW w:w="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491,719</w:t>
            </w:r>
          </w:p>
        </w:tc>
        <w:tc>
          <w:tcPr>
            <w:tcW w:w="2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51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44,101</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42,059</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128,179</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115,181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118,813</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103,059</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Hotel management fees, net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17,962</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52,587</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51,434</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11,954</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020" w:type="dxa"/>
            <w:vAlign w:val="bottom"/>
            <w:gridSpan w:val="4"/>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50,230</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5,265</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5060" w:type="dxa"/>
            <w:vAlign w:val="bottom"/>
            <w:tcBorders>
              <w:bottom w:val="single" w:sz="8" w:color="CCEEFF"/>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57,202</w:t>
            </w:r>
          </w:p>
        </w:tc>
        <w:tc>
          <w:tcPr>
            <w:tcW w:w="6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400" w:type="dxa"/>
            <w:vAlign w:val="bottom"/>
            <w:tcBorders>
              <w:bottom w:val="single" w:sz="8" w:color="CCEEFF"/>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48,357</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340" w:type="dxa"/>
            <w:vAlign w:val="bottom"/>
            <w:tcBorders>
              <w:bottom w:val="single" w:sz="8" w:color="CCEEFF"/>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431,964</w:t>
            </w:r>
          </w:p>
        </w:tc>
        <w:tc>
          <w:tcPr>
            <w:tcW w:w="6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81.8</w:t>
            </w:r>
          </w:p>
        </w:tc>
        <w:tc>
          <w:tcPr>
            <w:tcW w:w="400" w:type="dxa"/>
            <w:vAlign w:val="bottom"/>
            <w:gridSpan w:val="2"/>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386,069</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78.5</w:t>
            </w:r>
          </w:p>
        </w:tc>
        <w:tc>
          <w:tcPr>
            <w:tcW w:w="340" w:type="dxa"/>
            <w:vAlign w:val="bottom"/>
            <w:gridSpan w:val="2"/>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102,185</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106,070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7,548</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10,581</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(12,186)</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1020" w:type="dxa"/>
            <w:vAlign w:val="bottom"/>
            <w:gridSpan w:val="4"/>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00" w:type="dxa"/>
            <w:vAlign w:val="bottom"/>
          </w:tcPr>
          <w:p>
            <w:pPr>
              <w:spacing w:after="0"/>
              <w:rPr>
                <w:sz w:val="12"/>
                <w:szCs w:val="12"/>
                <w:color w:val="auto"/>
              </w:rPr>
            </w:pPr>
          </w:p>
        </w:tc>
        <w:tc>
          <w:tcPr>
            <w:tcW w:w="78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020" w:type="dxa"/>
            <w:vAlign w:val="bottom"/>
            <w:gridSpan w:val="4"/>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0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income</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96,381</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18.2</w:t>
            </w:r>
          </w:p>
        </w:tc>
        <w:tc>
          <w:tcPr>
            <w:tcW w:w="40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105,650</w:t>
            </w:r>
          </w:p>
        </w:tc>
        <w:tc>
          <w:tcPr>
            <w:tcW w:w="2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34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(60,443)</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(42,528)</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7,522</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(2,806)</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42,761</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60,994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 in consolidated joint venture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attributable to noncontrolling interest in the Operating Partnership</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0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48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43,056</w:t>
            </w:r>
          </w:p>
        </w:tc>
        <w:tc>
          <w:tcPr>
            <w:tcW w:w="20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61,320</w:t>
            </w:r>
          </w:p>
        </w:tc>
        <w:tc>
          <w:tcPr>
            <w:tcW w:w="20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ended March 31, 2024 and 2023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4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$ 528,345</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$ 491,719</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431,964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386,069</w:t>
            </w: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60,994</w:t>
            </w: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per share - diluted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March 31, 2024, as compared to the same period in 2023, is attributable to an increase in our Hospitality segment of $37.0 million due to the acquisition of JW Marriott Hill Country on June 30, 2023, partially offset by a decrease in our Entertainment segment of $0.4 million, as presented in the tables below.</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increase in our total operating expenses for the three months ended March 31, 2024, as compared to the same period in 2023, is primarily the result of an increase in our Hospitality segment of $33.6 million and an increase in depreciation expense of $8.8 million, each primarily due to the acquisition of JW Marriott Hill Country on June 30, 2023, as presented in the tables below.</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8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Our $18.2 million decrease in net income for the three months ended March 31, 2024, as compared to the same period in 2023, was primarily due to the changes in our revenues and operating expenses reflected above, and a $17.9 million increase in interest expense in the 2024 period, as compared to the 2023 period, as described more fully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200"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three months ended March 31, 2024, compared to the three months ended March 31, 2023, were:</w:t>
      </w:r>
    </w:p>
    <w:p>
      <w:pPr>
        <w:spacing w:after="0" w:line="121" w:lineRule="exact"/>
        <w:rPr>
          <w:sz w:val="20"/>
          <w:szCs w:val="20"/>
          <w:color w:val="auto"/>
        </w:rPr>
      </w:pPr>
    </w:p>
    <w:p>
      <w:pPr>
        <w:ind w:left="720" w:right="1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Hill Country, including $49.9 million in revenues; the property averaged $198.40 in RevPAR and $547.72 in Total RevPAR.</w:t>
      </w:r>
    </w:p>
    <w:p>
      <w:pPr>
        <w:spacing w:after="0" w:line="12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same-store (Hospitality segment excluding JW Marriott Hill Country) group rooms traveled in the 2024 period of 4.6%, as compared to the 2023 period, as the Easter holiday shift from April in the previous year to March in the current year negatively impacted group business in the 2024 period.</w:t>
      </w:r>
    </w:p>
    <w:p>
      <w:pPr>
        <w:spacing w:after="0" w:line="14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ADR of 2.9% in the 2024 period, as compared to the 2023 period, reflective of our continued pricing strategy.</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of 2.7% in outside-the-room spending at our hotels in the 2024 period, as compared to the 2023 period, primarily as a result of the Easter holiday shift.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of 39.4% in net definite group room nights booked at our hotels in the 2024 period, as compared to the 2023 period, primarily due to timing, as the fourth quarter of 2023 was the highest booking quarter on record.</w:t>
      </w:r>
    </w:p>
    <w:p>
      <w:pPr>
        <w:spacing w:after="0" w:line="148"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decreased 62.2% in the 2024 period, as compared to the 2023 period.</w:t>
      </w:r>
    </w:p>
    <w:p>
      <w:pPr>
        <w:spacing w:after="0" w:line="121"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in transient room nights traveled in the 2024 period of 12.6%, as compared to the 2023 period, as we experienced some softness in transient demand in the latter half of the quarter in several of our markets.</w:t>
      </w:r>
    </w:p>
    <w:p>
      <w:pPr>
        <w:spacing w:after="0" w:line="135"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revenue in the 2024 period, as compared to the 2023 period, related to Ole Red Las Vegas, which opened in January 2024, offset primarily by a decrease related to the closure of the Wildhorse Saloon as it is being rebranded as Category 10 and a decrease at the W Austin Hotel primarily as a result of the disruption caused by the ongoing construction enhancements at the property.</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important factors and trends for the three months ended, and as of, March 31, 2024 include:</w:t>
      </w:r>
    </w:p>
    <w:p>
      <w:pPr>
        <w:spacing w:after="0" w:line="185" w:lineRule="exact"/>
        <w:rPr>
          <w:sz w:val="20"/>
          <w:szCs w:val="20"/>
          <w:color w:val="auto"/>
        </w:rPr>
      </w:pPr>
    </w:p>
    <w:p>
      <w:pPr>
        <w:ind w:left="720" w:right="31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same-store basis, group room nights on the books for all future years at our hotels at March 31, 2024 are 3.2% ahead of those on the books at the same point in 2023. In addition, the ADR on those group nights on the books at March 31, 2024 is 6.2% higher than the same point in 2023.</w:t>
      </w:r>
    </w:p>
    <w:p>
      <w:pPr>
        <w:spacing w:after="0" w:line="135" w:lineRule="exact"/>
        <w:rPr>
          <w:rFonts w:ascii="Times New Roman" w:cs="Times New Roman" w:eastAsia="Times New Roman" w:hAnsi="Times New Roman"/>
          <w:sz w:val="18"/>
          <w:szCs w:val="18"/>
          <w:color w:val="auto"/>
        </w:rPr>
      </w:pPr>
    </w:p>
    <w:p>
      <w:pPr>
        <w:ind w:left="720" w:right="53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revenues in recent periods have partially mitigated increasing costs in the current inflationary environment, which include increased interest rates, which drove higher interest expense on our higher debt levels, as well as increased wages, insurance and other costs, which are expected to continue in the current inflationary environment.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months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2023 (in thousands, except percentages and performance metrics):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48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8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173,633</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161,251</w:t>
            </w:r>
          </w:p>
        </w:tc>
        <w:tc>
          <w:tcPr>
            <w:tcW w:w="18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215,804</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1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52,754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47,384</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11.3 %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461,470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424,439</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42,059</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115,181</w:t>
            </w:r>
          </w:p>
        </w:tc>
        <w:tc>
          <w:tcPr>
            <w:tcW w:w="18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11.3 %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103,059</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15.3 %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15,195</w:t>
            </w:r>
          </w:p>
        </w:tc>
        <w:tc>
          <w:tcPr>
            <w:tcW w:w="18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18.2 %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42,875</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17.2 %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1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359,285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318,369</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12.9 %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1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102,185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106,070</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72.3 %</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8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250.48</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237.95</w:t>
            </w:r>
          </w:p>
        </w:tc>
        <w:tc>
          <w:tcPr>
            <w:tcW w:w="18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18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167.17</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172.08</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18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444.29</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452.94</w:t>
            </w:r>
          </w:p>
        </w:tc>
        <w:tc>
          <w:tcPr>
            <w:tcW w:w="18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250,318</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(3):</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72.3 %</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(5.3)pts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8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244.85</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237.95</w:t>
            </w:r>
          </w:p>
        </w:tc>
        <w:tc>
          <w:tcPr>
            <w:tcW w:w="18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18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164.16</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172.08</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18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434.33</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452.94</w:t>
            </w:r>
          </w:p>
        </w:tc>
        <w:tc>
          <w:tcPr>
            <w:tcW w:w="180" w:type="dxa"/>
            <w:vAlign w:val="bottom"/>
          </w:tcPr>
          <w:p>
            <w:pPr>
              <w:spacing w:after="0"/>
              <w:rPr>
                <w:sz w:val="12"/>
                <w:szCs w:val="12"/>
                <w:color w:val="auto"/>
              </w:rPr>
            </w:pP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250,318</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1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Hospitality RevPAR is not comparable to similarly titled measures such as revenues.</w:t>
      </w:r>
    </w:p>
    <w:p>
      <w:pPr>
        <w:spacing w:after="0" w:line="134" w:lineRule="exact"/>
        <w:rPr>
          <w:rFonts w:ascii="Times New Roman" w:cs="Times New Roman" w:eastAsia="Times New Roman" w:hAnsi="Times New Roman"/>
          <w:sz w:val="18"/>
          <w:szCs w:val="18"/>
          <w:color w:val="auto"/>
        </w:rPr>
      </w:pPr>
    </w:p>
    <w:p>
      <w:pPr>
        <w:ind w:left="380" w:right="219" w:hanging="330"/>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35" w:lineRule="exact"/>
        <w:rPr>
          <w:rFonts w:ascii="Times New Roman" w:cs="Times New Roman" w:eastAsia="Times New Roman" w:hAnsi="Times New Roman"/>
          <w:sz w:val="18"/>
          <w:szCs w:val="18"/>
          <w:color w:val="auto"/>
        </w:rPr>
      </w:pPr>
    </w:p>
    <w:p>
      <w:pPr>
        <w:ind w:left="380" w:right="39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Hill Country, which we purchased on June 30, 2023.</w:t>
      </w:r>
    </w:p>
    <w:p>
      <w:pPr>
        <w:spacing w:after="0" w:line="121"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The increase in total Hospitality segment revenue in the three months ended March 31, 2024, as compared to the same period in 2023, is primarily due to the addition of $49.9 million in revenue from JW Marriott Hill Country, which we purchased on June 30, 2023, partially offset by decreases of $8.0 million and $4.5 million at Gaylord Opryland and Gaylord National, respectively, as presented in the tables below.</w:t>
      </w:r>
    </w:p>
    <w:p>
      <w:pPr>
        <w:spacing w:after="0" w:line="153"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Total Hospitality segment revenues in the three months ended March 31, 2024 include $8.5 million in attrition and cancellation fee revenue, a decrease of $1.3 million in attrition and cancellation fees from the 2023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4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21 %</w:t>
            </w:r>
          </w:p>
        </w:tc>
      </w:tr>
    </w:tbl>
    <w:p>
      <w:pPr>
        <w:spacing w:after="0" w:line="17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Rooms expenses increased in the three months ended March 31, 2024, as compared to the same period in 2023, primarily due to JW Marriott Hill Country, which we purchased on June 30, 2023, partially offset by decreases at Gaylord National, Gaylord Rockies and Gaylord Opryland due to decreased volume, as presented in the tables below.</w:t>
      </w:r>
    </w:p>
    <w:p>
      <w:pPr>
        <w:spacing w:after="0" w:line="135"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increase in food and beverage expenses in the three months ended March 31, 2024, as compared to the same period in 2023, is primarily due to JW Marriott Hill Country, as presented in the tables below.</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three months ended March 31, 2024 and 2023 consist of the following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54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22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103,059</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72" w:lineRule="auto"/>
        <w:rPr>
          <w:sz w:val="20"/>
          <w:szCs w:val="20"/>
          <w:color w:val="auto"/>
        </w:rPr>
      </w:pPr>
      <w:r>
        <w:rPr>
          <w:rFonts w:ascii="Times New Roman" w:cs="Times New Roman" w:eastAsia="Times New Roman" w:hAnsi="Times New Roman"/>
          <w:sz w:val="17"/>
          <w:szCs w:val="17"/>
          <w:color w:val="auto"/>
        </w:rPr>
        <w:t>Each of the other hotel expense categories above increased in the three months ended March 31, 2024, as compared to the same period in 2023, primarily due to the addition of JW Marriott Hill Country. Administrative employment costs include salaries and benefits for hotel administrative functions, including, among others, senior management, accounting, human resources, sales, conference services, engineering and security. The increase in property taxes during the three months ended March 31, 2024, as compared to the 2023 period, was partially offset by a decrease at Gaylord National due to a settlement of an appeal from prior tax years. The increase in other expenses, which include supplies, advertising, maintenance costs and consulting costs, during the three months ended March 31, 2024, as compared to the same period in 2023, was partially offset by various decreases at Gaylord Opryland and Gaylord National due to decreased business levels.</w:t>
      </w:r>
    </w:p>
    <w:p>
      <w:pPr>
        <w:spacing w:after="0" w:line="13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In the three months ended March 31, 2024 and 2023, we incurred $10.8 million and $9.2 million, respectively, related to base management fees for our Hospitality segment and $8.0 million and $6.7 million, respectively,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54" w:lineRule="exact"/>
        <w:rPr>
          <w:sz w:val="20"/>
          <w:szCs w:val="20"/>
          <w:color w:val="auto"/>
        </w:rPr>
      </w:pPr>
    </w:p>
    <w:p>
      <w:pPr>
        <w:jc w:val="both"/>
        <w:ind w:left="60" w:right="239"/>
        <w:spacing w:after="0" w:line="312" w:lineRule="auto"/>
        <w:rPr>
          <w:sz w:val="20"/>
          <w:szCs w:val="20"/>
          <w:color w:val="auto"/>
        </w:rPr>
      </w:pPr>
      <w:r>
        <w:rPr>
          <w:rFonts w:ascii="Times New Roman" w:cs="Times New Roman" w:eastAsia="Times New Roman" w:hAnsi="Times New Roman"/>
          <w:sz w:val="17"/>
          <w:szCs w:val="17"/>
          <w:color w:val="auto"/>
        </w:rPr>
        <w:t>Total Hospitality segment depreciation and amortization expense increased in the three months ended March 31, 2024, as compared to the same period in 2023, primarily due to JW Marriott Hill Country, which we purchased on June 30, 2023.</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and 2023.</w:t>
      </w:r>
    </w:p>
    <w:p>
      <w:pPr>
        <w:spacing w:after="0" w:line="158"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ended March 31,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58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41,945</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45,331</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50,097</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111,806</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25,989</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29,890</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79,010</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80,111</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24,825</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31,695</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65.1 %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72.6 %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(7.5)pts</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245.28</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240.19</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159.60</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0"/>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430.16</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months ended March 31, 2024 and 2023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540" w:type="dxa"/>
            <w:vAlign w:val="bottom"/>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17"/>
                <w:szCs w:val="17"/>
                <w:color w:val="auto"/>
              </w:rPr>
            </w:pP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21,188</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56,912</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27,634</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6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79.5 %</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(4.9)pts</w:t>
            </w: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267.99</w:t>
            </w:r>
          </w:p>
        </w:tc>
        <w:tc>
          <w:tcPr>
            <w:tcW w:w="120" w:type="dxa"/>
            <w:vAlign w:val="bottom"/>
          </w:tcPr>
          <w:p>
            <w:pPr>
              <w:spacing w:after="0"/>
              <w:rPr>
                <w:sz w:val="17"/>
                <w:szCs w:val="17"/>
                <w:color w:val="auto"/>
              </w:rPr>
            </w:pP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199.89</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120" w:type="dxa"/>
            <w:vAlign w:val="bottom"/>
          </w:tcPr>
          <w:p>
            <w:pPr>
              <w:spacing w:after="0"/>
              <w:rPr>
                <w:sz w:val="18"/>
                <w:szCs w:val="18"/>
                <w:color w:val="auto"/>
              </w:rPr>
            </w:pP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546.80</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ended March 31, 2024 and 2023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56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28,978</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29,044</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86,398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24,550</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58,870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58,310</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28,088</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8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77.1 %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(3.9)pts</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239.77</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230.83</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514.32</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529.21</w:t>
            </w: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months ended March 31,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66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18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36,618</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2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22,503</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63,051</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64,717</w:t>
            </w:r>
          </w:p>
        </w:tc>
        <w:tc>
          <w:tcPr>
            <w:tcW w:w="2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4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64.4 %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67.3 %</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(2.9)pts</w:t>
            </w: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236.16</w:t>
            </w:r>
          </w:p>
        </w:tc>
        <w:tc>
          <w:tcPr>
            <w:tcW w:w="18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239.70</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152.18</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375.88</w:t>
            </w:r>
          </w:p>
        </w:tc>
        <w:tc>
          <w:tcPr>
            <w:tcW w:w="18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405.10</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3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ended March 31,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22,015</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20,281</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51,825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53,179</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64.5 %</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69.9 %</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(5.4)pts</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233.09</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474.10</w:t>
            </w: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JW Marriott Hill Country Results</w:t>
      </w:r>
      <w:r>
        <w:rPr>
          <w:rFonts w:ascii="Times New Roman" w:cs="Times New Roman" w:eastAsia="Times New Roman" w:hAnsi="Times New Roman"/>
          <w:sz w:val="18"/>
          <w:szCs w:val="18"/>
          <w:color w:val="auto"/>
        </w:rPr>
        <w:t>. We purchased JW Marriott Hill Country on June 30, 2023. The results of JW Marriott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Hill Country for the three months ended March 31, 2024 are as follows (in thousands, except percentages and performance metrics):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40,807</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9,134</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63.6 %</w:t>
            </w:r>
          </w:p>
        </w:tc>
        <w:tc>
          <w:tcPr>
            <w:tcW w:w="0" w:type="dxa"/>
            <w:vAlign w:val="bottom"/>
          </w:tcPr>
          <w:p>
            <w:pPr>
              <w:spacing w:after="0"/>
              <w:rPr>
                <w:sz w:val="1"/>
                <w:szCs w:val="1"/>
                <w:color w:val="auto"/>
              </w:rPr>
            </w:pPr>
          </w:p>
        </w:tc>
      </w:tr>
      <w:tr>
        <w:trPr>
          <w:trHeight w:val="203"/>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200" w:lineRule="exact"/>
        <w:rPr>
          <w:sz w:val="20"/>
          <w:szCs w:val="20"/>
          <w:color w:val="auto"/>
        </w:rPr>
      </w:pPr>
    </w:p>
    <w:p>
      <w:pPr>
        <w:ind w:left="60" w:right="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and 2023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6"/>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580" w:type="dxa"/>
            <w:vAlign w:val="bottom"/>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51,434</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(1)</w:t>
            </w:r>
          </w:p>
        </w:tc>
        <w:tc>
          <w:tcPr>
            <w:tcW w:w="3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39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does not include preopening costs of $1.4 million and $0.2 million in the three months ended March 31, 2024 and 2023, respectively. See discussion of this item below.</w:t>
      </w:r>
    </w:p>
    <w:p>
      <w:pPr>
        <w:spacing w:after="0" w:line="121"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Revenues decreased slightly in our Entertainment segment in the three months ended March 31, 2024, as compared to the prior year period, as incremental revenue from Ole Red Las Vegas, which opened in January 2024, was offset primarily due to the Wildhorse Saloon being temporarily closed as it is being rebranded as Category 10 and a decrease at the W Austin Hotel primarily as a result of the disruption caused by the ongoing construction enhancements at the property. Entertainment segment operating expenses increased slightly in the 2024 period, as compared to the 2023 period, primarily due to the opening of Ole Red Las Vegas being partially offset by the temporary closure of the Wildhorse Saloon.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87" w:lineRule="exact"/>
        <w:rPr>
          <w:sz w:val="20"/>
          <w:szCs w:val="20"/>
          <w:color w:val="auto"/>
        </w:rPr>
      </w:pPr>
    </w:p>
    <w:p>
      <w:pPr>
        <w:ind w:left="60" w:right="10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and 2023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5"/>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56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(1)</w:t>
            </w:r>
          </w:p>
        </w:tc>
        <w:tc>
          <w:tcPr>
            <w:tcW w:w="3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expenses do not include a gain on sale of assets of $0.3 million in the three months ended March 31, 2024.</w:t>
      </w:r>
    </w:p>
    <w:p>
      <w:pPr>
        <w:spacing w:after="0" w:line="121"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ended March 31, 2024, as compared to the prior year period, primarily as a result of an increase in employment expenses associated with the hiring of additional employees and increased wages to support the Company’s growth.</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Preopening costs during the three months ended March 31, 2024 primarily include costs associated with Category 10, which is expected to begin a phased opening later in 2024. Preopening costs during the three months ended March 31, 2023 primarily include costs associated with Ole Red Las Vegas, which opened in January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on Sale of Assets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Gain on sale of assets during the three months ended March 31, 2024 includes the sale of miscellaneous corporate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20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months ended March 31, 2024 and 2023 (in thousands, except percentages):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gridSpan w:val="4"/>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1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78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60,443</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42,528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195.3 %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101.1 %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236.0 %</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Interest expense increased $17.9 million during the three months ended March 31, 2024, as compared to the same period in 2023, due primarily to the May 2023 refinancing and increase of the term loan B and the June 2023 issuance of the $400 Million 7.25% Senior Notes, as well as an increase in interest rates related to our variable-rate debt.</w:t>
      </w:r>
    </w:p>
    <w:p>
      <w:pPr>
        <w:spacing w:after="0" w:line="14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Cash interest expense increased $19.0 million to $58.6 million in the three months ended March 31, 2024, as compared to the same period in 2023. Non-cash interest expense, which includes amortization of deferred financing costs and debt discounts or premiums and is offset by capitalized interest, decreased $1.0 million to $1.8 million in the three months ended March 31, 2024, as compared to the same period in 2023.</w:t>
      </w:r>
    </w:p>
    <w:p>
      <w:pPr>
        <w:spacing w:after="0" w:line="13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7.2% and 5.9% for the three months ended March 31, 2024 and 2023, respectively.</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2024 primarily includes amounts earned on our cash balances, as well as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As a result of the March 2024 repayment of the Gaylord Rockies $800 million term loan, we recognized a loss on extinguishment of debt of $0.5 million in the three months ended March 31, 2024.</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(Loss) from Unconsolidated Joint Ventures</w:t>
      </w:r>
    </w:p>
    <w:p>
      <w:pPr>
        <w:spacing w:after="0" w:line="18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the three months ended March 31, 2023 represents our equity method share of losses associated with Circle.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gains and (losses), net for the three months ended March 31, 2024 and 2023 represents various miscellaneous items.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an income tax provision of $0.5 million and $1.6 million, respectively, related to our TRSs. The decrease in the income tax provision for the 2024 period, as compared to the 2023 period, primarily relates to a decrease in income at our TRSs.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60"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in Consolidated Joint Venture Definition</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in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stockholders and unit holders and Adjusted FFO available to common stockholders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stockholders and unit holders, and Adjusted FFO available to common stockholders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three months ended March 31, 2024 and 2023 (in thousands):</w:t>
      </w:r>
    </w:p>
    <w:p>
      <w:pPr>
        <w:spacing w:after="0" w:line="16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60,994</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39,981</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48,357</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 of assets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(270)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153,146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150,974</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3,739</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161,065</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157,675</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 venture</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(4,662)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(4,296)</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 joint venture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156,403</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153,379</w:t>
            </w:r>
          </w:p>
        </w:tc>
        <w:tc>
          <w:tcPr>
            <w:tcW w:w="12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FFO and Adjusted FFO for the three months ended March 31, 2024 and 2023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6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60,994</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Borders>
              <w:bottom w:val="single" w:sz="8" w:color="CCEEFF"/>
            </w:tcBorders>
          </w:tcPr>
          <w:p>
            <w:pPr>
              <w:spacing w:after="0"/>
              <w:rPr>
                <w:sz w:val="18"/>
                <w:szCs w:val="18"/>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61,757</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r>
      <w:tr>
        <w:trPr>
          <w:trHeight w:val="210"/>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98,473</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108,526</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other assets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tcPr>
          <w:p>
            <w:pPr>
              <w:spacing w:after="0"/>
              <w:rPr>
                <w:sz w:val="18"/>
                <w:szCs w:val="18"/>
                <w:color w:val="auto"/>
              </w:rPr>
            </w:pPr>
          </w:p>
        </w:tc>
      </w:tr>
      <w:tr>
        <w:trPr>
          <w:trHeight w:val="210"/>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 our operating expenses, interest payments on debt, maintenance capital expenditures, and dividends to stockholders.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2024, our net cash flows provided by operating activities were $7.5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reflecting our net income before depreciation expense, amortization expense and other non-cash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$106.0 million, partially offset by unfavorable changes in working capital of $98.6 million. The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primarily resulted from a decrease in accounts payable and accrued liabilities primarily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related to compensation, property tax accruals and the payment of liabilities associated with our seasonal holiday programs and an increase in accounts receivable due to a seasonal increase in group business at our hotel properties. These unfavorable changes in working capital were partially offset by an increase in advanced deposits on future hotel stays and advanced ticket purchases at our OEG venues.</w:t>
      </w:r>
    </w:p>
    <w:p>
      <w:pPr>
        <w:spacing w:after="0" w:line="153"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2023, our net cash flows provided by operating activities were $31.7 million, primarily reflecting our net income before depreciation expense, amortization expense and other non-cash charges of $119.3 million, partially offset by unfavorable changes in working capital of $87.6 million. The unfavorable changes in working capital primarily resulted from a decrease in accounts payable and accrued liabilities primarily related to compensation and property tax accruals and an increase in accounts receivable due to a seasonal increase in group business at our hotel properties, partially offset by an increase in advanced ticket purchases at our OEG venues and increase in advanced deposits on future hotel room stays.</w:t>
      </w:r>
    </w:p>
    <w:p>
      <w:pPr>
        <w:spacing w:after="0" w:line="146"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three months ended March 31, 2024,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purchases of property and equipment, which totaled $79.4 million, and consisted primarily of enhancements at Gaylord Rockies to construct a new events pavilion, enhance the grand lodge and reposition its food and beverage outlets; the completion of Ole Red Las Vegas; a rooms renovation at the W Austin Hotel and common area enhancements at Block 21; the conversion of the Wildhorse Saloon to Category 10; a rooms renovation at Gaylord Palms; and ongoing maintenance capital expenditures for each of our existing properties.</w:t>
      </w:r>
    </w:p>
    <w:p>
      <w:pPr>
        <w:spacing w:after="0" w:line="14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our primary use of funds for investing activities were purchases of property and equipment, which totaled $36.8 million, and consisted primarily of enhancements to the offerings at Block 21, the construction of Ole Red Las Vegas, enhancements at Gaylord Rockies to better position the property for our group customers, and ongoing maintenance capital expenditures for each of our existing properties.</w:t>
      </w:r>
    </w:p>
    <w:p>
      <w:pPr>
        <w:spacing w:after="0" w:line="151"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Our cash flows from financing activities primarily reflect the incurrence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of long-term debt and the payment of cash dividends. During the three months ended March 31, 2024, our net cash flows used in financing activities were $81.8 million, primarily reflecting the issuance of the $1 Billion 6.50% Senior Notes, offset by the prepayment of the Gaylord Rockies $800.0 million term loan, the repayment of $201.3 million under our $500.0 million term loan B, the payment of $67.1 million in cash dividends and the payment of $16.8 million in deferred financing costs.</w:t>
      </w:r>
    </w:p>
    <w:p>
      <w:pPr>
        <w:spacing w:after="0" w:line="144"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our net cash flows used in financing activities were $13.9 million, primarily reflecting the payment of $14.0 million in cash dividends.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At March 31, 2024, we had $465.3 million in unrestricted cash and $738.7 million available for borrowing in the aggregate under our revolving credit facility and the OEG revolving credit facility. During the three months ended March 31, 2024, we issued the $1 Billion 6.50% Senior Notes, repaid the $800.0 million Gaylord Rockies term loan, repaid $201.3 million under our $500.0 million term loan B, incurred capital expenditures of $79.4 million and paid $67.1 million in cash dividends. These changes, as well as the cash flows provided by operations discussed above, were the primary factors in the decrease in our cash balance from December 31, 2023 to March 31, 2024.</w:t>
      </w:r>
    </w:p>
    <w:p>
      <w:pPr>
        <w:spacing w:after="0" w:line="14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2024 by spending between approximately $280 million and $360 million in capital expenditures, which includes projects at Gaylord Rockies to construct a new events pavilion, enhance the grand lodge and reposition its food and beverage outlets; enhancements to meeting spaces at Gaylord Opryland to further appeal to our target group customers; a rooms renovation at the W Austin Hotel and common area enhancements at Block 21; the conversion of the Wildhorse Saloon to Category 10; a rooms renovation at Gaylord Palms; and ongoing maintenance capital for each of our current facilities. Further, our dividend policy provides that we will make minimum dividends of 100% of REIT taxable income annually. Future dividends are subject to our board of directors’ future determinations as to amount and timing. We currently have no debt maturities until January 2026. We believe we will be able to refinance our debt agreements prior to their maturities.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60"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March 31, 2024, there were no defaults under the covenants related to our outstanding debt.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8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(the “Credit Agreement”) among the Company,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w:t>
      </w:r>
    </w:p>
    <w:p>
      <w:pPr>
        <w:spacing w:after="0" w:line="15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$700.0 million revolving credit facility (the “Revolver”) and a $500.0 million senior secured term loan B (the “Term Loan B”) (which was reduced to $295.0 million on March 28, 2024), as well as an accordion feature that will allow us to increase the facilities following the closing date by an aggregate total of up to $475 million, which may be allocated between the Revolver and the Term Loan B at our option.</w:t>
      </w:r>
    </w:p>
    <w:p>
      <w:pPr>
        <w:spacing w:after="0" w:line="13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Each of the Revolver and the Term Loan B is guaranteed by us, each of our subsidiaries that own the Gaylord Hotels properties, other than Gaylord Rockies,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Gaylord Rockies and OEG are not subject to the liens of the Credit Agreement.</w:t>
      </w:r>
    </w:p>
    <w:p>
      <w:pPr>
        <w:spacing w:after="0" w:line="14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53"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not to be less than 2.0x.</w:t>
      </w:r>
    </w:p>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The maturity date of the Revolver is May 18, 2027, with the option to extend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maximum of one additional year through either (i) a single 12-month extension option or (ii) two individual 6-month extensions. Borrowings under the Revolver bear interest at an annual rate equal to, at our option, either (i) Adjusted Term SOFR plus the applicable margin ranging from 1.40% to 2.00%, (ii) Adjusted Daily Simple SOFR plus the applicable margin ranging from 1.40% to 2.00% or (iii) a base rate as set forth in the Credit Agreement plus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12" w:lineRule="auto"/>
        <w:rPr>
          <w:sz w:val="20"/>
          <w:szCs w:val="20"/>
          <w:color w:val="auto"/>
        </w:rPr>
      </w:pPr>
      <w:r>
        <w:rPr>
          <w:rFonts w:ascii="Times New Roman" w:cs="Times New Roman" w:eastAsia="Times New Roman" w:hAnsi="Times New Roman"/>
          <w:sz w:val="17"/>
          <w:szCs w:val="17"/>
          <w:color w:val="auto"/>
        </w:rPr>
        <w:t>applicable margin ranging from 0.40% to 1.00%, with each option dependent upon our funded debt to total asset value ratio (as defined in the Credit Agreement). Principal is payable in full at maturity, and the Revolver was undrawn at closing.</w:t>
      </w:r>
    </w:p>
    <w:p>
      <w:pPr>
        <w:spacing w:after="0" w:line="113"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3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At March 31, 2024, no amounts were outstanding under the Revolver, and the lending banks had issued $4.3 million of letters of credit under the Credit Agreement, which left $695.7 million of availability under the Revolver (subject to the satisfaction of debt incurrence tests under the indentures governing our $1 Billion 6.50% Senior Notes, our $700 million in aggregate principal amount of senior notes due 2027 (the “$700 Million 4.75% Senior Notes”), our $600 million in aggregate principal amount of senior notes due 2029 (the “$600 Million 4.50% Senior Notes”) and our $400 million in aggregate principal amount of senior notes due 2028 (the “$400 Million 7.25% Senior Notes”), which we met at March 31, 2024).</w:t>
      </w:r>
    </w:p>
    <w:p>
      <w:pPr>
        <w:spacing w:after="0" w:line="14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Term Loan B. </w:t>
      </w:r>
      <w:r>
        <w:rPr>
          <w:rFonts w:ascii="Times New Roman" w:cs="Times New Roman" w:eastAsia="Times New Roman" w:hAnsi="Times New Roman"/>
          <w:sz w:val="18"/>
          <w:szCs w:val="18"/>
          <w:color w:val="auto"/>
        </w:rPr>
        <w:t>The Term Loan B has a maturity date of May 18, 2030. The applicable interest rate margins for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 Loan B are, at our option, either (i) Term SOFR plus 2.75%, (ii) Daily Simple SOFR plus 2.75% or (iii) a base rate as set forth in the Credit Agreement plus 1.75%. At March 31, 2024, the interest rate on the Term Loan B was Term SOFR plus 2.75%. In addition, if for any fiscal year, there is Excess Cash Flow (as defined in the Credit Agreement), an additional principal amount is required. Amounts borrowed under the Term Loan B that are repaid or prepaid may not be reborrowed. At March 31, 2024, $295.0 million in borrowings were outstanding under the Term Loan B. A portion of the proceeds of the Term Loan B were used to repay in full the approximately $370 million balance of our previous term loan B.</w:t>
      </w:r>
    </w:p>
    <w:p>
      <w:pPr>
        <w:spacing w:after="0" w:line="16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On April 12, 2024, we entered into an Incremental Tranche B Term Loan Agreement (the “Incremental Agreement”), which supplements the Credit Agreement. The Incremental Agreement reduces the applicable interest rate margins for the loans advanced under the refinanced Term Loan B. The applicable interest rate margins for the refinanced Term Loan B under the Incremental Agreement are (i) 2.25% for SOFR Loans (as defined in the Credit Agreement) and (ii) 1.25% for base rate loans. The Incremental Agreement did not change the maturity dates under the Credit Agreement or result in any increase in principal indebtedness. In addition, the Incremental Agreement confirms that the annual amortization under the Term Loan B is 1% of the refinanced $295.0 million outstanding principal amount, with the balance due at maturity.</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183"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$1 Billion 6.50% Senior Notes. </w:t>
      </w:r>
      <w:r>
        <w:rPr>
          <w:rFonts w:ascii="Times New Roman" w:cs="Times New Roman" w:eastAsia="Times New Roman" w:hAnsi="Times New Roman"/>
          <w:sz w:val="18"/>
          <w:szCs w:val="18"/>
          <w:color w:val="auto"/>
        </w:rPr>
        <w:t>On March 28, 2024, the Operating Partnership and Finco (collectively, the “issuing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completed the private placement of the $1 Billion 6.50% Senior Notes,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$700 Million 4.75%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5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each year. The $500 Million 4.75% Senior Notes are general unsecured and unsubordinated obligations of the issuing subsidiaries and rank equal in right of payment with such subsidiaries’ existing and future senior unsecured indebtedness, including the $1 Billion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5"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$700 Million 4.75% Senior Notes are currently redeemable, in whole or in part, at a redemption price expressed as a percentage of the principal amount thereof, which percentage is 102.375%, 101.188%, and 100.000% beginning on October 15 of 2023, 2024, and 2025, respectively, plus accrued and unpaid interest thereon to, but not including, the redemption date.</w:t>
      </w:r>
    </w:p>
    <w:p>
      <w:pPr>
        <w:spacing w:after="0" w:line="153"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In February 2021,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4.50%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$400 Million 7.25% Senior Notes, and senior in right of payment to future subordinated indebtedness, if any. The $600 Million 4.50%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$600 Million 4.50% Senior Notes are currently redeemable, in whole or in part,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On June 22, 2023,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7.25% per annum, payable semi-annually in cash in arrears on January 15 and July 15 each year, beginning on January 15, 2024.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41"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w:t>
      </w:r>
    </w:p>
    <w:p>
      <w:pPr>
        <w:spacing w:after="0" w:line="13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Each of the indentures governing the $1 Billion 6.50% Senior Notes,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14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r>
        <w:rPr>
          <w:rFonts w:ascii="Times New Roman" w:cs="Times New Roman" w:eastAsia="Times New Roman" w:hAnsi="Times New Roman"/>
          <w:sz w:val="18"/>
          <w:szCs w:val="18"/>
          <w:color w:val="auto"/>
        </w:rPr>
        <w:t>. In July 2019, Aurora Convention Center Hotel, LLC and Aurora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Convention Center Hotel Lessee, LLC the entities that comprise Gaylord Rockies, entered into a Second Amended and Restated Loan Agreement (the “Gaylord Rockies Loan”) with Wells Fargo Bank, National Association, as administrative agent. The Gaylord Rockies Loan consisted of an $800.0 million secured term loan facility, with a maturity date of July 2, 2024 with two, one-year extension options remaining, subject to certain requirements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Gaylord Rockies Loan, and bore interest at Adjusted Daily Simple SOFR plus 2.50%. We previously entered into an interest rate swap to fix the SOFR portion of the interest rate at 5.2105% for the fifth year of the loan. We designated this interest rate swap as an effective cash flow hedge.</w:t>
      </w:r>
    </w:p>
    <w:p>
      <w:pPr>
        <w:spacing w:after="0" w:line="1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On March 28, 2024, we paid off the Gaylord Rockies Loan with proceeds from the $1 Billion 6.50% Senior Notes discussed above.</w:t>
      </w:r>
    </w:p>
    <w:p>
      <w:pPr>
        <w:spacing w:after="0" w:line="16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In June 2022, OEG Borrower, LLC (“OEG Borrower”) and OEG Finance, LLC (“OEG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(ii) Adjusted Term SOFR plus 5.00% (all as specifically more described in the OEG Credit Agreement). The OEG Revolver bears interest at a rate equal to either, at OEG Borrower’s election, (i) the Alternate Base Rate plus 3.25% or (ii) Adjusted Term SOFR plus 4.25%,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as more specifically described in the OEG Credit Agreement) and include customary financial covenants and restrictions. At March 31, 2024, $295.5 million was outstanding under the OEG Term Loan and $22.0 million was outstanding under the OEG Revolver.</w:t>
      </w:r>
    </w:p>
    <w:p>
      <w:pPr>
        <w:spacing w:after="0" w:line="19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in May 2022, a subsidiary of the Company assumed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ten-year, non-recourse term loan secured by a mortgage on Block 21 (the “Block 21 CMBS Loan”). The Block 21 CMBS Loan has a fixed interest rate of 5.58% per annum, payable monthly, matures January 5, 2026, and payments are due monthly based on a 30-year amortization. At March 31, 2024, $131.2 million was outstanding under the Block 21 CMBS Loan.</w:t>
      </w:r>
    </w:p>
    <w:p>
      <w:pPr>
        <w:spacing w:after="0" w:line="158"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During a Trigger Period, any cash generated in excess of amounts necessary to fund loan obligations, budgeted operating expenses and specified reserves will not be distributed to Block 21. Block 21 was in a Trigger Period as of our purchase date but exited the Trigger Period with first quarter 2023 results.</w:t>
      </w:r>
    </w:p>
    <w:p>
      <w:pPr>
        <w:spacing w:after="0" w:line="185"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3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98" w:lineRule="exact"/>
        <w:rPr>
          <w:sz w:val="20"/>
          <w:szCs w:val="20"/>
          <w:color w:val="auto"/>
        </w:rPr>
      </w:pPr>
    </w:p>
    <w:p>
      <w:pPr>
        <w:ind w:left="720" w:right="1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March 31, 2024 for our variable-rate debt after considering interest rate swaps, our estimated interest obligations through 2028 are $948.4 million. These estimated obligations are $163.1 million for the remainder of 2024, $216.8 million in 2025, $208.7 million in 2026, $200.4 million in 2027, and $159.3 million in 2028.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2023 for a discussion of the interest we paid during 2023, 2022 and 2021.</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0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occupancy, ADR and outside-the-room spend in our Hospitality segment and business levels in our Entertainment segment in recent periods have reduced the impact of increased operating costs, including increased wages and food and beverage costs, on our financial position and results of operations.</w:t>
      </w:r>
    </w:p>
    <w:p>
      <w:pPr>
        <w:spacing w:after="0" w:line="13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higher debt levels. In an effort to mitigate the impact of increased interest rates, at March 31, 2024, 85% of our outstanding debt is fixed-rate debt, after considering the impact of interest rate swaps.</w:t>
      </w:r>
    </w:p>
    <w:p>
      <w:pPr>
        <w:spacing w:after="0" w:line="135"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Company’s $1 Billion 6.50% Senior Notes, the $700 Million 4.75% Senior Notes, $600 Million 4.50% Senior Notes and $400 Million 7.25% Senior Notes were each issued by the Operating Partnership and Finco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 due from non-guarantor subsidiaries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2,462,774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3,173,282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3,173,282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2023. There were no newly identified critical accounting policies in the first three months of 2024, nor were there any material changes to the critical accounting policies and estimates discussed in our Annual Report on Form 10-K for the year ended December 31, 2023.</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2023. For a discussion of the Company’s exposure to market risk, refer to the Company’s market risk disclosures set forth in Part II, Item 7A. “Quantitative and Qualitative Disclosures About Market Risk” of the Company’s Annual Report on Form 10-K for the year ended December 31, 2023.</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49"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12,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Annual Report on Form 10-K for the fiscal year ended December 31,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jc w:val="both"/>
        <w:ind w:left="60" w:right="279"/>
        <w:spacing w:after="0" w:line="312" w:lineRule="auto"/>
        <w:rPr>
          <w:sz w:val="20"/>
          <w:szCs w:val="20"/>
          <w:color w:val="auto"/>
        </w:rPr>
      </w:pPr>
      <w:r>
        <w:rPr>
          <w:rFonts w:ascii="Times New Roman" w:cs="Times New Roman" w:eastAsia="Times New Roman" w:hAnsi="Times New Roman"/>
          <w:sz w:val="17"/>
          <w:szCs w:val="17"/>
          <w:color w:val="auto"/>
        </w:rPr>
        <w:t>During the fiscal quarter ended March 31, 2024, no director or Section 16 officer adopted or terminated any Rule 10b5-1 trading arrangements or non-Rule 10b5-1 trading arrangements (in each case, as defined in Item 408 of Regulation S-K).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13"/>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7"/>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8"/>
          </w:tcPr>
          <w:p>
            <w:pPr>
              <w:spacing w:after="0"/>
              <w:rPr>
                <w:sz w:val="17"/>
                <w:szCs w:val="17"/>
                <w:color w:val="auto"/>
              </w:rPr>
            </w:pPr>
          </w:p>
        </w:tc>
        <w:tc>
          <w:tcPr>
            <w:tcW w:w="700" w:type="dxa"/>
            <w:vAlign w:val="bottom"/>
            <w:gridSpan w:val="7"/>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6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gridSpan w:val="4"/>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7440" w:type="dxa"/>
            <w:vAlign w:val="bottom"/>
            <w:gridSpan w:val="17"/>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Indenture, dated as of March 28, 2024, among RHP Hotel Properties, LP, RHP Finance Corporation,</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Ryman Hospitality Properties, Inc., as a guarantor, each of the other guarantors named therein and</w:t>
              </w:r>
            </w:hyperlink>
          </w:p>
        </w:tc>
        <w:tc>
          <w:tcPr>
            <w:tcW w:w="20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U.S. Bank Trust Company, National Association, as trustee (incorporated by reference to Exhibit 4.1</w:t>
              </w:r>
            </w:hyperlink>
          </w:p>
        </w:tc>
        <w:tc>
          <w:tcPr>
            <w:tcW w:w="18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to the Company’s Current Report on Form 8-K filed March 28, 2024).</w:t>
              </w:r>
            </w:hyperlink>
          </w:p>
        </w:tc>
        <w:tc>
          <w:tcPr>
            <w:tcW w:w="2380" w:type="dxa"/>
            <w:vAlign w:val="bottom"/>
            <w:gridSpan w:val="11"/>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73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6.500% Senior Note due (incorporated by reference to Exhibit 4.2 to the Company’s Current</w:t>
              </w:r>
            </w:hyperlink>
          </w:p>
        </w:tc>
        <w:tc>
          <w:tcPr>
            <w:tcW w:w="1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Report on Form 8-K filed March 28, 2024).</w:t>
              </w:r>
            </w:hyperlink>
          </w:p>
        </w:tc>
        <w:tc>
          <w:tcPr>
            <w:tcW w:w="4280" w:type="dxa"/>
            <w:vAlign w:val="bottom"/>
            <w:gridSpan w:val="13"/>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3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List of Parent and Subsidiary Guarantors.</w:t>
            </w:r>
          </w:p>
        </w:tc>
        <w:tc>
          <w:tcPr>
            <w:tcW w:w="4440" w:type="dxa"/>
            <w:vAlign w:val="bottom"/>
            <w:gridSpan w:val="14"/>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6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1020" w:type="dxa"/>
            <w:vAlign w:val="bottom"/>
            <w:gridSpan w:val="10"/>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66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800" w:type="dxa"/>
            <w:vAlign w:val="bottom"/>
            <w:gridSpan w:val="8"/>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40" w:type="dxa"/>
            <w:vAlign w:val="bottom"/>
            <w:gridSpan w:val="5"/>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2780" w:type="dxa"/>
            <w:vAlign w:val="bottom"/>
            <w:gridSpan w:val="12"/>
          </w:tcPr>
          <w:p>
            <w:pPr>
              <w:spacing w:after="0" w:line="20" w:lineRule="exact"/>
              <w:rPr>
                <w:sz w:val="1"/>
                <w:szCs w:val="1"/>
                <w:color w:val="auto"/>
              </w:rPr>
            </w:pPr>
          </w:p>
        </w:tc>
      </w:tr>
      <w:tr>
        <w:trPr>
          <w:trHeight w:val="434"/>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quarterly period ended March 31, 2024, formatted in Inline XBRL (eXtensible Business Reporting</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Language): (i) Condensed Consolidated Balance Sheets (unaudited) at March 31, 2024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December 31, 2023, (ii) Condensed Consolidated Statements of Operations and Comprehensive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Income (unaudited) for the three months ended March 31, 2024 and 2023, (iii) Condensed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2024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2023, (iv) Condensed Consolidated Statements of Equity (unaudited) for the three months ended</w:t>
            </w: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March 31, 2024 and 2023, and (v) Notes to Condensed Consolidated Financial Statements (unaudited).</w:t>
            </w:r>
          </w:p>
        </w:tc>
      </w:tr>
      <w:tr>
        <w:trPr>
          <w:trHeight w:val="43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Parent and Subsidiary Guarantors</w:t>
      </w:r>
    </w:p>
    <w:p>
      <w:pPr>
        <w:spacing w:after="0" w:line="264" w:lineRule="exact"/>
        <w:rPr>
          <w:sz w:val="20"/>
          <w:szCs w:val="20"/>
          <w:color w:val="auto"/>
        </w:rPr>
      </w:pPr>
    </w:p>
    <w:p>
      <w:pPr>
        <w:ind w:left="200" w:right="399"/>
        <w:spacing w:after="0" w:line="262" w:lineRule="auto"/>
        <w:rPr>
          <w:sz w:val="20"/>
          <w:szCs w:val="20"/>
          <w:color w:val="auto"/>
        </w:rPr>
      </w:pPr>
      <w:r>
        <w:rPr>
          <w:rFonts w:ascii="Times New Roman" w:cs="Times New Roman" w:eastAsia="Times New Roman" w:hAnsi="Times New Roman"/>
          <w:sz w:val="21"/>
          <w:szCs w:val="21"/>
          <w:color w:val="auto"/>
        </w:rPr>
        <w:t>Ryman Hospitality Properties, Inc., a Delaware corporation (the “Company”), as the parent company, serves as guarantor, and each of the below listed subsidiaries of the Company serves as an issuer or guarantor, as applicable, for the Company’s (i) 4.75% Senior Notes due 2027, (ii)</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7.25% Senior Notes due 2028, (iii) 4.50% Senior Notes due 2029 and (iv) 6.50% Senior Notes due</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2032.</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Exact Name of Subsidiary</w:t>
            </w:r>
          </w:p>
        </w:tc>
        <w:tc>
          <w:tcPr>
            <w:tcW w:w="72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Jurisdiction of Organization</w:t>
            </w:r>
          </w:p>
        </w:tc>
        <w:tc>
          <w:tcPr>
            <w:tcW w:w="540" w:type="dxa"/>
            <w:vAlign w:val="bottom"/>
          </w:tcPr>
          <w:p>
            <w:pPr>
              <w:spacing w:after="0"/>
              <w:rPr>
                <w:sz w:val="22"/>
                <w:szCs w:val="22"/>
                <w:color w:val="auto"/>
              </w:rPr>
            </w:pP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b w:val="1"/>
                <w:bCs w:val="1"/>
                <w:color w:val="auto"/>
              </w:rPr>
              <w:t>Type of Obligor</w:t>
            </w:r>
          </w:p>
        </w:tc>
      </w:tr>
      <w:tr>
        <w:trPr>
          <w:trHeight w:val="20"/>
        </w:trPr>
        <w:tc>
          <w:tcPr>
            <w:tcW w:w="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RHP Hotel Properties, LP</w:t>
            </w:r>
          </w:p>
        </w:tc>
        <w:tc>
          <w:tcPr>
            <w:tcW w:w="72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c>
          <w:tcPr>
            <w:tcW w:w="540" w:type="dxa"/>
            <w:vAlign w:val="bottom"/>
          </w:tcPr>
          <w:p>
            <w:pPr>
              <w:spacing w:after="0"/>
              <w:rPr>
                <w:sz w:val="22"/>
                <w:szCs w:val="22"/>
                <w:color w:val="auto"/>
              </w:rPr>
            </w:pP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Finance Corporation</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Opryland Hospitality,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Tennessee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Hotels,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Partner,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GP, LP</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Florida</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LP</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NH,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Maryland</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SA,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805"/>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80" w:firstLine="656"/>
        <w:spacing w:after="0" w:line="26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9832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Fioravanti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29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6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8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451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March 31, 2024,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2, 2024</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2, 2024</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upperLetter"/>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51" Type="http://schemas.openxmlformats.org/officeDocument/2006/relationships/hyperlink" Target="http://www.sec.gov/Archives/edgar/data/1040829/000119312512410191/d419132dex31.htm" TargetMode="External"/><Relationship Id="rId52" Type="http://schemas.openxmlformats.org/officeDocument/2006/relationships/hyperlink" Target="https://www.sec.gov/Archives/edgar/data/1040829/000155837023002012/rhp-20221231xex3d2.htm" TargetMode="External"/><Relationship Id="rId53" Type="http://schemas.openxmlformats.org/officeDocument/2006/relationships/hyperlink" Target="https://www.sec.gov/Archives/edgar/data/1040829/000114036124016193/ny20024154x2_ex4-1.htm" TargetMode="External"/><Relationship Id="rId54" Type="http://schemas.openxmlformats.org/officeDocument/2006/relationships/hyperlink" Target="https://www.sec.gov/Archives/edgar/data/1040829/000114036124016193/ny20024154x2_ex4-1.htm#t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2024-05-02T14:09:50Z</dcterms:created>
  <dcterms:modified xsi:type="dcterms:W3CDTF">2024-05-02T14:09:50Z</dcterms:modified>
</cp:coreProperties>
</file>