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386080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80" w:lineRule="exact"/>
        <w:rPr>
          <w:sz w:val="24"/>
          <w:szCs w:val="24"/>
          <w:color w:val="auto"/>
        </w:rPr>
      </w:pPr>
    </w:p>
    <w:p>
      <w:pPr>
        <w:ind w:left="3120" w:right="980" w:hanging="3112"/>
        <w:spacing w:after="0" w:line="282"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234"/>
        </w:trPr>
        <w:tc>
          <w:tcPr>
            <w:tcW w:w="3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32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280" w:type="dxa"/>
            <w:vAlign w:val="bottom"/>
          </w:tcPr>
          <w:p>
            <w:pPr>
              <w:spacing w:after="0"/>
              <w:rPr>
                <w:sz w:val="19"/>
                <w:szCs w:val="19"/>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7" w:lineRule="exact"/>
        <w:rPr>
          <w:sz w:val="24"/>
          <w:szCs w:val="24"/>
          <w:color w:val="auto"/>
        </w:rPr>
      </w:pPr>
    </w:p>
    <w:p>
      <w:pPr>
        <w:jc w:val="both"/>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680"/>
        <w:spacing w:after="0" w:line="23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3" w:lineRule="exact"/>
        <w:rPr>
          <w:sz w:val="24"/>
          <w:szCs w:val="24"/>
          <w:color w:val="auto"/>
        </w:rPr>
      </w:pPr>
    </w:p>
    <w:p>
      <w:pPr>
        <w:ind w:right="76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October 31, 2020</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60" w:type="dxa"/>
            <w:vAlign w:val="bottom"/>
          </w:tcPr>
          <w:p>
            <w:pPr>
              <w:spacing w:after="0"/>
              <w:rPr>
                <w:sz w:val="19"/>
                <w:szCs w:val="19"/>
                <w:color w:val="auto"/>
              </w:rPr>
            </w:pPr>
          </w:p>
        </w:tc>
        <w:tc>
          <w:tcPr>
            <w:tcW w:w="4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54,981,313 shares</w:t>
            </w:r>
          </w:p>
        </w:tc>
      </w:tr>
      <w:tr>
        <w:trPr>
          <w:trHeight w:val="319"/>
        </w:trPr>
        <w:tc>
          <w:tcPr>
            <w:tcW w:w="4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r>
        <w:trPr>
          <w:trHeight w:val="82"/>
        </w:trPr>
        <w:tc>
          <w:tcPr>
            <w:tcW w:w="47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500" w:type="dxa"/>
            <w:vAlign w:val="bottom"/>
            <w:gridSpan w:val="7"/>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60" w:type="dxa"/>
            <w:vAlign w:val="bottom"/>
            <w:gridSpan w:val="6"/>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500" w:type="dxa"/>
            <w:vAlign w:val="bottom"/>
            <w:gridSpan w:val="7"/>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30, 2020</w:t>
            </w:r>
          </w:p>
        </w:tc>
        <w:tc>
          <w:tcPr>
            <w:tcW w:w="780" w:type="dxa"/>
            <w:vAlign w:val="bottom"/>
          </w:tcPr>
          <w:p>
            <w:pPr>
              <w:spacing w:after="0"/>
              <w:rPr>
                <w:sz w:val="24"/>
                <w:szCs w:val="24"/>
                <w:color w:val="auto"/>
              </w:rPr>
            </w:pPr>
          </w:p>
        </w:tc>
      </w:tr>
      <w:tr>
        <w:trPr>
          <w:trHeight w:val="392"/>
        </w:trPr>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60" w:type="dxa"/>
            <w:vAlign w:val="bottom"/>
            <w:gridSpan w:val="6"/>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5"/>
        </w:trPr>
        <w:tc>
          <w:tcPr>
            <w:tcW w:w="8120" w:type="dxa"/>
            <w:vAlign w:val="bottom"/>
            <w:gridSpan w:val="9"/>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 Financial Information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391"/>
        </w:trPr>
        <w:tc>
          <w:tcPr>
            <w:tcW w:w="1200" w:type="dxa"/>
            <w:vAlign w:val="bottom"/>
          </w:tcPr>
          <w:p>
            <w:pPr>
              <w:spacing w:after="0"/>
              <w:rPr>
                <w:sz w:val="24"/>
                <w:szCs w:val="24"/>
                <w:color w:val="auto"/>
              </w:rPr>
            </w:pPr>
          </w:p>
        </w:tc>
        <w:tc>
          <w:tcPr>
            <w:tcW w:w="5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(Unaudited) – September 30, 2020 and</w:t>
              </w:r>
            </w:hyperlink>
          </w:p>
        </w:tc>
        <w:tc>
          <w:tcPr>
            <w:tcW w:w="11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December 31, 2019</w:t>
              </w:r>
            </w:hyperlink>
          </w:p>
        </w:tc>
        <w:tc>
          <w:tcPr>
            <w:tcW w:w="5500" w:type="dxa"/>
            <w:vAlign w:val="bottom"/>
            <w:gridSpan w:val="7"/>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1200" w:type="dxa"/>
            <w:vAlign w:val="bottom"/>
          </w:tcPr>
          <w:p>
            <w:pPr>
              <w:spacing w:after="0"/>
              <w:rPr>
                <w:sz w:val="24"/>
                <w:szCs w:val="24"/>
                <w:color w:val="auto"/>
              </w:rPr>
            </w:pPr>
          </w:p>
        </w:tc>
        <w:tc>
          <w:tcPr>
            <w:tcW w:w="6920" w:type="dxa"/>
            <w:vAlign w:val="bottom"/>
            <w:gridSpan w:val="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and Comprehensive Income</w:t>
              </w:r>
            </w:hyperlink>
          </w:p>
        </w:tc>
        <w:tc>
          <w:tcPr>
            <w:tcW w:w="78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6920" w:type="dxa"/>
            <w:vAlign w:val="bottom"/>
            <w:gridSpan w:val="8"/>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 For the Three Months and Nine Months Ended September 30, 2020 and 2019</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391"/>
        </w:trPr>
        <w:tc>
          <w:tcPr>
            <w:tcW w:w="1200" w:type="dxa"/>
            <w:vAlign w:val="bottom"/>
          </w:tcPr>
          <w:p>
            <w:pPr>
              <w:spacing w:after="0"/>
              <w:rPr>
                <w:sz w:val="24"/>
                <w:szCs w:val="24"/>
                <w:color w:val="auto"/>
              </w:rPr>
            </w:pPr>
          </w:p>
        </w:tc>
        <w:tc>
          <w:tcPr>
            <w:tcW w:w="6920" w:type="dxa"/>
            <w:vAlign w:val="bottom"/>
            <w:gridSpan w:val="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(Unaudited) - For the Nine Months</w:t>
              </w:r>
            </w:hyperlink>
          </w:p>
        </w:tc>
        <w:tc>
          <w:tcPr>
            <w:tcW w:w="7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Ended September 30, 2020 and 2019</w:t>
              </w:r>
            </w:hyperlink>
          </w:p>
        </w:tc>
        <w:tc>
          <w:tcPr>
            <w:tcW w:w="3620" w:type="dxa"/>
            <w:vAlign w:val="bottom"/>
            <w:tcBorders>
              <w:top w:val="single" w:sz="8" w:color="0000EE"/>
            </w:tcBorders>
            <w:gridSpan w:val="4"/>
          </w:tcPr>
          <w:p>
            <w:pPr>
              <w:spacing w:after="0"/>
              <w:rPr>
                <w:sz w:val="17"/>
                <w:szCs w:val="17"/>
                <w:color w:val="auto"/>
              </w:rPr>
            </w:pPr>
          </w:p>
        </w:tc>
        <w:tc>
          <w:tcPr>
            <w:tcW w:w="64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1200" w:type="dxa"/>
            <w:vAlign w:val="bottom"/>
          </w:tcPr>
          <w:p>
            <w:pPr>
              <w:spacing w:after="0"/>
              <w:rPr>
                <w:sz w:val="24"/>
                <w:szCs w:val="24"/>
                <w:color w:val="auto"/>
              </w:rPr>
            </w:pPr>
          </w:p>
        </w:tc>
        <w:tc>
          <w:tcPr>
            <w:tcW w:w="67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Equity and Noncontrolling Interest (Unaudited) - For</w:t>
              </w:r>
            </w:hyperlink>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5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the Three Months and Nine Months Ended September 30, 2020 and 2019</w:t>
              </w:r>
            </w:hyperlink>
          </w:p>
        </w:tc>
        <w:tc>
          <w:tcPr>
            <w:tcW w:w="164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453"/>
        </w:trPr>
        <w:tc>
          <w:tcPr>
            <w:tcW w:w="1200" w:type="dxa"/>
            <w:vAlign w:val="bottom"/>
          </w:tcPr>
          <w:p>
            <w:pPr>
              <w:spacing w:after="0"/>
              <w:rPr>
                <w:sz w:val="24"/>
                <w:szCs w:val="24"/>
                <w:color w:val="auto"/>
              </w:rPr>
            </w:pPr>
          </w:p>
        </w:tc>
        <w:tc>
          <w:tcPr>
            <w:tcW w:w="6920" w:type="dxa"/>
            <w:vAlign w:val="bottom"/>
            <w:gridSpan w:val="8"/>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Item 4. Controls and Procedures.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32"/>
        </w:trPr>
        <w:tc>
          <w:tcPr>
            <w:tcW w:w="8120" w:type="dxa"/>
            <w:vAlign w:val="bottom"/>
            <w:gridSpan w:val="9"/>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Part II - Other Information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Item 1. Legal Proceedings.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Item 1A. Risk Factors.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Item 3. Defaults Upon Senior Securities.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Item 4. Mine Safety Disclosures.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Item 5. Other Information.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432"/>
        </w:trPr>
        <w:tc>
          <w:tcPr>
            <w:tcW w:w="8120" w:type="dxa"/>
            <w:vAlign w:val="bottom"/>
            <w:gridSpan w:val="9"/>
          </w:tcPr>
          <w:p>
            <w:pPr>
              <w:ind w:left="64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u w:val="single" w:color="auto"/>
                  <w:color w:val="0000EE"/>
                </w:rPr>
                <w:t>Item 6. Exhibits</w:t>
              </w:r>
              <w:r>
                <w:rPr>
                  <w:rFonts w:ascii="Times New Roman" w:cs="Times New Roman" w:eastAsia="Times New Roman" w:hAnsi="Times New Roman"/>
                  <w:sz w:val="18"/>
                  <w:szCs w:val="18"/>
                  <w:color w:val="0000EE"/>
                </w:rPr>
                <w:t>.</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432"/>
        </w:trPr>
        <w:tc>
          <w:tcPr>
            <w:tcW w:w="8120" w:type="dxa"/>
            <w:vAlign w:val="bottom"/>
            <w:gridSpan w:val="9"/>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SIGNATURES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6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(including $944,731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$979,012 from VIEs, respectively)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3,128,617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$ 3,130,252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and cash equivalents - unrestricted (including $17,713 and $33,772 from VIEs,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and cash equivalents - restricted (including $7,198 and $3,653 from VIEs,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receivable,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receivables, net (including $1,524 and $16,523 from VIEs, respectively)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 (including $24,462 and $27,888 from VIEs, respectively)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 assets (including $172,366 and $202,366 from VIEs, 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7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3,587,751</w:t>
            </w:r>
          </w:p>
        </w:tc>
        <w:tc>
          <w:tcPr>
            <w:tcW w:w="1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$ 4,088,468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Debt and finance lease obligations (including $793,876 and $792,696 from VIEs,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2,586,972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$ 2,559,968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payable and accrued liabilities (including $44,797 and $57,590 from VIEs,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management rights proceeds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173,499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liabilities (including $21,994 and $2,174 from VIEs, 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3,187,515</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$.01 par value, 100,000 shares authorized, no shares issued 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$.01 par value, 400,000 shares authorized, 54,981 and 54,897 shares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of 648 and 619 shares, at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271,926</w:t>
            </w:r>
          </w:p>
        </w:tc>
        <w:tc>
          <w:tcPr>
            <w:tcW w:w="1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287,073</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3,587,751</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$ 4,088,468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Rooms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133,417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Food and beverage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163,477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499,346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hotel revenue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Entertainment</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51,530</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379,787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1,158,281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Rooms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47,060</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Food and beverage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hotel expenses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91,608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192,480</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273,074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Management fees, net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hotel operating expenses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359,920</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Entertainment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Corporate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22,693</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Preopening costs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 on sale of assets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Credit loss on held-to-maturity securities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53,876</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161,232</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160,560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173,415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323,284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637,111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962,498</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(239,151)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Loss from unconsolidated joint ventures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gains and (losses), net</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(341,226)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(368,272)</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89,844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 in consolidated joint venture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30,280</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 in Operating Partnership</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(337,667)</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income (loss) per share available to common stockholders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Diluted income (loss) per share available to common stockholders</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net of taxes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(411,323)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net of taxes, attributable to noncontrolling interest</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37,850</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(loss), net of taxes, available to common stockholders</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(123,509)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16,650</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(373,473)</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74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(368,272)</w:t>
            </w:r>
          </w:p>
        </w:tc>
        <w:tc>
          <w:tcPr>
            <w:tcW w:w="38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89,844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(loss) to net cash flows provided by operating activities: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26,607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10,865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161,232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160,560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5,889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5,805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Credit loss on held-to-maturity securities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32,784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Forfeiture of Block21 earnest deposit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Write-off of deferred financing costs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2,833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from unconsolidated joint ventures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5,482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6,623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5,862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56,950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(15,244)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(57,024)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(19,905)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2,152</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(9,954)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operating activities</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(112,331)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231,141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(124,581)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(109,603)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2,985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13,211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additional interest in Gaylord Rockies joint venture, net of cash acquired</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(5,481)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other joint ventures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(8,761)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(2,241)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(1,304)</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(131,661)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(103,878)</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Net borrowings (repayments) under revolving credit facility</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35,000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(302,000)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(3,750)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(3,750)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Redemption of senior notes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(350,000)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 under Gaylord Rockies term loan</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 of Gaylord Rockies construction and mezzanine loans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(496,612)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(1,528)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(17,587)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dividends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(102,325)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(137,037)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Distributions from consolidated joint venture to noncontrolling interest partners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(105,793)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(1,688)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(3,965)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(188)</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(75,471)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(116,893)</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(319,463)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10,370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420,396</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149,089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580" w:type="dxa"/>
            <w:vAlign w:val="bottom"/>
          </w:tcPr>
          <w:p>
            <w:pPr>
              <w:spacing w:after="0"/>
              <w:rPr>
                <w:sz w:val="17"/>
                <w:szCs w:val="17"/>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100,933</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159,459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740" w:type="dxa"/>
            <w:vAlign w:val="bottom"/>
            <w:gridSpan w:val="2"/>
            <w:shd w:val="clear" w:color="auto" w:fill="CCEEFF"/>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52,162</w:t>
            </w:r>
          </w:p>
        </w:tc>
        <w:tc>
          <w:tcPr>
            <w:tcW w:w="380" w:type="dxa"/>
            <w:vAlign w:val="bottom"/>
            <w:gridSpan w:val="2"/>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101,786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48,771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57,673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100,933</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159,459</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5"/>
              </w:rPr>
              <w:t>Noncontrolling</w:t>
            </w:r>
          </w:p>
        </w:tc>
      </w:tr>
      <w:tr>
        <w:trPr>
          <w:trHeight w:val="135"/>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200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78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Operating</w:t>
            </w:r>
          </w:p>
        </w:tc>
        <w:tc>
          <w:tcPr>
            <w:tcW w:w="100" w:type="dxa"/>
            <w:vAlign w:val="bottom"/>
          </w:tcPr>
          <w:p>
            <w:pPr>
              <w:spacing w:after="0"/>
              <w:rPr>
                <w:sz w:val="11"/>
                <w:szCs w:val="11"/>
                <w:color w:val="auto"/>
              </w:rPr>
            </w:pPr>
          </w:p>
        </w:tc>
        <w:tc>
          <w:tcPr>
            <w:tcW w:w="6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Partnership</w:t>
            </w:r>
          </w:p>
        </w:tc>
        <w:tc>
          <w:tcPr>
            <w:tcW w:w="10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8"/>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2019</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$ 1,185,168</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(17,315)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(495,514)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(28,159)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221,511</w:t>
            </w:r>
          </w:p>
        </w:tc>
      </w:tr>
      <w:tr>
        <w:trPr>
          <w:trHeight w:val="135"/>
        </w:trPr>
        <w:tc>
          <w:tcPr>
            <w:tcW w:w="2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(46,516)</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(46,516)</w:t>
            </w: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(46,516)</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(4,220)</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(54,265)</w:t>
            </w:r>
          </w:p>
        </w:tc>
      </w:tr>
      <w:tr>
        <w:trPr>
          <w:trHeight w:val="117"/>
        </w:trPr>
        <w:tc>
          <w:tcPr>
            <w:tcW w:w="20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Transition adjustment related to</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adoption of ASU 2016-13</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(5,343)</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(3,185)</w:t>
            </w: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(3,185)</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(37,437)</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(37,437)</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(37,437)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Payment of dividends ($0.95 per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(557)</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(51,996)</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(52,406)</w:t>
            </w: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(52,406)</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(1,660)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(1,659)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(1,659)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2020</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$ 1,185,885</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(17,872)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(545,104)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(63,438)</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560,021</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560,021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163,026</w:t>
            </w:r>
          </w:p>
        </w:tc>
      </w:tr>
      <w:tr>
        <w:trPr>
          <w:trHeight w:val="129"/>
        </w:trPr>
        <w:tc>
          <w:tcPr>
            <w:tcW w:w="20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(173,492)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(173,492)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(173,492)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(14,167)</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(6,174)</w:t>
            </w:r>
          </w:p>
        </w:tc>
      </w:tr>
      <w:tr>
        <w:trPr>
          <w:trHeight w:val="117"/>
        </w:trPr>
        <w:tc>
          <w:tcPr>
            <w:tcW w:w="20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(1,189)</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(1,189)</w:t>
            </w: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(1,189)</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Payment of dividends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(595)</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Distribution from consolidated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2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joint venture to noncontrolling</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3"/>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partners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2020</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$ 1,188,046</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(711,798)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(64,627)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393,704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393,704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141,693</w:t>
            </w:r>
          </w:p>
        </w:tc>
      </w:tr>
      <w:tr>
        <w:trPr>
          <w:trHeight w:val="129"/>
        </w:trPr>
        <w:tc>
          <w:tcPr>
            <w:tcW w:w="20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(117,659)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(117,659)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(117,984)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(11,893)</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(333)</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17"/>
        </w:trPr>
        <w:tc>
          <w:tcPr>
            <w:tcW w:w="20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Issuance of partnership units in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Partnership</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(4,425)</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(4,425)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(4,425)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Payment of dividends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Redemption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(16,970)</w:t>
            </w:r>
          </w:p>
        </w:tc>
      </w:tr>
      <w:tr>
        <w:trPr>
          <w:trHeight w:val="117"/>
        </w:trPr>
        <w:tc>
          <w:tcPr>
            <w:tcW w:w="200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3"/>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0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Stock-based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53"/>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September 30, 2020</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550</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$ 1,190,160</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(831,265)</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(69,052)</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271,926</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15,147</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287,073</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113,163</w:t>
            </w:r>
          </w:p>
        </w:tc>
      </w:tr>
      <w:tr>
        <w:trPr>
          <w:trHeight w:val="20"/>
        </w:trPr>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214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78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6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8"/>
        </w:trPr>
        <w:tc>
          <w:tcPr>
            <w:tcW w:w="21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2018</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513</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$ 900,795</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(15,183)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(388,524)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(28,024)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469,577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$ 469,577</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287,433</w:t>
            </w:r>
          </w:p>
        </w:tc>
      </w:tr>
      <w:tr>
        <w:trPr>
          <w:trHeight w:val="135"/>
        </w:trPr>
        <w:tc>
          <w:tcPr>
            <w:tcW w:w="21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29,408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29,408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(6,738)</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 interest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(10,420)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(10,420)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(10,420)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10,420</w:t>
            </w:r>
          </w:p>
        </w:tc>
      </w:tr>
      <w:tr>
        <w:trPr>
          <w:trHeight w:val="117"/>
        </w:trPr>
        <w:tc>
          <w:tcPr>
            <w:tcW w:w="21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Transition adjustment related to</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adoption of ASU 2018-02</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(2,707)</w:t>
            </w: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1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Payment of dividends ($0.90 per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(504)</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(46,076)</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(46,412)</w:t>
            </w:r>
          </w:p>
        </w:tc>
        <w:tc>
          <w:tcPr>
            <w:tcW w:w="80" w:type="dxa"/>
            <w:vAlign w:val="bottom"/>
          </w:tcPr>
          <w:p>
            <w:pPr>
              <w:spacing w:after="0"/>
              <w:rPr>
                <w:sz w:val="13"/>
                <w:szCs w:val="13"/>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(46,412)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(3,825)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(3,824)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(3,824)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1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4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1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2019</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514</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$ 899,164</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(15,687)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(412,905)</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(30,622)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440,464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$ 440,464</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291,115</w:t>
            </w:r>
          </w:p>
        </w:tc>
      </w:tr>
      <w:tr>
        <w:trPr>
          <w:trHeight w:val="129"/>
        </w:trPr>
        <w:tc>
          <w:tcPr>
            <w:tcW w:w="21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49,383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49,383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5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49,383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(3,099)</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 interest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(10,293)</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(10,293)</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(10,293)</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10,293</w:t>
            </w:r>
          </w:p>
        </w:tc>
      </w:tr>
      <w:tr>
        <w:trPr>
          <w:trHeight w:val="117"/>
        </w:trPr>
        <w:tc>
          <w:tcPr>
            <w:tcW w:w="21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Payment of dividends ($0.90 per</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(46,593)</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(46,500)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(46,500)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1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Distribution from consolidated joint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21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venture to noncontrolling interest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3"/>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partners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(10,591)</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1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1,935</w:t>
            </w:r>
          </w:p>
        </w:tc>
        <w:tc>
          <w:tcPr>
            <w:tcW w:w="14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1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2019</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514</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$ 901,129</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(15,687)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(420,408)</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(30,524)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435,024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$ 435,024</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287,718</w:t>
            </w:r>
          </w:p>
        </w:tc>
      </w:tr>
      <w:tr>
        <w:trPr>
          <w:trHeight w:val="129"/>
        </w:trPr>
        <w:tc>
          <w:tcPr>
            <w:tcW w:w="21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5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(1,459)</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 interest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(90,877)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(90,877)</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(90,877)</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90,877</w:t>
            </w:r>
          </w:p>
        </w:tc>
      </w:tr>
      <w:tr>
        <w:trPr>
          <w:trHeight w:val="117"/>
        </w:trPr>
        <w:tc>
          <w:tcPr>
            <w:tcW w:w="21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(7,593)</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(7,593)</w:t>
            </w:r>
          </w:p>
        </w:tc>
        <w:tc>
          <w:tcPr>
            <w:tcW w:w="80" w:type="dxa"/>
            <w:vAlign w:val="bottom"/>
          </w:tcPr>
          <w:p>
            <w:pPr>
              <w:spacing w:after="0"/>
              <w:rPr>
                <w:sz w:val="13"/>
                <w:szCs w:val="13"/>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(7,593)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additional ownership</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 consolidated joint venture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(2,899)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(2,899)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(2,899)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(2,582)</w:t>
            </w:r>
          </w:p>
        </w:tc>
      </w:tr>
      <w:tr>
        <w:trPr>
          <w:trHeight w:val="117"/>
        </w:trPr>
        <w:tc>
          <w:tcPr>
            <w:tcW w:w="21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Payment of dividends ($0.90 per</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(1,076)</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(45,467)</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(46,408)</w:t>
            </w:r>
          </w:p>
        </w:tc>
        <w:tc>
          <w:tcPr>
            <w:tcW w:w="80" w:type="dxa"/>
            <w:vAlign w:val="bottom"/>
          </w:tcPr>
          <w:p>
            <w:pPr>
              <w:spacing w:after="0"/>
              <w:rPr>
                <w:sz w:val="13"/>
                <w:szCs w:val="13"/>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(46,408)</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1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1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Distribution from consolidated joint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21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venture to noncontrolling interest</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3"/>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partners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(95,202)</w:t>
            </w:r>
          </w:p>
        </w:tc>
      </w:tr>
      <w:tr>
        <w:trPr>
          <w:trHeight w:val="117"/>
        </w:trPr>
        <w:tc>
          <w:tcPr>
            <w:tcW w:w="21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1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1,901</w:t>
            </w:r>
          </w:p>
        </w:tc>
        <w:tc>
          <w:tcPr>
            <w:tcW w:w="14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21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September 30, 2019</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$ 900,247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(16,763)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(534,403)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311,478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$ 311,478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279,352</w:t>
            </w:r>
          </w:p>
        </w:tc>
      </w:tr>
      <w:tr>
        <w:trPr>
          <w:trHeight w:val="20"/>
        </w:trPr>
        <w:tc>
          <w:tcPr>
            <w:tcW w:w="2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23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The Company’s other owned hotel assets managed by Marriott include the Inn at Opryland, an overflow hotel adjacent to Gaylord Opryland, and the AC Hotel at National Harbor, Washington D.C. (“AC Hotel”), an overflow hotel adjacent to Gaylord National.</w:t>
      </w:r>
    </w:p>
    <w:p>
      <w:pPr>
        <w:spacing w:after="0" w:line="151"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color w:val="auto"/>
        </w:rPr>
        <w:t>At September 30, 2020, the Company also owns a 65% interest in a joint venture (the “Gaylord Rockies joint venture”) that owns the Gaylord Rockies Resort &amp; Convention Center near Denver, Colorado (“Gaylord Rockies”), which opened in December 2018 and is managed by Marriott. As further discussed in the Company’s Annual Report on Form 10-K for</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the year ended December 31, 2019, management has concluded that the Company is the primary beneficiary of this variable interest entity. As such, the Company has consolidated the assets, liabilities and results of operations of the Gaylord Rockies joint venture in the accompanying condensed consolidated financial statements. The portion of the Gaylord Rockies joint venture that the Company does not own is recorded as noncontrolling interest in consolidated joint venture in the accompanying condensed consolidated balance sheet, and any adjustment necessary to reflect the noncontrolling interest at its redemption value is shown in the accompanying condensed consolidated statements of equity. Creditors of the Gaylord Rockies joint venture have no recourse to the general credit of the Company, except with respect to certain limited loan guarantees as discussed in Note 13, “Commitments and Contingencies” to the condensed consolidated financial statements included herein.</w:t>
      </w:r>
    </w:p>
    <w:p>
      <w:pPr>
        <w:spacing w:after="0" w:line="15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and three Nashville-based assets managed by Marriott – Gaylord Springs Golf Links (“Gaylord Springs”), the Wildhorse Saloon, and the General Jackson Showboat. The Company also owns a 50% interest in a joint venture intended to create and distribute a linear multicast and over-the-top channel dedicated to the country music lifestyle (“Circle”), which launched its broadcast network on January 1, 2020. See Note 13, “Commitments and Contingencies” to the condensed consolidated financial statements included herein for further disclosure.</w:t>
      </w:r>
    </w:p>
    <w:p>
      <w:pPr>
        <w:spacing w:after="0" w:line="165"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2019.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4"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0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disease (COVID-19) as a pandemic, which continues to spread throughout the United States. COVID-19 is having an unprecedented impact on the U.S. economy, and there is significant uncertainty surrounding the full extent of its impact on the Company’s future results of operations and financial position.</w:t>
      </w:r>
    </w:p>
    <w:p>
      <w:pPr>
        <w:spacing w:after="0" w:line="13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in consultation with local governmental authorities, first determined to close its Nashville-based entertainment venues in mid-March 2020. As cancellations at the Gaylord Hotels properties began to increase, the Company and its hotel manager, Marriott, implemented a series of operational changes, culminating with the suspension of operations at the Gaylord Hotels properties in late March 2020. Gaylord Texan reopened June 8, 2020, and Gaylord Opryland, Gaylord Palms and Gaylord Rockies reopened June 25, 2020. Gaylord National remains closed. Hotel employees that were laid off or furloughed were generally paid the equivalent of one week of compensation, and benefits for non-union hotel employees have been maintained throughout the individual properties’ closures.</w:t>
      </w:r>
    </w:p>
    <w:p>
      <w:pPr>
        <w:spacing w:after="0" w:line="14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the Company’s Entertainment segment, in addition to the temporary closure of its entertainment assets, the Company took steps to reduce operating costs in all areas. Many of the Company’s Nashville-based attractions reopened at reduced capacities in May and June 2020. The Grand Ole Opry and Ryman Auditorium began offering limited-capacity tours in June 2020, and in September 2020, they reopened for limited-capacity publicly attended performances. The Company’s decision to offer publicly attended performances with additional capacity will be based on a number of factors and made in consultation with local health authorities.</w:t>
      </w:r>
    </w:p>
    <w:p>
      <w:pPr>
        <w:spacing w:after="0" w:line="16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amended its credit facility on April 23, 2020, as described in Note 7, “Debt.” The Company continues to pay all required debt service payments on its indebtedness, lease payments, taxes and other payables.</w:t>
      </w:r>
    </w:p>
    <w:p>
      <w:pPr>
        <w:spacing w:after="0" w:line="121"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At September 30, 2020, the Company had an additional $664.1 million available for borrowing under its revolving credit facility and $52.2 million in unrestricted cash on hand. In addition, following the payment of the Company’s first quarter 2020 dividend as discussed in Note 14, “Equity,” to the condensed consolidated financial statements included herein, the Company suspended its regular quarterly dividend payments for the remainder of 2020. The Company’s board of directors will consider a future dividend as permitted by the Company’s credit agreement. The Company’s credit agreement amendment described in Note 7, “Debt,” to the condensed consolidated financial statements included herein, permits payment of dividends as necessary to maintain the Company’s REIT status and permits the Company to pay a dividend of $0.01 per share each quarter. Any future dividend is subject to the Company’s board of director’s determinations as to the amount of distributions and timing thereof.</w:t>
      </w:r>
    </w:p>
    <w:p>
      <w:pPr>
        <w:spacing w:after="0" w:line="14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has deferred substantially all non-essential capital projects, in addition to delaying the Gaylord Rockies expansion project, which was scheduled to begin construction in second quarter 2020. The Gaylord Palms expansion project is continuing, and the Company believes the expansion will allow Gaylord Palms to serve groups moving meetings to 2021.</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Termination of Block 21 Acquisition</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an agreement to purchase Block 21, a mixed-use entertainment, lodging, office and retail complex located in Austin, Texas, for $275 million, which included the assumption of approximately $141 million of existing mortgage debt. In May 2020, in response to the then-existing capital markets and economic environment caused by the COVID-19 pandemic, the Company determined it was not in the best interest of shareholders to focus resources and capital on the project and terminated the purchase agreement. The Company forfeited a nonrefundable December 2019 deposit of $15.0 million and recorded a loss, which is included in other gains and (losses), net in the accompanying condensed consolidated statements of operations for the nine months ended September 30, 2020.</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w:t>
      </w:r>
    </w:p>
    <w:p>
      <w:pPr>
        <w:spacing w:after="0" w:line="27" w:lineRule="exact"/>
        <w:rPr>
          <w:sz w:val="20"/>
          <w:szCs w:val="20"/>
          <w:color w:val="auto"/>
        </w:rPr>
      </w:pPr>
    </w:p>
    <w:p>
      <w:pPr>
        <w:ind w:left="60" w:right="299"/>
        <w:spacing w:after="0" w:line="290" w:lineRule="auto"/>
        <w:rPr>
          <w:sz w:val="20"/>
          <w:szCs w:val="20"/>
          <w:color w:val="auto"/>
        </w:rPr>
      </w:pPr>
      <w:r>
        <w:rPr>
          <w:rFonts w:ascii="Times New Roman" w:cs="Times New Roman" w:eastAsia="Times New Roman" w:hAnsi="Times New Roman"/>
          <w:sz w:val="17"/>
          <w:szCs w:val="17"/>
          <w:color w:val="auto"/>
        </w:rPr>
        <w:t>No. 2016-13, “</w:t>
      </w:r>
      <w:r>
        <w:rPr>
          <w:rFonts w:ascii="Times New Roman" w:cs="Times New Roman" w:eastAsia="Times New Roman" w:hAnsi="Times New Roman"/>
          <w:sz w:val="17"/>
          <w:szCs w:val="17"/>
          <w:i w:val="1"/>
          <w:iCs w:val="1"/>
          <w:color w:val="auto"/>
        </w:rPr>
        <w:t>Financial Instruments – Credit Losses – Measurement of Credit Losses on Financial Instruments</w:t>
      </w:r>
      <w:r>
        <w:rPr>
          <w:rFonts w:ascii="Times New Roman" w:cs="Times New Roman" w:eastAsia="Times New Roman" w:hAnsi="Times New Roman"/>
          <w:sz w:val="17"/>
          <w:szCs w:val="17"/>
          <w:color w:val="auto"/>
        </w:rPr>
        <w:t>,” which changes how entities measure credit losses for most financial assets and certain other instruments that are not measured</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at fair value through net income. The ASU replaces the previous “incurred loss” approach with an “expected loss” model for instruments measured at amortized cost. For trade and other receivables, held-to-maturity debt securities, loans and other instruments, entities are required to use a new forward-looking “expected loss” model that generally will result in the earlier recognition of allowances for losses. The Company has applied these amendments with a modified-retrospective approach, with a cumulative-effect adjustment to retained earnings as of the beginning of the period of adoption. For debt securities for which an other-than-temporary impairment has been previously recognized, a prospective transition approach for the prior other-than-temporary impairment is required. The Company adopted this ASU in the first quarter of 2020 and recorded an adjustment to beginning retained earnings of $5.3 million and an adjustment to accumulated other comprehensive loss of $2.2 million. See Note 4, “Accumulated Other Comprehensive Loss” and Note 6, “Notes Receivable” for additional disclosure.</w:t>
      </w:r>
    </w:p>
    <w:p>
      <w:pPr>
        <w:spacing w:after="0" w:line="165"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 Facilitation of the Effects of 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on Financial Reporting</w:t>
      </w:r>
      <w:r>
        <w:rPr>
          <w:rFonts w:ascii="Times New Roman" w:cs="Times New Roman" w:eastAsia="Times New Roman" w:hAnsi="Times New Roman"/>
          <w:sz w:val="18"/>
          <w:szCs w:val="18"/>
          <w:color w:val="auto"/>
        </w:rPr>
        <w:t>,” which provides temporary optional expedients and exceptions to the existing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51"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In October 2020, the FASB issued ASU No. 2020-09, “</w:t>
      </w:r>
      <w:r>
        <w:rPr>
          <w:rFonts w:ascii="Times New Roman" w:cs="Times New Roman" w:eastAsia="Times New Roman" w:hAnsi="Times New Roman"/>
          <w:sz w:val="18"/>
          <w:szCs w:val="18"/>
          <w:i w:val="1"/>
          <w:iCs w:val="1"/>
          <w:color w:val="auto"/>
        </w:rPr>
        <w:t>Debt – Amendments to SEC Paragraphs Pursuant to SEC 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33-10762</w:t>
      </w:r>
      <w:r>
        <w:rPr>
          <w:rFonts w:ascii="Times New Roman" w:cs="Times New Roman" w:eastAsia="Times New Roman" w:hAnsi="Times New Roman"/>
          <w:sz w:val="18"/>
          <w:szCs w:val="18"/>
          <w:color w:val="auto"/>
        </w:rPr>
        <w:t>,” which addresses disclosure rules on guaranteed debt securities offerings. The new rules allow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summarized information regarding issuer and guarantor subsidiaries, as well as the option to provide the required disclosures in a footnote to the consolidated financial statements or in management’s discussion and analysis of financial condition and results of operations. The updated guidance is effective for the Company in January 2021; however, early adoption is permitted. The Company elected to adopt this guidance in the third quarter of 2020 and has included the applicable disclosures within management’s discussion and analysis of financial condition and results of operations in this Form 10-Q.</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0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301,932</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109,934</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104,961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354,678</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144,668</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111,684</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59,658</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47,504</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28,223</w:t>
            </w:r>
          </w:p>
        </w:tc>
      </w:tr>
      <w:tr>
        <w:trPr>
          <w:trHeight w:val="209"/>
        </w:trPr>
        <w:tc>
          <w:tcPr>
            <w:tcW w:w="2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379,787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397,960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1,158,281</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$ 17,514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278,131</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148,127</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207,873</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202,886</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165,628</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r>
      <w:tr>
        <w:trPr>
          <w:trHeight w:val="21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4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$ 57,978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328,257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1,022,896</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Tennessee.</w:t>
      </w:r>
    </w:p>
    <w:p>
      <w:pPr>
        <w:spacing w:after="0" w:line="185"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in its Hospitality segment and advanced ticketing in its Entertainment segment. At September 30, 2020 and December 31, 2019, the Company had $61.7 million and $76.7 million, respectively, in deferred revenues, which are included in accounts payable and accrued liabilities in the accompanying condensed consolidated balance sheets. Of the amount outstanding at December 31, 2019, approximately $44.8 million was recognized in revenue during the nine months ended September 30, 2020.</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INCOME (LOSS) PER SHARE: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number of common shares outstanding is calculated as follows (in thousands):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420" w:type="dxa"/>
            <w:vAlign w:val="bottom"/>
          </w:tcPr>
          <w:p>
            <w:pPr>
              <w:spacing w:after="0"/>
              <w:rPr>
                <w:sz w:val="15"/>
                <w:szCs w:val="15"/>
                <w:color w:val="auto"/>
              </w:rPr>
            </w:pP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4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51,411</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54,980</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51,832</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54,955</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51,826</w:t>
            </w:r>
          </w:p>
        </w:tc>
      </w:tr>
      <w:tr>
        <w:trPr>
          <w:trHeight w:val="20"/>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2020, the effect of dilutive stock-based compensation was the equivalent of 0.1 million shares of common stock outstanding. Because the Company had a loss from continuing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operations in the three months and nine months ended September 30, 2020, these incremental shares were excluded from the computation of dilutive earnings per share as the effect of their inclusion would have been anti-dilutive.</w:t>
      </w:r>
    </w:p>
    <w:p>
      <w:pPr>
        <w:spacing w:after="0" w:line="13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more fully discussed in Note 13, “Commitments and Contingencies,” to the condensed consolidated financial statements included herein, certain affiliates of Ares Management, L.P. (“Ares”) each had a put right to require the Company to purchase their joint venture interests in the Gaylord Rockies joint venture in consideration of cash or operating partnership units (“OP Units”) of RHP Hotel Properties, LP (the “Operating Partnership”). These put rights were exercised during the three months ended September 30, 2020. The OP Units held by the noncontrolling interest holders have been excluded from the denominator of the diluted loss per share calculation for the three months and nine months ended September 30, 2020 as there would be no effect on the calculation of diluted loss per share because the loss attributable to the OP Units held by the noncontrolling interest holders would also be subtracted to derive net loss available to common stockholders.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ACCUMULATED OTHER COMPREHENSIVE LOSS:</w:t>
      </w:r>
    </w:p>
    <w:p>
      <w:pPr>
        <w:spacing w:after="0" w:line="18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minimum pension liability discussed in Note 11, “Pension and Postretirement Benefits Other Than Pension Plans,” interest rate derivatives designated as cash flow hedges related to the Company’s and the Gaylord Rockies joint venture’s outstanding debt as discussed in Note 7, “Debt,” and amounts related to an other-than-temporary impairment of a held-to-maturity investment that existed prior to the Company’s adoption of ASU 2016-13 with respect to the notes receivable discussed in Note 6, “Notes Receivable,” to the condensed consolidated financial statements included herein, and Note 3, “Notes Receivable,” to the consolidated financial statements included in the Company’s Annual Report on Form 10-K for the year ended December 31, 2019. Changes in accumulated other comprehensive loss by component for the nine months ended September 30, 2020 and 2019 consisted of the following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(28,159)</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Losses arising during period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(51,132)</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(33,486)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(43,051)</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Transition adjustment related to adoption of ASU 2016-13 (see Note 1)</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2020</w:t>
            </w: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(33,639)</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(31,852)</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(28,024)</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Losses arising during period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(8,953)</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Transition adjustment related to adoption of ASU 2018-02</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2019</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0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Property and equipment, including right-of-use finance lease assets, at September 30, 2020 and December 31, 2019 is recorded at cost (except for right-of-use finance lease assets) and summarized as follows (in thousands):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349,024</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3,465,367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3,432,136</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968,858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82,906</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4,941,786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4,834,537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(1,704,285)</w:t>
            </w:r>
          </w:p>
        </w:tc>
      </w:tr>
      <w:tr>
        <w:trPr>
          <w:trHeight w:val="20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3,128,617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3,130,252</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2019, in connection with the development of Gaylord National, the Company holds two issuances of governmental bonds (“Series A bond” and “Series B bond”) with a total carrying value and approximate fair value of $70.4 million and $110.1 million at September 30, 2020 and December 31, 2019, respectively, net of credit loss reserve of $38.0 million and $0, respectively.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4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has the intent and ability to hold these bonds to maturity. In the first quarter of 2020, the Company recorded an initial transition adjustment of $5.2 million and has since performed its quarterly assessment of credit losses under the newly adopted credit loss standard discussed in Note 1, which considers the estimate of projected tax revenues that will service the Series B bond over its remaining term. These tax revenue projections were updated each quarter in connection with the Company’s preparation of its condensed consolidated financial statements included herein as a result of the closure of Gaylord National during the COVID-19 pandemic and to reflect updated industry projections as to future anticipated operations of the hotel. As a result of these reduced tax revenue projections over the remaining life of the Series B bond, the Company increased its credit loss reserve by $7.8 million and $32.8 million in the three months and nine months ended September 30, 2020. At September 30, 2020, the Series B bond is fully reserved. The Series A bond is of higher priority than other tranches which fall between the Company’s two issuances.</w:t>
      </w:r>
    </w:p>
    <w:p>
      <w:pPr>
        <w:spacing w:after="0" w:line="16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2020 and 2019, the Company recorded interest income of $1.5 million and $2.5 million, respectively, on these bonds. During the nine months ended September 30, 2020 and 2019, the Company recorded interest income of $4.7 million and $7.7 million, respectively, on these bonds. The Company received payments of $8.8 million and $11.3 million during the nine months ended September 30, 2020 and 2019, respectively, relating to these bonds. At September 30, 2020 and December 31, 2019, before consideration of the credit loss reserve, the Company had accrued interest receivable related to these bonds of $39.4 million and $38.2 million,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02" w:lineRule="exact"/>
        <w:rPr>
          <w:sz w:val="20"/>
          <w:szCs w:val="20"/>
          <w:color w:val="auto"/>
        </w:rPr>
      </w:pPr>
    </w:p>
    <w:p>
      <w:pPr>
        <w:ind w:left="60" w:right="759"/>
        <w:spacing w:after="0" w:line="261" w:lineRule="auto"/>
        <w:rPr>
          <w:sz w:val="20"/>
          <w:szCs w:val="20"/>
          <w:color w:val="auto"/>
        </w:rPr>
      </w:pPr>
      <w:r>
        <w:rPr>
          <w:rFonts w:ascii="Times New Roman" w:cs="Times New Roman" w:eastAsia="Times New Roman" w:hAnsi="Times New Roman"/>
          <w:sz w:val="18"/>
          <w:szCs w:val="18"/>
          <w:color w:val="auto"/>
        </w:rPr>
        <w:t>The Company’s debt and finance lease obligations at September 30, 2020 and December 31, 2019 consisted of (in thousands):</w:t>
      </w:r>
    </w:p>
    <w:tbl>
      <w:tblPr>
        <w:tblLayout w:type="fixed"/>
        <w:tblInd w:w="60" w:type="dxa"/>
        <w:tblCellMar>
          <w:top w:w="0" w:type="dxa"/>
          <w:left w:w="0" w:type="dxa"/>
          <w:bottom w:w="0" w:type="dxa"/>
          <w:right w:w="0" w:type="dxa"/>
        </w:tblCellMar>
      </w:tblPr>
      <w:tr>
        <w:trPr>
          <w:trHeight w:val="137"/>
        </w:trPr>
        <w:tc>
          <w:tcPr>
            <w:tcW w:w="6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1"/>
                <w:szCs w:val="11"/>
                <w:color w:val="auto"/>
              </w:rPr>
            </w:pPr>
          </w:p>
        </w:tc>
        <w:tc>
          <w:tcPr>
            <w:tcW w:w="90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78"/>
        </w:trPr>
        <w:tc>
          <w:tcPr>
            <w:tcW w:w="67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$700M Revolving Credit Facility, interest at LIBOR plus 1.95%, maturing March 31, 2024,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 of $7,647 and $0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$300M Term Loan A, interest at LIBOR plus 1.90%, maturing May 31, 2025, less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 of $2,280 and $2,478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297,522</w:t>
            </w: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$500M Term Loan B, interest at LIBOR plus 2.00%, maturing May 11, 2024, less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financing costs of $3,771 and $4,501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378,729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381,749</w:t>
            </w: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$400M Senior Notes, interest at 5.0%, maturing April 15, 2023, less unamortized deferred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 of $2,531 and $3,222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397,469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396,778</w:t>
            </w: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$700M Senior Notes, interest at 4.75%, maturing October 15, 2027, less unamortized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of $10,989 and $11,808, plus unamortized premium of $2,234 and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691,245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690,626</w:t>
            </w: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$800M Term Loan (Gaylord Rockies JV), interest at LIBOR plus 2.50%, maturing July 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 less unamortized deferred financing costs of $6,690 and $8,015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791,985</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09"/>
        </w:trPr>
        <w:tc>
          <w:tcPr>
            <w:tcW w:w="6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2,586,972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2,559,968</w:t>
            </w:r>
          </w:p>
        </w:tc>
      </w:tr>
      <w:tr>
        <w:trPr>
          <w:trHeight w:val="20"/>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Amounts due within one year consist of the amortization payments for the $500 million term loan B of 1.0% of the original principal balance, as described in the Company’s Annual Report on Form 10-K for the year ended December 31, 2019.</w:t>
      </w:r>
    </w:p>
    <w:p>
      <w:pPr>
        <w:spacing w:after="0" w:line="9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At September 30, 2020, there were no defaults under the covenants related to the Company’s outstanding debt, and the lenders had extended the allowable closure period in the covenant in the credit facility that prohibits closure of the Gaylord Hotels properties for longer than a specified period of time.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00"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On April 23, 2020, the Company entered into Amendment No. 1 (the “Amendment”) to the Company’s Sixth Amended and Restated Credit Agreement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spacing w:after="0" w:line="124"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Amendment provides for a waiver of the existing financial covenants through March 31, 2021 and ending on April 1, 2021 (the “Temporary Waiver Period”), amends covenant computations for the three months ended June 30, 2021 and September 30, 2021, and confirms the availability of undrawn amounts under the revolving credit facility. In addition, the Amendment contains a covenant that the Company must maintain unrestricted liquidity (in the form of unrestricted cash on hand or undrawn availability under the Revolver) of at least $100 million. In the event the Company is unable to comply with the Credit Agreement’s financial covenants, it expects to further amend the Credit Agreement or take other mitigating actions prior to a potential breach.</w:t>
      </w:r>
    </w:p>
    <w:p>
      <w:pPr>
        <w:spacing w:after="0" w:line="14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During the Temporary Waiver Period, the Amendment provides for increased interest and fees, additional restrictions on debt, investments, dividends, share repurchases and capital expenditures, and a minimum liquidity requirement.</w:t>
      </w:r>
    </w:p>
    <w:p>
      <w:pPr>
        <w:spacing w:after="0" w:line="135"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The Company may elect to terminate the Temporary Waiver Period prior to expiration. Upon expiration or termination of the Temporary Waiver Period, it will calculate compliance with the financial covenants in the Credit Agreement using a designated annualized calculation based on the Company’s most recently completed fiscal quarter or quarters, as applicable. Pursuant to the Amendment, the Company is required to use any proceeds from borrowings drawn during the Temporary Waiver Period to fund operating expenses, debt service of the Company and its subsidiaries, and permitted capital expenditures and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$800 Million Term Loan (Gaylord Rockies Joint Venture)</w:t>
      </w:r>
    </w:p>
    <w:p>
      <w:pPr>
        <w:spacing w:after="0" w:line="200"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On June 30, 2020, Aurora Convention Center Hotel, LLC (“Hotel Owner”) and Aurora Convention Center Hotel Lessee, LLC (“Tenant” and collectively with Hotel Owner, the “Loan Parties”), subsidiaries of the entities comprising the Gaylord Rockies joint venture, entered into Amendment No. 1 (the “Loan Amendment”) to the Second Amended and Restated Loan Agreement (the “Loan Agreement”), by and among the Loan Parties, Wells Fargo Bank, National Association, as administrative agent, and the lenders from time to time party thereto.</w:t>
      </w:r>
    </w:p>
    <w:p>
      <w:pPr>
        <w:spacing w:after="0" w:line="143"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 Loan Amendment modified the Loan Agreement to (i) provide for the ability to use cash for certain purposes, even during a Cash Sweep Period (as defined in the Loan Agreement), (ii) extend the deadline for Hotel Owner to commence construction of an expansion to Gaylord Rockies, and (iii) provide favorable changes to the debt service coverage ratio provisions. Beginning in July 2020, the Gaylord Rockies joint venture was in a Cash Sweep Period pursuant to the Loan Agreement.</w:t>
      </w:r>
    </w:p>
    <w:p>
      <w:pPr>
        <w:spacing w:after="0" w:line="143"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The Loan Amendment includes restrictions on distributions to the owners of the Gaylord Rockies joint venture and requires a certain level of equity financing for a Gaylord Rockies expansion.</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and the Gaylord Rockies joint venture have each entered into interest rate swaps to manage interest rate risk associated with the Company’s $500 million term loan B and the Gaylord Rockies joint venture’s $800 million term loan, respectively. Each swap has been designated as a cash flow hedge whereby the Company or the joint venture receives variable-rate amounts in exchange for fixed-rate payments over the life of the agreement without exchange of the underlying principal amount. Neither the Company nor the Gaylord Rockies joint venture use derivatives for trading or speculative purposes and currently do not hold any derivatives that are not designated as hedges.</w:t>
      </w:r>
    </w:p>
    <w:p>
      <w:pPr>
        <w:spacing w:after="0" w:line="14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$15.9 million will be reclassified from accumulated other comprehensive loss to interest expense in the next twelve months.</w:t>
      </w:r>
    </w:p>
    <w:p>
      <w:pPr>
        <w:spacing w:after="0" w:line="160"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September 30, 2020 and December 31, 2019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5"/>
                <w:szCs w:val="15"/>
                <w:color w:val="auto"/>
              </w:rPr>
            </w:pPr>
          </w:p>
        </w:tc>
        <w:tc>
          <w:tcPr>
            <w:tcW w:w="17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8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900" w:type="dxa"/>
            <w:vAlign w:val="bottom"/>
            <w:gridSpan w:val="2"/>
            <w:vMerge w:val="continue"/>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Loan B</w:t>
            </w:r>
          </w:p>
        </w:tc>
        <w:tc>
          <w:tcPr>
            <w:tcW w:w="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1-month LIBOR</w:t>
            </w:r>
          </w:p>
        </w:tc>
        <w:tc>
          <w:tcPr>
            <w:tcW w:w="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$ 87,500</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(2,460)</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(2,460)</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(2,460)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1.2315%</w:t>
            </w:r>
          </w:p>
        </w:tc>
        <w:tc>
          <w:tcPr>
            <w:tcW w:w="60" w:type="dxa"/>
            <w:vAlign w:val="bottom"/>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$ 87,500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Loan</w:t>
            </w:r>
          </w:p>
        </w:tc>
        <w:tc>
          <w:tcPr>
            <w:tcW w:w="12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1.6500%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04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August 1, 2022</w:t>
            </w:r>
          </w:p>
        </w:tc>
        <w:tc>
          <w:tcPr>
            <w:tcW w:w="8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$ 800,000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(21,994)</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(31,852)</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1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on Derivative</w:t>
            </w: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Pr>
          <w:p>
            <w:pPr>
              <w:spacing w:after="0"/>
              <w:rPr>
                <w:sz w:val="15"/>
                <w:szCs w:val="15"/>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183</w:t>
            </w:r>
          </w:p>
        </w:tc>
        <w:tc>
          <w:tcPr>
            <w:tcW w:w="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(3,789)</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(3,989)</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58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ind w:left="400"/>
              <w:spacing w:after="0" w:line="169" w:lineRule="exact"/>
              <w:rPr>
                <w:sz w:val="20"/>
                <w:szCs w:val="20"/>
                <w:color w:val="auto"/>
              </w:rPr>
            </w:pPr>
            <w:r>
              <w:rPr>
                <w:rFonts w:ascii="Times New Roman" w:cs="Times New Roman" w:eastAsia="Times New Roman" w:hAnsi="Times New Roman"/>
                <w:sz w:val="15"/>
                <w:szCs w:val="15"/>
                <w:color w:val="auto"/>
              </w:rPr>
              <w:t>183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5"/>
                <w:szCs w:val="15"/>
                <w:color w:val="auto"/>
                <w:w w:val="95"/>
              </w:rPr>
              <w:t>(3,789)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(3,989)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1,197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580" w:type="dxa"/>
            <w:vAlign w:val="bottom"/>
          </w:tcPr>
          <w:p>
            <w:pPr>
              <w:spacing w:after="0"/>
              <w:rPr>
                <w:sz w:val="24"/>
                <w:szCs w:val="24"/>
                <w:color w:val="auto"/>
              </w:rPr>
            </w:pPr>
          </w:p>
        </w:tc>
        <w:tc>
          <w:tcPr>
            <w:tcW w:w="16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1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0"/>
                <w:szCs w:val="10"/>
                <w:color w:val="auto"/>
              </w:rPr>
            </w:pPr>
          </w:p>
        </w:tc>
        <w:tc>
          <w:tcPr>
            <w:tcW w:w="15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Pr>
          <w:p>
            <w:pPr>
              <w:spacing w:after="0"/>
              <w:rPr>
                <w:sz w:val="15"/>
                <w:szCs w:val="15"/>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(39,965)</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(3,789)</w:t>
            </w:r>
          </w:p>
        </w:tc>
        <w:tc>
          <w:tcPr>
            <w:tcW w:w="15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(6,479)</w:t>
            </w:r>
          </w:p>
        </w:tc>
        <w:tc>
          <w:tcPr>
            <w:tcW w:w="2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ind w:left="160"/>
              <w:spacing w:after="0" w:line="156" w:lineRule="exact"/>
              <w:rPr>
                <w:sz w:val="20"/>
                <w:szCs w:val="20"/>
                <w:color w:val="auto"/>
              </w:rPr>
            </w:pPr>
            <w:r>
              <w:rPr>
                <w:rFonts w:ascii="Times New Roman" w:cs="Times New Roman" w:eastAsia="Times New Roman" w:hAnsi="Times New Roman"/>
                <w:sz w:val="15"/>
                <w:szCs w:val="15"/>
                <w:color w:val="auto"/>
                <w:w w:val="97"/>
              </w:rPr>
              <w:t>(39,965)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5"/>
                <w:szCs w:val="15"/>
                <w:color w:val="auto"/>
                <w:w w:val="95"/>
              </w:rPr>
              <w:t>(3,789)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(6,479)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1,197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September 30, 2020 and 2019 was $28.1 million and $35.3 million, respectively, and for the nine months ended September 30, 2020 and 2019 was $87.5 million and $100.8 million, respectively.</w:t>
      </w:r>
    </w:p>
    <w:p>
      <w:pPr>
        <w:spacing w:after="0" w:line="13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At September 30, 2020, the fair value of derivatives in a net liability position including accrued interest but excluding any adjustment for nonperformance risk related to these agreements was $33.6 million. As of September 30, 2020,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$33.6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DEFERRED MANAGEMENT RIGHTS PROCEEDS:</w:t>
      </w:r>
    </w:p>
    <w:p>
      <w:pPr>
        <w:spacing w:after="0" w:line="202"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 line basis over the 65-year term of the hotel management agreements, including extensions, as a reduction in management fee expense.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thus are not included in the Company’s calculation of its right-of-use assets and lease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83"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Company’s lease costs for the three months and nine months ended September 30, 2020 and 2019 are as follows (in thousands):</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40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8"/>
                <w:szCs w:val="18"/>
                <w:color w:val="auto"/>
              </w:rPr>
            </w:pPr>
          </w:p>
        </w:tc>
      </w:tr>
      <w:tr>
        <w:trPr>
          <w:trHeight w:val="209"/>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September 30, 2020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6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569,804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(492,632)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107,382</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6.8 %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 PLANS:</w:t>
      </w:r>
    </w:p>
    <w:p>
      <w:pPr>
        <w:spacing w:after="0" w:line="202"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0.1 million restricted stock units with a weighted-average grant date fair value of $84.26 per unit. There were 0.3 million restricted stock units outstanding at each of September 30, 2020 and December 31, 2019.</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was $2.2 million and $1.9 million for the three months ended September 30, 2020 and 2019, respectively, and $6.6 million and $5.9 million for the nine months ended September 30, 2020 and 2019,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PENSION AND POSTRETIREMENT BENEFITS OTHER THAN PENSION PLANS:</w:t>
      </w:r>
    </w:p>
    <w:p>
      <w:pPr>
        <w:spacing w:after="0" w:line="202"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Net periodic pension expense reflected in other gains and (losses), net in the accompanying condensed consolidated statements of operations included the following components for the respective periods (in thousands):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settlement loss</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periodic pension expense</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As a result of increased lump-sum distributions from the Company’s qualified retirement plan during 2020 and 2019, net settlement losses of $1.3 million and $1.6 million were recognized in the three months and nine months ended September 30, 2020 and 2019, respectively.</w:t>
      </w:r>
    </w:p>
    <w:p>
      <w:pPr>
        <w:spacing w:after="0" w:line="13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addition, the increase in lump-sum distributions required the Company to re-measure its liability under its pension plan as of July 31, 2020. As a result of the re-measurement, as well as a decrease in the pension plan’s assumed discount rate from 2.85% at December 31, 2019 to 1.76% at July 31, 2020, the Company recorded a $10.1 million increase in its liability under the pension plan and a corresponding increase in accumulated other comprehensive loss in the accompanying condensed consolidated balance sheet at September 30, 2020.</w:t>
      </w:r>
    </w:p>
    <w:p>
      <w:pPr>
        <w:spacing w:after="0" w:line="15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Net postretirement benefit income reflected in other gains and (losses), net in the accompanying condensed consolidated statements of operations included the following components for the respective periods (in thousands):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shd w:val="clear" w:color="auto" w:fill="CCEEFF"/>
          </w:tcPr>
          <w:p>
            <w:pPr>
              <w:spacing w:after="0"/>
              <w:rPr>
                <w:sz w:val="18"/>
                <w:szCs w:val="18"/>
                <w:color w:val="auto"/>
              </w:rPr>
            </w:pPr>
          </w:p>
        </w:tc>
      </w:tr>
      <w:tr>
        <w:trPr>
          <w:trHeight w:val="21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postretirement benefit income</w:t>
            </w: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5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2020, the Company recorded an income tax provision of $0.1 million and $27.0 million, respectively. The income tax provision for the nine months ended September 30, 2020 includes the recording of a valuation allowance of $26.7 million, as further described below. In the three months and nine months ended September 30, 2020, the Company also recorded income tax expense of $0.1 million and $0.3 million, respectively, inclusive of valuation allowance, related to the current period operations of the Company.</w:t>
      </w:r>
    </w:p>
    <w:p>
      <w:pPr>
        <w:spacing w:after="0" w:line="143"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Due to the financial statement impact of the COVID-19 pandemic, in connection with the preparation of the condensed consolidated financial statements included herein, the Company reassessed the realizability of net deferred tax assets during 2020, and as a result, the Company recorded a full valuation allowance of $26.7 million in the nine months ended September 30, 2020 on the net deferred tax assets of its TRSs.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2019, the Company recorded an income tax provision of $3.5 million and $13.7 million, respectively, related to regular operations, which differs from the statutory rate primarily due to the REIT dividends paid deduction.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30, 2020 and December 31, 2019, the Company had no unrecognized tax benefits.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Pursuant to the Gaylord Rockies joint venture agreements, certain affiliates of Ares each had a put right to require the Company to purchase their joint venture interests at a defined appraised value during an annual window period or under certain other circumstances in consideration of cash or OP Units of the Operating Partnership. During the three months ended September 30, 2020, put right holders totaling 0.5% ownership in the Gaylord Rockies joint venture exercised their put rights for $2.9 million in cash, and the remaining put right holders, totaling 2.4% ownership in the Gaylord Rockies joint venture, exercised their put rights for approximately $14.0 million in OP Units, which was equivalent to approximately 0.4 million OP Units. Such OP Units have economic terms that are substantially similar to shares of the Company’s common stock and are redeemable at the option of the holders thereof. Redemptions will be paid in cash, or if the Company so elects, in shares of the Company’s common stock on a one-for-one basis, subject to certain adjustments in accordance with the Operating Partnership’s partnership agreement.</w:t>
      </w:r>
    </w:p>
    <w:p>
      <w:pPr>
        <w:spacing w:after="0" w:line="167"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Affiliates of RIDA Development Corporation (“RIDA”) also have a put right at a defined appraised value for cash, which will generally become exercisable at the earlier of December 31, 2023 or the date on which a certain change of control of RIDA occurs.</w:t>
      </w:r>
    </w:p>
    <w:p>
      <w:pPr>
        <w:spacing w:after="0" w:line="13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connection with its investment in the Gaylord Rockies joint venture, the Company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4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April 2019, a subsidiary of the Company entered into a joint venture with Gray Television, Inc. to create and distribute a linear multicast and over-the-top channel dedicated to the country music lifestyle (“New Country Ventures”). The Company acquired a 50% equity interest in this joint venture and has made capital contributions of $12.5 million. In addition, the joint venture agreement requires the Company to contribute up to an additional $2.5 million through December 31, 2021. The Company accounts for its investment in this joint venture under the equity method of accounting.</w:t>
      </w:r>
    </w:p>
    <w:p>
      <w:pPr>
        <w:spacing w:after="0" w:line="15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21"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On February 25, 2020, the Company’s board of directors declared the Company’s first quarter 2020 cash dividend in the amount of $0.95 per share of common stock, or an aggregate of approximately $52.2 million in cash, which was paid on April 15, 2020 to stockholders of record as of the close of business on March 31, 2020. Following the payment of the first quarter 2020 cash dividend, the Company suspended its regular quarterly dividend payments for the remainder of 2020. The Company’s board of directors will consider a future dividend as permitted by the Company’s credit agreement. The Amendment described in Note 7, “Debt,” to the condensed consolidated financial statements included herein, permits payment of dividends as necessary to maintain the Company’s REIT status and permits the Company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pay a dividend of $0.01 per share each quarter. Any future dividend is subject to the Company’s board of director’s determination as to the amount of distributions and the timing thereof.</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September 30, 2020, 0.4 million outstanding OP Units, or less than 1% of the outstanding OP Units, were held by the noncontrolling limited partners and are included as a component of equity in the accompanying condensed consolidated balance sheet. The Company owns, directly or indirectly, the remaining 99.2% of the outstanding OP Units.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0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39"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The Company’s interest rate swaps and the Gaylord Rockies joint venture’s interest rate swap consist of over-the-counter swap contracts, which are not traded on a public exchange. The Company or the Gaylord Rockies joint venture, as applicable,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4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September 30, 2020 and December 31, 2019, were as follows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40" w:type="dxa"/>
            <w:vAlign w:val="bottom"/>
            <w:gridSpan w:val="4"/>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140" w:type="dxa"/>
            <w:vAlign w:val="bottom"/>
            <w:gridSpan w:val="4"/>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gridSpan w:val="2"/>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September 30, 2020 are not required to be recorded at fair value, and the carrying value of these assets and liabilities approximates fair value, except as described below.</w:t>
      </w:r>
    </w:p>
    <w:p>
      <w:pPr>
        <w:spacing w:after="0" w:line="121"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Company has outstanding $400.0 million in aggregate principal amount of $400 million 5% senior notes. The carrying value of these notes at September 30, 2020 was $397.5 million, net of unamortized DFCs. The fair value of these notes, based upon quoted market prices (Level 1), was $390.3 million at September 30, 2020.</w:t>
      </w:r>
    </w:p>
    <w:p>
      <w:pPr>
        <w:spacing w:after="0" w:line="13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has outstanding $700.0 million in aggregate principal amount of $700 million 4.75% senior notes. The carrying value of these notes at September 30, 2020 was $691.2 million, net of unamortized DFCs and premiums. The fair value of these notes, based upon quoted market prices (Level 1), was $644.7 million at September 30, 2020.</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FINANCIAL REPORTING BY BUSINESS SEGMENTS: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three principal business segments:</w:t>
      </w:r>
    </w:p>
    <w:p>
      <w:pPr>
        <w:spacing w:after="0" w:line="183" w:lineRule="exact"/>
        <w:rPr>
          <w:sz w:val="20"/>
          <w:szCs w:val="20"/>
          <w:color w:val="auto"/>
        </w:rPr>
      </w:pPr>
    </w:p>
    <w:p>
      <w:pPr>
        <w:ind w:left="720" w:right="51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Gaylord Opryland, Gaylord Palms, Gaylord Texan, Gaylord National, the Inn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Opryland, the AC Hotel, and the Company’s investment in the Gaylord Rockies joint venture;</w:t>
      </w:r>
    </w:p>
    <w:p>
      <w:pPr>
        <w:ind w:left="720" w:right="1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Grand Ole Opry, the Ryman Auditorium, WSM-AM, Ole Red,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 in Circle, and the Company’s Nashville-based attractions;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for corporate management purposes (amounts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328,257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1,022,896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379,787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1,158,281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 (1)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assets (2)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loss on held-to-maturity securities (3)</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(103,166)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(239,151)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(129,791)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(341,226)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20" w:right="119" w:hanging="319"/>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for the three months ended September 30, 2020 relates to the Hospitality segment. Preopening costs for the nine months ended September 30, 2020 include $0.2 million and $1.4 million for the Hospitality and Entertainment segments, respectively. Preopening costs for the three months ended September 30, 2019 relate to the Entertainment segment. Preopening costs of the nine months ended September 30, 2019 include $0.6 million and $1.6 million for the Hospitality and Entertainment segments, respectively.</w:t>
      </w:r>
    </w:p>
    <w:p>
      <w:pPr>
        <w:spacing w:after="0" w:line="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assets for the nine months ended September 30, 2020 relates to the Hospitality segment.</w:t>
      </w:r>
    </w:p>
    <w:p>
      <w:pPr>
        <w:spacing w:after="0" w:line="9" w:lineRule="exact"/>
        <w:rPr>
          <w:rFonts w:ascii="Times New Roman" w:cs="Times New Roman" w:eastAsia="Times New Roman" w:hAnsi="Times New Roman"/>
          <w:sz w:val="18"/>
          <w:szCs w:val="18"/>
          <w:color w:val="auto"/>
        </w:rPr>
      </w:pPr>
    </w:p>
    <w:p>
      <w:pPr>
        <w:ind w:left="720" w:right="139" w:hanging="319"/>
        <w:spacing w:after="0" w:line="26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 for the three months and nine months ended September 30, 2020 relates to the Hospitality segment.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3,310,128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3,494,084</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181,036</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413,348</w:t>
            </w:r>
          </w:p>
        </w:tc>
      </w:tr>
      <w:tr>
        <w:trPr>
          <w:trHeight w:val="209"/>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3,587,751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4,088,468</w:t>
            </w: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59"/>
        <w:spacing w:after="0" w:line="269" w:lineRule="auto"/>
        <w:rPr>
          <w:sz w:val="20"/>
          <w:szCs w:val="20"/>
          <w:color w:val="auto"/>
        </w:rPr>
      </w:pPr>
      <w:r>
        <w:rPr>
          <w:rFonts w:ascii="Times New Roman" w:cs="Times New Roman" w:eastAsia="Times New Roman" w:hAnsi="Times New Roman"/>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3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2019, included in our Annual Report on Form 10-K that was filed with the SEC on February 25, 2020.</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anticipated impact of the novel coronavirus (COVID-19) pandemic on travel, transient and group demand, the anticipated impact of the COVID-19 pandemic on our results of operations, liquidity, collection of cancellation and attrition fees, cost containment efforts, efforts to rebook customers for later dates in 2020 and later years, and our plans for reopening and operating our Gaylord Hotels properties and other assets during the ongoing pandemic and when the COVID-19 pandemic subsides; (ii) the effect of our election to be taxed as a REIT and maintain REIT status for federal income tax purposes; (iii) the holding of our non-qualifying REIT assets in one or more taxable REIT subsidiaries (“TRSs”); (iv) the suspension of our dividend and our announced dividend policy, including the frequency and amount of any dividend we may pay; (v) 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and other contractual arrangements with third parties, including management agreements with Marriott; (ix) our use of cash during the remainder of 2020; (x) our ability to borrow available funds under our credit facility; (xi) our expectations about successfully amending the agreements governing our indebtedness should the need arise; and (xii) any other business or operational matters. We have based these forward-looking statements on our current expectations and projections about future events.</w:t>
      </w:r>
    </w:p>
    <w:p>
      <w:pPr>
        <w:spacing w:after="0" w:line="16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COVID-19 pandemic,</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including the effects of the COVID-19 pandemic on us and the hospitality and entertainment industries generally, the effects of the COVID-19 pandemic on the demand for travel, transient and group business (including government-imposed restrictions), levels of consumer confidence in the safety of travel and group gathering as a result of COVID-19, the length and severity of the COVID-19 pandemic in the United States and the pace of recovery following the COVID-19 pandemic, the duration and severity of the COVID-19 pandemic in the markets where our assets are located,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LIBOR to a different base rate, and those factors described elsewhere in this Quarterly Report on Form 10-Q and our Annual Report on Form 10-K for the year ended December 31, 2019 or described from time to time in our other reports filed with the SEC.</w:t>
      </w:r>
    </w:p>
    <w:p>
      <w:pPr>
        <w:spacing w:after="0" w:line="16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five upscale, meetings-focused resorts totaling 9,615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Gaylord Rockies, which is owned by the Gaylord Rockies joint venture, in which we own a 65% interest. Our other owned hotel assets managed by Marriott include the Inn at Opryland, an overflow hotel adjacent to Gaylord Opryland, and the AC Hotel at National Harbor, Washington D.C. (“AC Hotel”), an overflow hotel adjacent to Gaylord National.</w:t>
      </w:r>
    </w:p>
    <w:p>
      <w:pPr>
        <w:spacing w:after="0" w:line="16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also own and operate media and entertainment assets including the Grand Ole Opry, the legendary weekly showcase of country music’s finest performers for 95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We also own a 50% interest in a joint venture intended to create and distribute a linear multicast and over-the-top channel dedicated to the country music lifestyle (“Circle”).</w:t>
      </w:r>
    </w:p>
    <w:p>
      <w:pPr>
        <w:spacing w:after="0" w:line="14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2019 for important information regarding forward-looking statements made in this report and risks and uncertainties we face.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189"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In March 2020, the World Health Organization declared the outbreak of a novel coronavirus disease (COVID-19) as a pandemic, which continues to spread throughout the United States. COVID-19 is having an unprecedented impact on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U.S. economy, and due to the COVID-19 pandemic, we have experienced disruption of our business and in March 2020 temporarily suspended operations of most of our assets, as further described below. While most of our assets have reopened at some capacity, there is significant uncertainty surrounding the full extent of the impact of the COVID-19 pandemic on our future results of operations and financial position.</w:t>
      </w:r>
    </w:p>
    <w:p>
      <w:pPr>
        <w:spacing w:after="0" w:line="15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late February 2020, when the gravity of the COVID-19 pandemic became apparent, we formed an internal task force, which included members of management and our board of directors, to formulate and implement responses to COVID-19. The task force, in consultation with local governmental authorities, first determined to close our Nashville-based entertainment venues in mid-March 2020.</w:t>
      </w:r>
    </w:p>
    <w:p>
      <w:pPr>
        <w:spacing w:after="0" w:line="13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As cancellations at our Gaylord Hotels properties began to increase, we, with our hotel manager, Marriott, implemented a series of operational changes, culminating with the suspension of operations at our Gaylord Hotels properties in late-March 2020. Gaylord Texan reopened June 8, 2020, and Gaylord Opryland, Gaylord Palms and Gaylord Rockies reopened June 25, 2020. Gaylord National remains closed. Hotel employees that were laid off or furloughed were generally paid the equivalent of one week of compensation, and benefits for non-union hotel employees have been maintained throughout the individual properties’ closures.</w:t>
      </w:r>
    </w:p>
    <w:p>
      <w:pPr>
        <w:spacing w:after="0" w:line="147"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In our Entertainment segment, in addition to the temporary closure of our entertainment assets, we have taken steps to reduce operating costs in all areas. Many of our Nashville-based attractions reopened at reduced capacities in May and June 2020. The Grand Ole Opry and Ryman Auditorium began offering limited-capacity tours in June 2020, and in September 2020, they reopened for limited-capacity publicly attended performances. Our decision to offer publicly attended performances with additional capacity will be based on a number of factors and made in consultation with local health authorities.</w:t>
      </w:r>
    </w:p>
    <w:p>
      <w:pPr>
        <w:spacing w:after="0" w:line="16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On March 27, 2020, the U.S. government enacted the Coronavirus Aid, Relief, and Economic Security Act (the “CARES Act”), which among other things, provides employer payroll tax credits for wages paid to employees who are unable to work during the COVID-19 pandemic and options to defer payroll tax payments. Based on our preliminary evaluation of the CARES Act, we qualify for certain employer payroll tax credits, which will be treated as government subsidies to offset related operating expenses, as well as the deferral of payroll and other tax payments in the future. During the nine months ended September 30, 2020, qualified payroll tax credits reduced our operating expenses by $1.8 million. We are deferring qualified payroll and other tax payments as permitted by the CARES Act.</w:t>
      </w:r>
    </w:p>
    <w:p>
      <w:pPr>
        <w:spacing w:after="0" w:line="148"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Our results for the three months and nine months ended September 30, 2020 include approximately $15.0 million and $40.1 million of operating costs specifically related to the COVID-19 pandemic, which is primarily comprised of employment costs, and is net of $1.8 million in payroll tax credits provided by the CARES Act.</w:t>
      </w:r>
    </w:p>
    <w:p>
      <w:pPr>
        <w:spacing w:after="0" w:line="13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Impact on Liquidity</w:t>
      </w:r>
      <w:r>
        <w:rPr>
          <w:rFonts w:ascii="Times New Roman" w:cs="Times New Roman" w:eastAsia="Times New Roman" w:hAnsi="Times New Roman"/>
          <w:sz w:val="18"/>
          <w:szCs w:val="18"/>
          <w:color w:val="auto"/>
        </w:rPr>
        <w:t>. We are also taking action to preserve liquidity. We continue to pay all required debt service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indebtedness, lease payments, taxes and other payables. At September 30, 2020, we had $664.1 million available for borrowing under our revolving credit facility and $52.2 million in unrestricted cash on hand. In addition, following the payment of our first quarter 2020 dividend on April 15, 2020 to stockholders of record on March 31, 2020, we suspended our regular quarterly dividend payments for the remainder of 2020. Our board of directors will consider a future dividend as permitted by our credit agreement. Our credit facility amendment described below under “Principal Debt Agreements” permits payment of dividends as necessary to maintain our REIT status and permits us to pay a dividend of $0.01 per share each quarter. Any future dividend is subject to our board of director’s determinations as to the amount of distributions and the timing thereof.</w:t>
      </w:r>
    </w:p>
    <w:p>
      <w:pPr>
        <w:spacing w:after="0" w:line="163"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We have deferred approximately $82 million of non-essential capital projects, in addition to delaying the Gaylord Rockies expansion project, which was scheduled to begin construction in second quarter 2020. The Gaylord Palms expansion project is continuing, and we believe the expansion will allow us to serve groups moving meetings to 2021.</w:t>
      </w:r>
    </w:p>
    <w:p>
      <w:pPr>
        <w:spacing w:after="0" w:line="135"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however, Marriott has suspended this obligation through March 2021.</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Impact on Operations</w:t>
      </w:r>
      <w:r>
        <w:rPr>
          <w:rFonts w:ascii="Times New Roman" w:cs="Times New Roman" w:eastAsia="Times New Roman" w:hAnsi="Times New Roman"/>
          <w:sz w:val="18"/>
          <w:szCs w:val="18"/>
          <w:color w:val="auto"/>
        </w:rPr>
        <w:t>. During the three months and nine months ended September 30, 2020, our Hospitality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total attrition and cancellations of approximately 583,000 and 2,003,000 net room nights, respectively, which we believe are attributable to COVID-19, representing approximately $118 million and $409 million in rooms revenue, respectively.</w:t>
      </w:r>
    </w:p>
    <w:p>
      <w:pPr>
        <w:spacing w:after="0" w:line="155"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and Marriott’s sales teams have been working closely with our customers to rebook previously cancelled business and, through September 30, 2020, we have rebooked approximately 1.0 million room nights, or approximately 53% of total room nights cancelled as a result of the COVID-19 pandemic. We have focused on offering flexibility rather than demanding attrition and cancellation payments in an effort to strengthen our relationships with our customers and meeting planners. Our establishments are undergoing a phased reopening, and the customer mix at our Gaylord Hotels properties has been and may continue to be more heavily transient during this phased reopening than our historical trends.</w:t>
      </w:r>
    </w:p>
    <w:p>
      <w:pPr>
        <w:spacing w:after="0" w:line="14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Principal Debt Agreements</w:t>
      </w:r>
      <w:r>
        <w:rPr>
          <w:rFonts w:ascii="Times New Roman" w:cs="Times New Roman" w:eastAsia="Times New Roman" w:hAnsi="Times New Roman"/>
          <w:sz w:val="18"/>
          <w:szCs w:val="18"/>
          <w:color w:val="auto"/>
        </w:rPr>
        <w:t>. On April 23, 2020, we completed an amendment to the credit agreement governing our $700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revolving credit facility (of which $35.0 million was outstanding at September 30, 2020), $300 million term loan A facility and the original $500 million term loan B facility (of which $382.5 million was outstanding at September 30,</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2020), which was obtained from a consortium of banks led by Wells Fargo Bank, National Association, as administrative agent. The amendment provides for a temporary waiver of financial covenants in the credit facility through March 31, 2021 and ending April 1, 2021 (unless terminated early by us at our option), amends covenant computations for the three months ended June 30, 2021 and September 30, 2021, and confirms the availability of undrawn amounts under the revolving credit facility. During the waiver period, the amendment provides for increased interest and fees, additional restrictions on debt, investments, dividends, share repurchases and capital expenditures, and a minimum liquidity requirement. In addition, all borrowings under the revolving credit facility made during the waiver period may only be used for payment of operating expenses, debt service and certain other specified uses. For additional discussion of the amendment to our credit agreement, see “Principal Debt Agreements” below.</w:t>
      </w:r>
    </w:p>
    <w:p>
      <w:pPr>
        <w:spacing w:after="0" w:line="153"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On June 30, 2020, the Gaylord Rockies joint venture completed an amendment to its $800 million term loan to (i) provide for the ability to use cash for certain purposes, even during a Cash Sweep Period (as defined in the Loan Agreement), (ii) extend the deadline to commence construction of an expansion to Gaylord Rockies, and (iii) provide favorable changes to the debt service coverage ratio provisions. For additional discussion of this amendment, see “Principal Debt Agreements” below. Beginning in July 2020, the Gaylord Rockies joint venture was in a Cash Sweep Period pursuant to the Loan Agreement.</w:t>
      </w:r>
    </w:p>
    <w:p>
      <w:pPr>
        <w:spacing w:after="0" w:line="18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For additional discussion of the impact of the COVID-19 pandemic on our business, see “Risk Factors” under Part II, Item 1A of this Quarterly Report on Form 10-Q.</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Rockies Joint Venture</w:t>
      </w:r>
    </w:p>
    <w:p>
      <w:pPr>
        <w:spacing w:after="0" w:line="18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We own a 65% interest in the Gaylord Rockies joint venture. Our management has concluded that the Company is the primary beneficiary of this variable interest entity (“VIE”) and the financial position and results of operations of the VIE have been consolidated in the accompanying condensed consolidated financial statements included herein. Gaylord Rockies opened on a fully operational basis in first quarter 2019.</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Palms Expansion</w:t>
      </w:r>
    </w:p>
    <w:p>
      <w:pPr>
        <w:spacing w:after="0" w:line="20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In 2018, we began construction of a $158 million expansion of Gaylord Palms, which will include an additional 303 guest rooms and 90,000 square feet of meeting space, an expanded resort pool and events lawn, and a new multi-level parking structure. The expansion is expected to be completed in April 2021.</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Gaylord Rockies Expansion</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February 2020, we and our joint venture partner in the Gaylord Rockies joint venture announced an $80 million expansion of Gaylord Rockies, which was intended to include an additional 317 guest rooms. The expansion was expected to begin in the second quarter of 2020, but, as discussed under “Impact of COVID-19” above, the expansion was deferred in response to the COVID-19 pandemic.</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Circle</w:t>
      </w:r>
    </w:p>
    <w:p>
      <w:pPr>
        <w:spacing w:after="0" w:line="202"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In 2019, we acquired a 50% equity interest in Circle, and we have made $12.5 million in capital contributions through September 30, 2020. The joint venture agreement requires us to contribute up to an additional $2.5 million through December 31, 2021. Circle launched its broadcast network on January 1, 2020, with sixteen original shows and two major distribution partnerships that broadcast Circle in markets accessible to more than 50% of U.S. television households.</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Block 21 Acquisition</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 December 2019, we entered into an agreement (the “Block 21 Agreement”) to purchase Block 21, a mixed-use entertainment, lodging, office and retail complex located in Austin, Texas, for $275 million, which included the assumption of approximately $141 million of existing mortgage debt. In May 2020, in response to the then-existing capital markets and economic environment caused by the COVID-19 pandemic, we determined it was not in the best interest of our shareholders to focus resources and capital on the project and terminated the purchase agreement. We forfeited a nonrefundable deposit of $15.0 million, which is included in other gains and (losses), net in the accompanying condensed consolidated statements of operations for the nine months ended September 30, 2020.</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 Suspension of Dividend</w:t>
      </w:r>
    </w:p>
    <w:p>
      <w:pPr>
        <w:spacing w:after="0" w:line="20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 dividend, we suspended our regular quarterly dividend payments for the remainder of 2020, and our board of directors will consider a future dividend as permitted by our credit agreement. Our credit facility amendment described below under “Principal Debt Agreements”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focus on the large group meetings market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4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While our pre-COVID-19 short-term capital allocation strategy has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returning capital to stockholders through the payment of dividends, part of our long-term growth strategy includes acquisitions of other 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named after the Shelton hit “Ol’ Red,” and we have invested in Circle as discussed above.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85" w:lineRule="exact"/>
        <w:rPr>
          <w:sz w:val="20"/>
          <w:szCs w:val="20"/>
          <w:color w:val="auto"/>
        </w:rPr>
      </w:pPr>
    </w:p>
    <w:p>
      <w:pPr>
        <w:ind w:left="720" w:right="2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(including our investment in the Gaylord Rockies joint venture), the Inn at Opryland and the AC Hotel.</w:t>
      </w:r>
    </w:p>
    <w:p>
      <w:pPr>
        <w:spacing w:after="0" w:line="134"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our equity investment in Circle, and our other Nashville-based attractions.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8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2020 and 2019, our total revenues were divided among these business segments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76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6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0 %</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As described above, our hotels and entertainment assets were closed for a period of time and certain assets remain closed pending our decision to safely reopen facilities as discussed above. While facilities were closed or remain closed, we recorded or expect to record, as applicable, negligible revenue, and we incurred or will incur expenses as described above under “Impact of COVID-19 Pandemic.” Our facilities that have reopened are operating at diminished capacities. Our short-term strategy is to safely reopen our assets, focus on rebooking business in our hotels, pursue cost containment strategies and conserve liquidity.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 allow investors to compare our performance with other companies in the hospitality REIT industry, and are used by management to evaluate hotel performance and allocate capital expenditures:</w:t>
      </w:r>
    </w:p>
    <w:p>
      <w:pPr>
        <w:spacing w:after="0" w:line="147"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8" w:lineRule="exact"/>
        <w:rPr>
          <w:rFonts w:ascii="Times New Roman" w:cs="Times New Roman" w:eastAsia="Times New Roman" w:hAnsi="Times New Roman"/>
          <w:sz w:val="18"/>
          <w:szCs w:val="18"/>
          <w:color w:val="auto"/>
        </w:rPr>
      </w:pPr>
    </w:p>
    <w:p>
      <w:pPr>
        <w:jc w:val="both"/>
        <w:ind w:left="720" w:right="1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35"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2020, the method of calculation of these indicators has not been changed as a result of the COVID-19 pandemic and the resulting hotel closures and is consistent with prior periods. As such, performance metrics include closed hotel room nights available.</w:t>
      </w:r>
    </w:p>
    <w:p>
      <w:pPr>
        <w:spacing w:after="0" w:line="135"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111" w:lineRule="exact"/>
        <w:rPr>
          <w:sz w:val="20"/>
          <w:szCs w:val="20"/>
          <w:color w:val="auto"/>
        </w:rPr>
      </w:pPr>
    </w:p>
    <w:p>
      <w:pPr>
        <w:ind w:left="720" w:right="179" w:hanging="319"/>
        <w:spacing w:after="0" w:line="284"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and</w:t>
      </w:r>
    </w:p>
    <w:p>
      <w:pPr>
        <w:spacing w:after="0" w:line="119"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shareholders and unit holders and Adjusted FFO available to common shareholders and unitholders.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closure, limited reopening and pandemic-constrained business levels of our Gaylord Hotels properties have resulted in the significant decrease in performance reflected in these key performance indicators and non-GAAP financial metrics for the three months and nine months ended September 30, 2020, as compared to the prior year period.</w:t>
      </w:r>
    </w:p>
    <w:p>
      <w:pPr>
        <w:spacing w:after="0" w:line="135" w:lineRule="exact"/>
        <w:rPr>
          <w:sz w:val="20"/>
          <w:szCs w:val="20"/>
          <w:color w:val="auto"/>
        </w:rPr>
      </w:pPr>
    </w:p>
    <w:p>
      <w:pPr>
        <w:ind w:left="60" w:right="219"/>
        <w:spacing w:after="0" w:line="269" w:lineRule="auto"/>
        <w:rPr>
          <w:sz w:val="20"/>
          <w:szCs w:val="20"/>
          <w:color w:val="auto"/>
        </w:rPr>
      </w:pPr>
      <w:r>
        <w:rPr>
          <w:rFonts w:ascii="Times New Roman" w:cs="Times New Roman" w:eastAsia="Times New Roman" w:hAnsi="Times New Roman"/>
          <w:sz w:val="17"/>
          <w:szCs w:val="17"/>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Almost all of our Hospitality segment revenues are either cash-based or, for meeting and convention groups who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41"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months and nine months ended September 30, 2020 and 2019.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8"/>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Statement Data:</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24,487</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134,950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133,417</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411,866</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16,217</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155,173</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163,477</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499,346</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revenue</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17,274</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38,134</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111,684</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12,271</w:t>
            </w: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51,530</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44,006</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135,385</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16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70,249</w:t>
            </w:r>
          </w:p>
        </w:tc>
        <w:tc>
          <w:tcPr>
            <w:tcW w:w="1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379,787</w:t>
            </w:r>
          </w:p>
        </w:tc>
        <w:tc>
          <w:tcPr>
            <w:tcW w:w="1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397,960</w:t>
            </w:r>
          </w:p>
        </w:tc>
        <w:tc>
          <w:tcPr>
            <w:tcW w:w="14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1,158,281</w:t>
            </w:r>
          </w:p>
        </w:tc>
        <w:tc>
          <w:tcPr>
            <w:tcW w:w="16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108,184</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19,233</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88,584</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114,935</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270,623</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expenses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56,961</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91,608</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273,074</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Hotel management fees, net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28,543</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17,343</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34,022</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60,146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92,722</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7,299</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9,404</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22,693</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26,518</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Gain on sale of assets</w:t>
            </w: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(1,261)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Credit loss on held-to-maturity securities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32,784</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Hospitality</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49,310</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50,445</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148,667</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150,909</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Entertainment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10,492</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Corporate and Other</w:t>
            </w: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53,876</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76.7</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53,998</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161,232</w:t>
            </w:r>
          </w:p>
        </w:tc>
        <w:tc>
          <w:tcPr>
            <w:tcW w:w="1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w:t>
            </w:r>
          </w:p>
        </w:tc>
        <w:tc>
          <w:tcPr>
            <w:tcW w:w="1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160,560</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16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173,415</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246.9</w:t>
            </w:r>
          </w:p>
        </w:tc>
        <w:tc>
          <w:tcPr>
            <w:tcW w:w="2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323,284</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85.1</w:t>
            </w:r>
          </w:p>
        </w:tc>
        <w:tc>
          <w:tcPr>
            <w:tcW w:w="2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637,111</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160.1</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962,498</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83.1</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Hospitality</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(78,322)</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(154,633)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191,563</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(9,057)</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14,376</w:t>
            </w: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(26,632)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34,222</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1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(7,880)</w:t>
            </w: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(9,825)</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(24,766)</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(27,728)</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(96)</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(164)</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(1,597)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(2,274)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on sale of assets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Credit loss on held-to-maturity securities</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(7,811)</w:t>
            </w: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(32,784)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160" w:type="dxa"/>
            <w:vAlign w:val="bottom"/>
            <w:tcBorders>
              <w:top w:val="single" w:sz="8" w:color="CCEEFF"/>
            </w:tcBorders>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operating income (loss)</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(103,166)</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(146.9)%</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56,503</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(239,151)</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(60.1)%</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195,783</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(28,127)</w:t>
            </w: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(35,261)</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(87,527)</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(100,840)</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1,540</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2,878</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5,765</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8,756</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unconsolidated joint ventures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(5,482)</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1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14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(14,831)</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1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(3,537)</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(27,046)</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(13,743)</w:t>
            </w: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(129,877)</w:t>
            </w:r>
          </w:p>
        </w:tc>
        <w:tc>
          <w:tcPr>
            <w:tcW w:w="140" w:type="dxa"/>
            <w:vAlign w:val="bottom"/>
          </w:tcPr>
          <w:p>
            <w:pPr>
              <w:spacing w:after="0"/>
              <w:rPr>
                <w:sz w:val="12"/>
                <w:szCs w:val="12"/>
                <w:color w:val="auto"/>
              </w:rPr>
            </w:pPr>
          </w:p>
        </w:tc>
        <w:tc>
          <w:tcPr>
            <w:tcW w:w="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20,890</w:t>
            </w:r>
          </w:p>
        </w:tc>
        <w:tc>
          <w:tcPr>
            <w:tcW w:w="14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(368,272)</w:t>
            </w:r>
          </w:p>
        </w:tc>
        <w:tc>
          <w:tcPr>
            <w:tcW w:w="14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89,844</w:t>
            </w:r>
          </w:p>
        </w:tc>
        <w:tc>
          <w:tcPr>
            <w:tcW w:w="16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16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loss attributable to noncontrolling interest in</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11,893</w:t>
            </w:r>
          </w:p>
        </w:tc>
        <w:tc>
          <w:tcPr>
            <w:tcW w:w="1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30,280</w:t>
            </w: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consolidated joint venture</w:t>
            </w:r>
          </w:p>
        </w:tc>
        <w:tc>
          <w:tcPr>
            <w:tcW w:w="1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6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loss attributable to noncontrolling interest in</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40" w:type="dxa"/>
            <w:vAlign w:val="bottom"/>
          </w:tcPr>
          <w:p>
            <w:pPr>
              <w:spacing w:after="0"/>
              <w:rPr>
                <w:sz w:val="10"/>
                <w:szCs w:val="10"/>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40" w:type="dxa"/>
            <w:vAlign w:val="bottom"/>
          </w:tcPr>
          <w:p>
            <w:pPr>
              <w:spacing w:after="0"/>
              <w:rPr>
                <w:sz w:val="10"/>
                <w:szCs w:val="10"/>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11,296</w:t>
            </w:r>
          </w:p>
        </w:tc>
        <w:tc>
          <w:tcPr>
            <w:tcW w:w="160" w:type="dxa"/>
            <w:vAlign w:val="bottom"/>
          </w:tcPr>
          <w:p>
            <w:pPr>
              <w:spacing w:after="0"/>
              <w:rPr>
                <w:sz w:val="10"/>
                <w:szCs w:val="10"/>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the Operating Partnership</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shd w:val="clear" w:color="auto" w:fill="CCEEFF"/>
          </w:tcPr>
          <w:p>
            <w:pPr>
              <w:spacing w:after="0"/>
              <w:rPr>
                <w:sz w:val="9"/>
                <w:szCs w:val="9"/>
                <w:color w:val="auto"/>
              </w:rPr>
            </w:pPr>
          </w:p>
        </w:tc>
        <w:tc>
          <w:tcPr>
            <w:tcW w:w="3160" w:type="dxa"/>
            <w:vAlign w:val="bottom"/>
            <w:gridSpan w:val="2"/>
            <w:shd w:val="clear" w:color="auto" w:fill="CCEEFF"/>
          </w:tcPr>
          <w:p>
            <w:pPr>
              <w:ind w:left="200"/>
              <w:spacing w:after="0" w:line="106" w:lineRule="exact"/>
              <w:rPr>
                <w:sz w:val="20"/>
                <w:szCs w:val="20"/>
                <w:color w:val="auto"/>
              </w:rPr>
            </w:pPr>
            <w:r>
              <w:rPr>
                <w:rFonts w:ascii="Times New Roman" w:cs="Times New Roman" w:eastAsia="Times New Roman" w:hAnsi="Times New Roman"/>
                <w:sz w:val="12"/>
                <w:szCs w:val="12"/>
                <w:color w:val="auto"/>
              </w:rPr>
              <w:t>Net income (loss) available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(117,659)</w:t>
            </w:r>
          </w:p>
        </w:tc>
        <w:tc>
          <w:tcPr>
            <w:tcW w:w="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22,349</w:t>
            </w:r>
          </w:p>
        </w:tc>
        <w:tc>
          <w:tcPr>
            <w:tcW w:w="14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(337,667)</w:t>
            </w: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101,140</w:t>
            </w:r>
          </w:p>
        </w:tc>
        <w:tc>
          <w:tcPr>
            <w:tcW w:w="16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3160" w:type="dxa"/>
            <w:vAlign w:val="bottom"/>
            <w:gridSpan w:val="2"/>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three months and nine months ended September 30, 2020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2019 (in thousands, except percentages and per share data):</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gridSpan w:val="4"/>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86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vMerge w:val="restart"/>
          </w:tcPr>
          <w:p>
            <w:pPr>
              <w:spacing w:after="0"/>
              <w:rPr>
                <w:sz w:val="10"/>
                <w:szCs w:val="10"/>
                <w:color w:val="auto"/>
              </w:rPr>
            </w:pPr>
          </w:p>
        </w:tc>
        <w:tc>
          <w:tcPr>
            <w:tcW w:w="7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0"/>
                <w:szCs w:val="10"/>
                <w:color w:val="auto"/>
              </w:rPr>
            </w:pPr>
          </w:p>
        </w:tc>
        <w:tc>
          <w:tcPr>
            <w:tcW w:w="580" w:type="dxa"/>
            <w:vAlign w:val="bottom"/>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86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vMerge w:val="restart"/>
          </w:tcPr>
          <w:p>
            <w:pPr>
              <w:spacing w:after="0"/>
              <w:rPr>
                <w:sz w:val="10"/>
                <w:szCs w:val="10"/>
                <w:color w:val="auto"/>
              </w:rPr>
            </w:pPr>
          </w:p>
        </w:tc>
        <w:tc>
          <w:tcPr>
            <w:tcW w:w="9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70,249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$ 379,787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397,960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$ 1,158,281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173,415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323,284</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637,111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962,498</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(368,272)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89,844</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198"/>
        </w:trPr>
        <w:tc>
          <w:tcPr>
            <w:tcW w:w="2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available to common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22,349</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(337,667)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101,140</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available to common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per share - diluted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decrease in our total revenues for the three months ended September 30, 2020, as compared to the same period in 2019, is attributable to decreases in our Hospitality segment and Entertainment segment of $270.3 million and $39.3 million, respectively. The decrease in our total revenues for the nine months ended September 30, 2020, as compared to the same period in 2019, is attributable to decreases in our Hospitality segment and Entertainment segment of $668.9 million and $91.4 million, respectively.</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decrease in our total operating expenses for the three months ended September 30, 2020, as compared to the same period in 2019, is primarily the result of decreases in our Hospitality segment and Entertainment segment of $138.7 million and $16.7 million, respectively, partially offset by a credit loss on held-to-maturity investments that did not occur in the prior year of $7.8 million. The decrease in our total operating expenses for the nine months ended September 30, 2020, as compared to the same period in 2019, is primarily the result of decreases in our Hospitality segment and Entertainment segment of $320.5 million and $32.6 million, respectively, partially offset by a credit loss on held-to-maturity investments that did not occur in the prior year of $32.8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87"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Our net loss of $129.9 million for the three months ended September 30, 2020, as compared to net income of $20.9 million for the same period in 2019, was primarily due to the changes in our revenues and operating expenses reflected above, and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$7.1 million decrease in interest expense in the 2020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decrease in the provision for income taxes in the 2020 period.</w:t>
      </w:r>
    </w:p>
    <w:p>
      <w:pPr>
        <w:spacing w:after="0" w:line="185"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Our net loss of $368.3 million for the nine months ended September 30, 2020, as compared to net income of $89.8 million for the same period in 2019, was primarily due to the changes in our revenues and operating expenses reflected above, and the following factors, each as described more fully below:</w:t>
      </w:r>
    </w:p>
    <w:p>
      <w:pPr>
        <w:spacing w:after="0" w:line="135" w:lineRule="exact"/>
        <w:rPr>
          <w:sz w:val="20"/>
          <w:szCs w:val="20"/>
          <w:color w:val="auto"/>
        </w:rPr>
      </w:pPr>
    </w:p>
    <w:p>
      <w:pPr>
        <w:ind w:left="720" w:right="6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$15.7 million increase in other losses, net in the 2020 period, primarily due to the forfeiture of the $15.0 million deposit on the proposed Block 21 acquisition.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$13.3 million decrease in interest expense in the 2020 period.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$13.3 million increase in the provision for income taxes in the 2020 period.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increase in loss from unconsolidated joint ventures in the 2020 period.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months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2020 and 2019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5"/>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0"/>
                <w:szCs w:val="10"/>
                <w:color w:val="auto"/>
              </w:rPr>
            </w:pPr>
          </w:p>
        </w:tc>
        <w:tc>
          <w:tcPr>
            <w:tcW w:w="480" w:type="dxa"/>
            <w:vAlign w:val="bottom"/>
            <w:gridSpan w:val="2"/>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0"/>
                <w:szCs w:val="10"/>
                <w:color w:val="auto"/>
              </w:rPr>
            </w:pPr>
          </w:p>
        </w:tc>
        <w:tc>
          <w:tcPr>
            <w:tcW w:w="520" w:type="dxa"/>
            <w:vAlign w:val="bottom"/>
            <w:gridSpan w:val="2"/>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Rooms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24,487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134,950</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(81.9)%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133,417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411,866</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Food and beverage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155,173</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499,346</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color w:val="auto"/>
              </w:rPr>
              <w:t>Other hotel revenue</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17,274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38,134</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(54.7)%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57,060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111,684</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(48.9)%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hospitality revenue</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57,978</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328,257</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353,954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1,022,896</w:t>
            </w:r>
          </w:p>
        </w:tc>
        <w:tc>
          <w:tcPr>
            <w:tcW w:w="1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(65.4)%</w:t>
            </w:r>
          </w:p>
        </w:tc>
        <w:tc>
          <w:tcPr>
            <w:tcW w:w="0" w:type="dxa"/>
            <w:vAlign w:val="bottom"/>
          </w:tcPr>
          <w:p>
            <w:pPr>
              <w:spacing w:after="0"/>
              <w:rPr>
                <w:sz w:val="1"/>
                <w:szCs w:val="1"/>
                <w:color w:val="auto"/>
              </w:rPr>
            </w:pPr>
          </w:p>
        </w:tc>
      </w:tr>
      <w:tr>
        <w:trPr>
          <w:trHeight w:val="216"/>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Hospitality 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Rooms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37,116</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108,184</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Food and beverage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88,584</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(78.3)%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270,623</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hotel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56,961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91,608</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192,480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273,074</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Management fees,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8,388</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(93.8)%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28,543</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49,310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50,445</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148,667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150,909</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5"/>
                <w:szCs w:val="15"/>
                <w:color w:val="auto"/>
              </w:rPr>
              <w:t>Total Hospitality operating expenses</w:t>
            </w:r>
          </w:p>
        </w:tc>
        <w:tc>
          <w:tcPr>
            <w:tcW w:w="3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136,300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276,141</w:t>
            </w:r>
          </w:p>
        </w:tc>
        <w:tc>
          <w:tcPr>
            <w:tcW w:w="2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508,587</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831,333</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(38.8)%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Hospitality operating income (loss) (1)(2)</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(78,322)</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52,116</w:t>
            </w: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(250.3)%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(154,633)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191,563</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Hospitality performance metrics:</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Occupancy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(62.5)pts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(51.4)pts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ADR</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180.89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188.13</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(3.8)%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197.38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196.81</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RevPAR (3)</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145.09</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(81.9)%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149.23</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Total RevPAR (4)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352.92</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(82.3)%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127.77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370.61</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Definite Group Room Nights Booked (5)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(70,572)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574,403</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(692,844)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1,335,080</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(151.9)%</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59" w:hanging="330"/>
        <w:spacing w:after="0" w:line="25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income does not include preopening costs of $0.1 million in the three months ended September 30, 2020 and $0.2 million and $0.6 million in the nine months ended September 30, 2020 and 2019, respectively. Hospitality segment operating income also does not include gain on sale of assets of $1.3 million in the nine months ended September 30, 2020 and credit losses on held-to-maturity securities of $7.8 million and $32.8 million in the three months and nine months ended September 30, 2020, respectively. See discussion of these items below.</w:t>
      </w:r>
    </w:p>
    <w:p>
      <w:pPr>
        <w:spacing w:after="0" w:line="160"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income for the three months and nine months ended September 30, 2020 includes approximately $14.4 million and $34.9 million, respectively, in expenses directly related to the COVID-19 pandemic, which are primarily employment costs.</w:t>
      </w:r>
    </w:p>
    <w:p>
      <w:pPr>
        <w:spacing w:after="0" w:line="135" w:lineRule="exact"/>
        <w:rPr>
          <w:rFonts w:ascii="Times New Roman" w:cs="Times New Roman" w:eastAsia="Times New Roman" w:hAnsi="Times New Roman"/>
          <w:sz w:val="18"/>
          <w:szCs w:val="18"/>
          <w:color w:val="auto"/>
        </w:rPr>
      </w:pPr>
    </w:p>
    <w:p>
      <w:pPr>
        <w:ind w:left="380" w:right="99" w:hanging="330"/>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Room nights available to guests include nights the hotels are closed. Hospitality RevPAR is not comparable to similarly titled measures such as revenues.</w:t>
      </w:r>
    </w:p>
    <w:p>
      <w:pPr>
        <w:spacing w:after="0" w:line="135" w:lineRule="exact"/>
        <w:rPr>
          <w:rFonts w:ascii="Times New Roman" w:cs="Times New Roman" w:eastAsia="Times New Roman" w:hAnsi="Times New Roman"/>
          <w:sz w:val="18"/>
          <w:szCs w:val="18"/>
          <w:color w:val="auto"/>
        </w:rPr>
      </w:pPr>
    </w:p>
    <w:p>
      <w:pPr>
        <w:ind w:left="380" w:right="159" w:hanging="330"/>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the hotels are closed. Hospitality Total RevPAR is not comparable to similarly titled measures such as revenues.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99" w:hanging="330"/>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includes approximately 555,000 and 1,886,000 group room cancellations in the three months and nine months ended September 30, 2020, respectively.</w:t>
      </w:r>
    </w:p>
    <w:p>
      <w:pPr>
        <w:spacing w:after="0" w:line="13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Total Hospitality segment revenues in the three months and nine months ended September 30, 2020 include $7.0 million and $16.8 million, respectively, in attrition and cancellation fee collections, an increase of $3.6 million and $3.7 million, respectively, from the 2019 periods. In an effort to maintain our strong relationship with meeting planners, we intend to work with these meeting planners to defer additional attrition and cancellation fees attributable to the COVID-19 pandemic to deposits for future stays.</w:t>
      </w:r>
    </w:p>
    <w:p>
      <w:pPr>
        <w:spacing w:after="0" w:line="143"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4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5"/>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6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28 %</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36 %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25 %</w:t>
            </w:r>
          </w:p>
        </w:tc>
      </w:tr>
    </w:tbl>
    <w:p>
      <w:pPr>
        <w:spacing w:after="0" w:line="17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Other hotel expenses for the three months and nine months ended September 30, 2020 and 2019 consist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640" w:type="dxa"/>
            <w:vAlign w:val="bottom"/>
            <w:vMerge w:val="restart"/>
          </w:tcPr>
          <w:p>
            <w:pPr>
              <w:spacing w:after="0"/>
              <w:rPr>
                <w:sz w:val="10"/>
                <w:szCs w:val="10"/>
                <w:color w:val="auto"/>
              </w:rPr>
            </w:pPr>
          </w:p>
        </w:tc>
        <w:tc>
          <w:tcPr>
            <w:tcW w:w="6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vMerge w:val="restart"/>
          </w:tcPr>
          <w:p>
            <w:pPr>
              <w:spacing w:after="0"/>
              <w:rPr>
                <w:sz w:val="10"/>
                <w:szCs w:val="10"/>
                <w:color w:val="auto"/>
              </w:rPr>
            </w:pPr>
          </w:p>
        </w:tc>
        <w:tc>
          <w:tcPr>
            <w:tcW w:w="6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0"/>
                <w:szCs w:val="10"/>
                <w:color w:val="auto"/>
              </w:rPr>
            </w:pPr>
          </w:p>
        </w:tc>
        <w:tc>
          <w:tcPr>
            <w:tcW w:w="4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6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$ 19,071</w:t>
            </w:r>
          </w:p>
        </w:tc>
        <w:tc>
          <w:tcPr>
            <w:tcW w:w="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$ 36,232</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76,640</w:t>
            </w:r>
          </w:p>
        </w:tc>
        <w:tc>
          <w:tcPr>
            <w:tcW w:w="1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$ 106,714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37,431</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114,721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$ 56,961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$ 91,608</w:t>
            </w:r>
          </w:p>
        </w:tc>
        <w:tc>
          <w:tcPr>
            <w:tcW w:w="90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$ 273,074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decreased during the three months and nine months ended September 30, 2020, as compared to the same periods in 2019, primarily due to hotel closures and cost containment efforts at each of our Gaylord Hotels properties. Utility costs decreased during the three months and nine months ended September 30, 2020, as compared to the same periods in 2019, primarily due to decreases at each of our Gaylord Hotels properties due to lower usage. Property taxes remained stable during the three months and nine months ended September 30, 2020, as compared to the 2019 periods. Other expenses, which include supplies, advertising, maintenance costs and consulting costs, decreased during the</w:t>
      </w:r>
    </w:p>
    <w:p>
      <w:pPr>
        <w:spacing w:after="0" w:line="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three months and nine months ended September 30, 2020, as compared to the same periods in 2019, primarily as a result of various decreases at Gaylord Opryland, Gaylord National, Gaylord Texan and Gaylord Palms due to hotel closures and were aided by cost containment initiatives as a result of the COVID-19 pandemic.</w:t>
      </w:r>
    </w:p>
    <w:p>
      <w:pPr>
        <w:spacing w:after="0" w:line="14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for our four owned Gaylord Hotels properties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September 30, 2020 and 2019, we incurred $1.3 million and $7.3 million, respectively, and in the nine months ended September 30, 2020 and 2019, we incurred $7.8 million and $22.3 million, respectively, related to base management fees for our Hospitality segment. In addition, in the three months ended September 30, 2020 and 2019, we incurred $0 and $1.9 million, respectively, and in the nine months ended September 30, 2020, we incurred $0 and $8.6 million, respectively, related to incentive management fees for our Hospitality segment. Management fees are presented throughout this Quarterly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Report on Form 10-Q net of the amortization of the deferred management rights proceeds discussed in Note 8, “Deferred Management Rights Proceeds,” to the accompanying condensed consolidated financial statements included herein.</w:t>
      </w:r>
    </w:p>
    <w:p>
      <w:pPr>
        <w:spacing w:after="0" w:line="113"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decreased slightly in the three months and nine months ended September 30, 2020, as compared to the same periods in 2019.</w:t>
      </w:r>
    </w:p>
    <w:p>
      <w:pPr>
        <w:spacing w:after="0" w:line="119"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and nine months ended September 30, 2020 and 2019. The Gaylord Hotels properties experienced higher levels of attrition and cancellations which are directly related to the COVID-19 pandemic. Therefore, the property-level financial results for the three months and nine months ended September 30, 2020 are not comparable to the prior year periods. Total revenue at each of our Gaylord Hotels properties was lower than anticipated for the three months and nine months ended September 30, 2020 due to the COVID-19 pandemic. Operating costs at each of our Gaylord Hotels properties were lower for the three months and nine months ended September 30, 2020 as a result of cost containment initiatives and the temporary property closures that began in late-March 2020 due to the COVID-19 pandemic.</w:t>
      </w:r>
    </w:p>
    <w:p>
      <w:pPr>
        <w:spacing w:after="0" w:line="185" w:lineRule="exact"/>
        <w:rPr>
          <w:sz w:val="20"/>
          <w:szCs w:val="20"/>
          <w:color w:val="auto"/>
        </w:rPr>
      </w:pPr>
    </w:p>
    <w:p>
      <w:pPr>
        <w:ind w:left="60" w:right="3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months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and 2019 are as follows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0"/>
                <w:szCs w:val="10"/>
                <w:color w:val="auto"/>
              </w:rPr>
            </w:pPr>
          </w:p>
        </w:tc>
        <w:tc>
          <w:tcPr>
            <w:tcW w:w="6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0"/>
                <w:szCs w:val="10"/>
                <w:color w:val="auto"/>
              </w:rPr>
            </w:pPr>
          </w:p>
        </w:tc>
        <w:tc>
          <w:tcPr>
            <w:tcW w:w="46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$ 38,968</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38,386</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118,274</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120,091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03"/>
        </w:trPr>
        <w:tc>
          <w:tcPr>
            <w:tcW w:w="36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6,529</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14,195</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39,765</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96"/>
        </w:trPr>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17,514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94,961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278,130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0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9,728</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63,583</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16,841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78,169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8,986</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26,406</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196"/>
        </w:trPr>
        <w:tc>
          <w:tcPr>
            <w:tcW w:w="3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32,917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69,164</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120,624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204,196</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13.8 %</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77.2 %</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(63.4)pts</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77.6 %</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(52.6)pts</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193.58</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$ 189.97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3"/>
        </w:trPr>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$ 146.66</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150.01</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$ 339.43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539" w:hanging="330"/>
        <w:spacing w:after="0" w:line="312" w:lineRule="auto"/>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Gaylord Opryland operating expenses do not include preopening costs of $0.1 million for the nine months ended September 30, 2019 and a gain on sale of assets of $1.3 million in the nine months ended September 30, 2020.</w:t>
      </w:r>
    </w:p>
    <w:p>
      <w:pPr>
        <w:spacing w:after="0" w:line="140"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Rooms revenue and RevPAR were negatively impacted during the three months and nine months ended September 30, 2019 by a rooms renovation project, which resulted in approximately 6,000 and 26,250 room nights out of service, respectively. The rooms renovation project was completed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months and nine months ended September 30,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are as 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$ 15,334</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20,824</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24,865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16,355</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40,854</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53,848</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148,127</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11,912</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16,217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12,080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37,671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12,452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19,973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38,316</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72,725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119,609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14.7 %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72.7 %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(58.0)pts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77.4 %</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(51.4)pts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168.83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$ 161.98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206.72</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$ 117.71</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$ 313.61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138.79</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61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Palms operating expenses do not include preopening costs of $0.1 million and $0.2 million in the three months and nine months ended September 30, 2020, respectively. See discussion of these items below.</w:t>
      </w:r>
    </w:p>
    <w:p>
      <w:pPr>
        <w:spacing w:after="0" w:line="335"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months and nine months ended September 30, 2020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are as 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$ 25,524</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(65.9)%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29,238</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74,932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36,477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111,990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15,404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19,651</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81,119</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207,873</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17,335</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22,862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11,642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35,245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19,184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6"/>
        </w:trPr>
        <w:tc>
          <w:tcPr>
            <w:tcW w:w="2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25,632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48,348</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(47.0)%</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85,818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148,072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27.3 %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80.6 %</w:t>
            </w:r>
          </w:p>
        </w:tc>
        <w:tc>
          <w:tcPr>
            <w:tcW w:w="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(53.3)pts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78.6 %</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(49.1)pts</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190.80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$ 189.64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0.6 %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199.31</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3"/>
        </w:trPr>
        <w:tc>
          <w:tcPr>
            <w:tcW w:w="2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$ 152.94</w:t>
            </w:r>
          </w:p>
        </w:tc>
        <w:tc>
          <w:tcPr>
            <w:tcW w:w="16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(65.9)%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117.75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$ 398.52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163.21</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Gaylord National has been closed since late March 2020. The results of Gaylord National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and nine months ended September 30, 2020 and 2019 are as follows (in thousands, except percentages and performance metrics):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0"/>
                <w:szCs w:val="10"/>
                <w:color w:val="auto"/>
              </w:rPr>
            </w:pPr>
          </w:p>
        </w:tc>
        <w:tc>
          <w:tcPr>
            <w:tcW w:w="52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$ 26,264</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19,533</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87,538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27,402</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24,694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97,278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59,128</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50,056</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202,886</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10,371</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12,727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18,826</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24,204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19,553</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39,008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20,751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5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56,671</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97,070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177,151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71.9 %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(71.9)pts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75.1 %</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(57.9)pts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$ 198.96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207.13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$ 143.02</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160.65</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$ 321.99</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(99.8)%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91.53</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9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National operating expenses do not include credit losses on held-to-maturity securities of $7.8 million and $32.8 million in the three months and nine months ended September 30, 2020, respectively. See discussion of this item below.</w:t>
      </w:r>
    </w:p>
    <w:p>
      <w:pPr>
        <w:spacing w:after="0" w:line="174" w:lineRule="exact"/>
        <w:rPr>
          <w:sz w:val="20"/>
          <w:szCs w:val="20"/>
          <w:color w:val="auto"/>
        </w:rPr>
      </w:pPr>
    </w:p>
    <w:p>
      <w:pPr>
        <w:ind w:left="60" w:right="17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months and nine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2019 are as follows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3"/>
        </w:trPr>
        <w:tc>
          <w:tcPr>
            <w:tcW w:w="2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216"/>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8"/>
                <w:szCs w:val="18"/>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8"/>
                <w:szCs w:val="18"/>
                <w:color w:val="auto"/>
              </w:rPr>
            </w:pPr>
          </w:p>
        </w:tc>
        <w:tc>
          <w:tcPr>
            <w:tcW w:w="740" w:type="dxa"/>
            <w:vAlign w:val="bottom"/>
            <w:tcBorders>
              <w:right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r>
      <w:tr>
        <w:trPr>
          <w:trHeight w:val="202"/>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$ 23,658</w:t>
            </w: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57,453</w:t>
            </w:r>
          </w:p>
        </w:tc>
        <w:tc>
          <w:tcPr>
            <w:tcW w:w="2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(63.6)%</w:t>
            </w:r>
          </w:p>
        </w:tc>
      </w:tr>
      <w:tr>
        <w:trPr>
          <w:trHeight w:val="203"/>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35,124</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91,995</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(60.4)%</w:t>
            </w:r>
          </w:p>
        </w:tc>
      </w:tr>
      <w:tr>
        <w:trPr>
          <w:trHeight w:val="203"/>
        </w:trPr>
        <w:tc>
          <w:tcPr>
            <w:tcW w:w="3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2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16,180</w:t>
            </w:r>
          </w:p>
        </w:tc>
        <w:tc>
          <w:tcPr>
            <w:tcW w:w="2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(32.1)%</w:t>
            </w:r>
          </w:p>
        </w:tc>
      </w:tr>
      <w:tr>
        <w:trPr>
          <w:trHeight w:val="196"/>
        </w:trPr>
        <w:tc>
          <w:tcPr>
            <w:tcW w:w="3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11,931</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64,949</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165,628</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(58.7)%</w:t>
            </w:r>
          </w:p>
        </w:tc>
      </w:tr>
      <w:tr>
        <w:trPr>
          <w:trHeight w:val="20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16,722</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(56.0)%</w:t>
            </w:r>
          </w:p>
        </w:tc>
      </w:tr>
      <w:tr>
        <w:trPr>
          <w:trHeight w:val="203"/>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18,498</w:t>
            </w: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50,459</w:t>
            </w:r>
          </w:p>
        </w:tc>
        <w:tc>
          <w:tcPr>
            <w:tcW w:w="2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(55.5)%</w:t>
            </w:r>
          </w:p>
        </w:tc>
      </w:tr>
      <w:tr>
        <w:trPr>
          <w:trHeight w:val="203"/>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6,992</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8,729</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26,134</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w:t>
            </w:r>
          </w:p>
        </w:tc>
      </w:tr>
      <w:tr>
        <w:trPr>
          <w:trHeight w:val="203"/>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2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(59.8)%</w:t>
            </w:r>
          </w:p>
        </w:tc>
      </w:tr>
      <w:tr>
        <w:trPr>
          <w:trHeight w:val="203"/>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22,616</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22,488</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67,897</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67,414</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0.7 %</w:t>
            </w:r>
          </w:p>
        </w:tc>
      </w:tr>
      <w:tr>
        <w:trPr>
          <w:trHeight w:val="196"/>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expenses (1)</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35,895</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58,642</w:t>
            </w: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122,862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167,303</w:t>
            </w:r>
          </w:p>
        </w:tc>
        <w:tc>
          <w:tcPr>
            <w:tcW w:w="2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w:t>
            </w:r>
          </w:p>
        </w:tc>
      </w:tr>
      <w:tr>
        <w:trPr>
          <w:trHeight w:val="203"/>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r>
      <w:tr>
        <w:trPr>
          <w:trHeight w:val="203"/>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19.3 %</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86.3 %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(67.0)pts</w:t>
            </w:r>
          </w:p>
        </w:tc>
        <w:tc>
          <w:tcPr>
            <w:tcW w:w="120" w:type="dxa"/>
            <w:vAlign w:val="bottom"/>
          </w:tcPr>
          <w:p>
            <w:pPr>
              <w:spacing w:after="0"/>
              <w:rPr>
                <w:sz w:val="17"/>
                <w:szCs w:val="17"/>
                <w:color w:val="auto"/>
              </w:rPr>
            </w:pP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25.8 %</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70.2 %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(44.4)pts</w:t>
            </w:r>
          </w:p>
        </w:tc>
      </w:tr>
      <w:tr>
        <w:trPr>
          <w:trHeight w:val="203"/>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169.43</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$ 198.58</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$ 171.32</w:t>
            </w: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140.21</w:t>
            </w:r>
          </w:p>
        </w:tc>
        <w:tc>
          <w:tcPr>
            <w:tcW w:w="2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(63.7)%</w:t>
            </w:r>
          </w:p>
        </w:tc>
      </w:tr>
      <w:tr>
        <w:trPr>
          <w:trHeight w:val="202"/>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86.39</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$ 470.33</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404.19</w:t>
            </w: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(58.9)%</w:t>
            </w:r>
          </w:p>
        </w:tc>
      </w:tr>
      <w:tr>
        <w:trPr>
          <w:trHeight w:val="108"/>
        </w:trPr>
        <w:tc>
          <w:tcPr>
            <w:tcW w:w="224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76" w:lineRule="exact"/>
        <w:rPr>
          <w:sz w:val="20"/>
          <w:szCs w:val="20"/>
          <w:color w:val="auto"/>
        </w:rPr>
      </w:pPr>
    </w:p>
    <w:p>
      <w:pPr>
        <w:ind w:left="380" w:right="69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Rockies operating expenses do not include preopening costs of $0.6 million in the nine months ended September 30, 2019. See discussion of these items below.</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200"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Due to the COVID-19 pandemic, we temporarily closed our Entertainment segment assets in mid-March 2020 and are reopening in stages, with limited capacity. Therefore, the Entertainment segment financial results for the three months and nine months ended September 30, 2020 are not comparable to the prior year periods. The following presents the financial results of our Entertainment segment for the three months and nine months ended September 30, 2020 and 2019 (in thousands, except percentages):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52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60" w:type="dxa"/>
            <w:vAlign w:val="bottom"/>
            <w:tcBorders>
              <w:bottom w:val="single" w:sz="8" w:color="auto"/>
            </w:tcBorders>
            <w:gridSpan w:val="4"/>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300" w:type="dxa"/>
            <w:vAlign w:val="bottom"/>
            <w:vMerge w:val="restart"/>
          </w:tcPr>
          <w:p>
            <w:pPr>
              <w:spacing w:after="0"/>
              <w:rPr>
                <w:sz w:val="10"/>
                <w:szCs w:val="10"/>
                <w:color w:val="auto"/>
              </w:rPr>
            </w:pPr>
          </w:p>
        </w:tc>
        <w:tc>
          <w:tcPr>
            <w:tcW w:w="6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vMerge w:val="restart"/>
          </w:tcPr>
          <w:p>
            <w:pPr>
              <w:spacing w:after="0"/>
              <w:rPr>
                <w:sz w:val="10"/>
                <w:szCs w:val="10"/>
                <w:color w:val="auto"/>
              </w:rPr>
            </w:pPr>
          </w:p>
        </w:tc>
        <w:tc>
          <w:tcPr>
            <w:tcW w:w="7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0"/>
                <w:szCs w:val="10"/>
                <w:color w:val="auto"/>
              </w:rPr>
            </w:pPr>
          </w:p>
        </w:tc>
        <w:tc>
          <w:tcPr>
            <w:tcW w:w="580" w:type="dxa"/>
            <w:vAlign w:val="bottom"/>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0"/>
                <w:szCs w:val="10"/>
                <w:color w:val="auto"/>
              </w:rPr>
            </w:pPr>
          </w:p>
        </w:tc>
        <w:tc>
          <w:tcPr>
            <w:tcW w:w="580" w:type="dxa"/>
            <w:vAlign w:val="bottom"/>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$ 12,271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$ 51,530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135,385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92,722</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Operating income (loss) (1)(2)</w:t>
            </w:r>
          </w:p>
        </w:tc>
        <w:tc>
          <w:tcPr>
            <w:tcW w:w="13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(9,057)</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$ 14,376</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34,222</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17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(loss) does not include preopening costs of $0.2 million in the three months ended September 30, 2019 and $1.4 million and $1.6 million in the nine months ended September 30, 2020 and 2019, respectively. See discussion of these items below.</w:t>
      </w:r>
    </w:p>
    <w:p>
      <w:pPr>
        <w:spacing w:after="0" w:line="135" w:lineRule="exact"/>
        <w:rPr>
          <w:rFonts w:ascii="Times New Roman" w:cs="Times New Roman" w:eastAsia="Times New Roman" w:hAnsi="Times New Roman"/>
          <w:sz w:val="18"/>
          <w:szCs w:val="18"/>
          <w:color w:val="auto"/>
        </w:rPr>
      </w:pPr>
    </w:p>
    <w:p>
      <w:pPr>
        <w:ind w:left="380" w:right="35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loss for the three months and nine months ended September 30, 2020 includes approximately $0.5 million and $4.6 million, respectively, in expenses directly related to the COVID-19 pandemic, which are primarily employment costs.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87" w:lineRule="exact"/>
        <w:rPr>
          <w:sz w:val="20"/>
          <w:szCs w:val="20"/>
          <w:color w:val="auto"/>
        </w:rPr>
      </w:pPr>
    </w:p>
    <w:p>
      <w:pPr>
        <w:ind w:left="60" w:right="10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and nine months ended September 30, 2020 and 2019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5"/>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gridSpan w:val="2"/>
          </w:tcPr>
          <w:p>
            <w:pPr>
              <w:jc w:val="right"/>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0"/>
                <w:szCs w:val="10"/>
                <w:color w:val="auto"/>
              </w:rPr>
            </w:pPr>
          </w:p>
        </w:tc>
        <w:tc>
          <w:tcPr>
            <w:tcW w:w="50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8"/>
              </w:rPr>
              <w:t>(22.4)%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(14.4)%</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8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(1)</w:t>
            </w: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359" w:hanging="330"/>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segment operating loss for the three months and nine months ended September 30, 2020 includes approximately $0.1 million and $0.6 million, respectively, in expenses directly related to the COVID-19 pandemic, which are primarily employment costs.</w:t>
      </w:r>
    </w:p>
    <w:p>
      <w:pPr>
        <w:spacing w:after="0" w:line="135" w:lineRule="exact"/>
        <w:rPr>
          <w:sz w:val="20"/>
          <w:szCs w:val="20"/>
          <w:color w:val="auto"/>
        </w:rPr>
      </w:pPr>
    </w:p>
    <w:p>
      <w:pPr>
        <w:ind w:left="60" w:right="59"/>
        <w:spacing w:after="0" w:line="277" w:lineRule="auto"/>
        <w:rPr>
          <w:sz w:val="20"/>
          <w:szCs w:val="20"/>
          <w:color w:val="auto"/>
        </w:rPr>
      </w:pPr>
      <w:r>
        <w:rPr>
          <w:rFonts w:ascii="Times New Roman" w:cs="Times New Roman" w:eastAsia="Times New Roman" w:hAnsi="Times New Roman"/>
          <w:sz w:val="17"/>
          <w:szCs w:val="17"/>
          <w:color w:val="auto"/>
        </w:rPr>
        <w:t>Corporate and Other operating expenses consist primarily of costs associated with senior management salaries and benefits, legal, human resources, accounting, pension, information technology and other administrative costs. Corporate and Other segment operating expenses decreased in the three months and nine months ended September 30, 2020, as compared to the prior year periods, primarily as a result of cost containment efforts, including temporary compensation decreases for each of our director and higher positions of management, including 50% of the salary for our chief executive officer.</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18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Preopening costs of $0.1 million and $1.6 million during the three months and nine months ended September 30, 2020, respectively, primarily include costs associated with Ole Red Orlando, which opened in June 2020, and the Gaylord Palms expansion, which is expected to be completed in April 2021. Preopening costs of $2.3 million during the nine months ended September 30, 2019 primarily include costs associated with Ole Red Gatlinburg, which opened in March 2019, and Gaylord Rockies, which opened on a fully operational basis in first quarter 2019.</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on Sale of Assets</w:t>
      </w:r>
    </w:p>
    <w:p>
      <w:pPr>
        <w:spacing w:after="0" w:line="20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Gain on sale of assets of $1.3 million during the nine months ended September 30, 2020 includes the sale of certain assets at Gaylord Opryland.</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Credit Losses on Held-to-Maturity Securities</w:t>
      </w:r>
    </w:p>
    <w:p>
      <w:pPr>
        <w:spacing w:after="0" w:line="189"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Credit losses on held-to-maturity securities of $7.8 million and $32.8 million during the three months and nine months ended September 30, 2020, respectively, relate to the bonds we received in 2008 related to the Gaylord National construction, which we hold as notes receivable. See further discussion regarding these credit losses in Note 6, “Notes Receivable,” to the condensed consolidated financial statements included herein.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8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three months and nine months ended September 30, 2020 and 2019 (in thousands, except percentages):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900" w:type="dxa"/>
            <w:vAlign w:val="bottom"/>
            <w:gridSpan w:val="5"/>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Borders>
              <w:bottom w:val="single" w:sz="8" w:color="auto"/>
            </w:tcBorders>
            <w:gridSpan w:val="4"/>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220" w:type="dxa"/>
            <w:vAlign w:val="bottom"/>
            <w:vMerge w:val="restart"/>
          </w:tcPr>
          <w:p>
            <w:pPr>
              <w:spacing w:after="0"/>
              <w:rPr>
                <w:sz w:val="10"/>
                <w:szCs w:val="10"/>
                <w:color w:val="auto"/>
              </w:rPr>
            </w:pPr>
          </w:p>
        </w:tc>
        <w:tc>
          <w:tcPr>
            <w:tcW w:w="7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vMerge w:val="restart"/>
          </w:tcPr>
          <w:p>
            <w:pPr>
              <w:spacing w:after="0"/>
              <w:rPr>
                <w:sz w:val="10"/>
                <w:szCs w:val="10"/>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7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vMerge w:val="restart"/>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5"/>
              </w:rPr>
              <w:t>$ 28,127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$ 35,261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$ 87,527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$ 100,840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(1,054.1)%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1,729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(1,830.6)%</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Interest expense decreased $7.1 million and $13.3 million, respectively, during the three months and nine months ended September 30, 2020, as compared to the same periods in 2019, due primarily to lower average borrowings and lower interest rates under our credit facility in the 2020 period, partially offset by increased principal balances outstanding under our senior notes.</w:t>
      </w:r>
    </w:p>
    <w:p>
      <w:pPr>
        <w:spacing w:after="0" w:line="13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Cash interest expense decreased $3.6 million to $27.1 million in the three months and decreased $9.3 million to $84.1 million in the nine months ended September 30, 2020, as compared to the same periods in 2019. Non-cash interest expense, which includes amortization and write-off of deferred financing costs and is offset by capitalized interest, decreased $3.5 million to $1.0 million in the three months and decreased $4.0 million to $3.4 million in the nine months ended September 30, 2020, as compared to the same periods in 2019.</w:t>
      </w:r>
    </w:p>
    <w:p>
      <w:pPr>
        <w:spacing w:after="0" w:line="156" w:lineRule="exact"/>
        <w:rPr>
          <w:sz w:val="20"/>
          <w:szCs w:val="20"/>
          <w:color w:val="auto"/>
        </w:rPr>
      </w:pPr>
    </w:p>
    <w:p>
      <w:pPr>
        <w:ind w:left="60" w:right="279"/>
        <w:spacing w:after="0" w:line="289" w:lineRule="auto"/>
        <w:rPr>
          <w:sz w:val="20"/>
          <w:szCs w:val="20"/>
          <w:color w:val="auto"/>
        </w:rPr>
      </w:pPr>
      <w:r>
        <w:rPr>
          <w:rFonts w:ascii="Times New Roman" w:cs="Times New Roman" w:eastAsia="Times New Roman" w:hAnsi="Times New Roman"/>
          <w:sz w:val="17"/>
          <w:szCs w:val="17"/>
          <w:color w:val="auto"/>
        </w:rPr>
        <w:t>Our weighted average interest rate on our borrowings, excluding the write-off of deferred financing costs and capitalized interest, but including the impact of interest rate swaps, was 4.4% and 4.9% for the three months ended September 30, 2020 and 2019, respectively, and 4.4% and 5.1% for the nine months ended September 30, 2020 and 2019, respectively.</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and nine months ended September 30, 2020 and 2019 primarily includes amounts earned on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0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September 2019, we commenced a cash tender offer for any and all outstanding $350 million 5% senior notes due 2021 at a redemption price of $1,002.50 per $1,000 principal amount. Pursuant to the tender offer, $197.5 million aggregate principal amount of these notes were validly tendered. As a result of our purchase of these tendered notes, we recognized a loss on extinguishment of debt of $0.5 million in the three months and nine months ended September 30, 2019.</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from Unconsolidated Joint Ventures</w:t>
      </w:r>
    </w:p>
    <w:p>
      <w:pPr>
        <w:spacing w:after="0" w:line="187"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the three months and nine months ended September 30, 2020 represents our equity method share of losses associated with Circle.</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18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Other gains and (losses), net for the nine months ended September 30, 2020 includes the forfeiture of a $15.0 million deposit associated with the terminated Block 21 acquisition, which resulted in a loss being recognized in the current period. See “Termination of Block 21 Acquisition” above for additional discussion.</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35"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2020, we recorded an income tax provision of $0.1 million and $27.0 million, respectively. The income tax provision for the nine months ended September 30, 2020 includes the recording of a valuation allowance of $26.7 million, as discussed in Note 12, “Income Taxes,” to the condensed consolidated financial statements included herein. In the three months and nine months ended September 30, 2020, we also recorded income tax expense of $0.1 million and $0.3 million, respectively, inclusive of valuation allowance, related to current period operations.</w:t>
      </w:r>
    </w:p>
    <w:p>
      <w:pPr>
        <w:spacing w:after="0" w:line="14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September 30, 2019, we recorded an income tax provision of $3.5 million and $13.7 million, respectively, related to regular operations, which differed from the statutory rate primarily due to the REIT dividends paid deduction in the periods.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8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EBITDAre, Adjusted EBITDAre and Adjusted EBITDAre, Excluding Noncontrolling Interest Definition</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 preopening costs; non-cash lease expense; equity-based compensation expense; impairment charges that do not meet the NAREIT definition above; credit losses on held-to-maturity securities; any transaction costs of acquisitions; interest income on bonds; loss on extinguishment of debt; pension settlement charges; 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 any other adjustments we have identified herein. We then exclude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to evaluate our operating performance. We believe that the presentation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provides useful information to investors regarding our operating performance and debt leverage metrics, and that the presentation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provides useful information to investors regarding our operating performance and debt leverage metrics. Beginning in the first quarter 2020 with the Company’s adoption of ASU 2016-13, “</w:t>
      </w:r>
      <w:r>
        <w:rPr>
          <w:rFonts w:ascii="Times New Roman" w:cs="Times New Roman" w:eastAsia="Times New Roman" w:hAnsi="Times New Roman"/>
          <w:sz w:val="18"/>
          <w:szCs w:val="18"/>
          <w:i w:val="1"/>
          <w:iCs w:val="1"/>
          <w:color w:val="auto"/>
        </w:rPr>
        <w:t>Financial Instruments – Credit Losses – Measurement of Credit Losses on Financial Instruments,”</w:t>
      </w:r>
      <w:r>
        <w:rPr>
          <w:rFonts w:ascii="Times New Roman" w:cs="Times New Roman" w:eastAsia="Times New Roman" w:hAnsi="Times New Roman"/>
          <w:sz w:val="18"/>
          <w:szCs w:val="18"/>
          <w:color w:val="auto"/>
        </w:rPr>
        <w:t xml:space="preserve"> our definition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includes an adjustment for credit loss on held-to-maturity securities; such charges in previous quarters were included in impairment charges that do not meet the NAREIT definition. The 2020 presentation has been used for the 2019 periods.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FFO, Adjusted FFO, and Adjusted FFO available to common shareholders and unit holders Definition</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 To calculate Adjusted FFO available to common shareholders and unit holders, we then exclude, to the extent the following adjustments occurred during the periods presented: right-of-use asset amortization, impairment charges that do not meet the NAREIT definition above; write-offs of deferred financing costs, non-cash lease expense, credit loss on held-to-maturity securities, amortization of debt discounts or premiums and amortization of deferred financing costs, pension settlement charges, additional pro rata adjustments from unconsolidated joint ventures, (gains) losses on other assets, transaction costs on acquisitions, deferred income tax expense (benefit), and (gains) losses on extinguishment of debt. FFO available to common shareholders and unit holders and Adjusted FFO available to common shareholders and units holders exclude the ownership portion of Gaylord Rockies joint venture not controlled or owned by the Company. Beginning in the first quarter 2020 with the Company’s adoption of ASU 2016-13, “</w:t>
      </w:r>
      <w:r>
        <w:rPr>
          <w:rFonts w:ascii="Times New Roman" w:cs="Times New Roman" w:eastAsia="Times New Roman" w:hAnsi="Times New Roman"/>
          <w:sz w:val="18"/>
          <w:szCs w:val="18"/>
          <w:i w:val="1"/>
          <w:iCs w:val="1"/>
          <w:color w:val="auto"/>
        </w:rPr>
        <w:t>Financial Instruments – Credit Losses –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Instruments,” </w:t>
      </w:r>
      <w:r>
        <w:rPr>
          <w:rFonts w:ascii="Times New Roman" w:cs="Times New Roman" w:eastAsia="Times New Roman" w:hAnsi="Times New Roman"/>
          <w:sz w:val="18"/>
          <w:szCs w:val="18"/>
          <w:color w:val="auto"/>
        </w:rPr>
        <w:t>our definition of Adjusted FFO available to common shareholders includes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for credit loss on held-to-maturity securities; such charges in previous quarters were included in impairment charges that do not meet the NAREIT definition. The 2020 presentation has been used for the 2019 periods. Beginning in the third quarter of 2020, we refer to unitholders in these measures, reflecting outstanding OP units issued to noncontrolling interests for the first time during third quarter 2020.</w:t>
      </w:r>
    </w:p>
    <w:p>
      <w:pPr>
        <w:spacing w:after="0" w:line="191"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shareholders and unit holders and Adjusted FFO available to common shareholders and unit holders provide useful information to investors regarding the performance of our ongoing operations because it is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FFO available to common shareholders and unit holders and Adjusted FFO available to common shareholders and unit holders as measures in determining our results after considering the impact of our capital structure.</w:t>
      </w:r>
    </w:p>
    <w:p>
      <w:pPr>
        <w:spacing w:after="0" w:line="19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shareholders and unitholders, and Adjusted FFO available to common shareholders and unit holders, and any related per share measures, should not be considered as alternative measures of our Net Income (Loss), operating performance, cash flow or liquidity.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shareholders and unit holders, and Adjusted FFO available to common shareholders and unit holders may include funds that may not be available for our discretionary use due to functional requirements to conserve funds for capital expenditures and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acquisitions and other commitments and uncertainties. Although we believe that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FFO available to common shareholders and unit holders, and Adjusted FFO available to common shareholders and unit holders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68"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three months and nine months ended September 30, 2020 and 2019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Pr>
          <w:p>
            <w:pPr>
              <w:spacing w:after="0"/>
              <w:rPr>
                <w:sz w:val="15"/>
                <w:szCs w:val="15"/>
                <w:color w:val="auto"/>
              </w:rPr>
            </w:pPr>
          </w:p>
        </w:tc>
        <w:tc>
          <w:tcPr>
            <w:tcW w:w="1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8"/>
                <w:szCs w:val="18"/>
                <w:i w:val="1"/>
                <w:iCs w:val="1"/>
                <w:color w:val="auto"/>
              </w:rPr>
              <w:t>re</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on held-to-maturity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on Gaylord National &amp; Gaylord Rockies bonds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noncontrolling interest in consolidated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joint venture</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(10,995)</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(5,088)</w:t>
            </w: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(25,367)</w:t>
            </w: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108,076</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(38,734)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joint venture</w:t>
            </w: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3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FFO and Adjusted FFO for the three months and nine months ended September 30, 2020 and 2019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4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$ 20,890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(368,272)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w:t>
            </w:r>
          </w:p>
        </w:tc>
      </w:tr>
      <w:tr>
        <w:trPr>
          <w:trHeight w:val="216"/>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w:t>
            </w:r>
          </w:p>
        </w:tc>
      </w:tr>
      <w:tr>
        <w:trPr>
          <w:trHeight w:val="178"/>
        </w:trPr>
        <w:tc>
          <w:tcPr>
            <w:tcW w:w="51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available to common shareholders and unit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(117,984)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22,349</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(337,992)</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101,140</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160,440</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(8,164)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(8,576)</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(25,975)</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shareholders and unit holders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235,605</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on held-to-maturity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other assets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premiums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expense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w:t>
            </w: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shareholders and unit 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$ 77,950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(118,556)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260,007</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Cash flow from operating activities is the principal source of cash used to fund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interest payments on debt, maintenance capital expenditures, and dividends to stockholders. During the nine months ended September 30, 2020, our net cash flows used in operating activities were $112.3 million, primarily reflecting cash used in our net loss before depreciation expense, amortization expense and other non-cash charges of approximately $114.4 million, partially offset by favorable changes in working capital of approximately $2.1 million. The favorable changes in working capital primarily resulted from a decrease in accounts receivable due to the collection of previous receivables and the decrease of new receivables due to property closures and a decrease in business for properties that have opened, partially offset by a decrease in accounts payable and accrued liabilities associated with the payment of incentive compensation and general payables due to property closures or reduced business levels, as well as a decrease in deferred revenue associated with advanced room deposits at our Gaylord Hotels properties.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nine months ended September 30, 2019, our net cash flows provided by operating activities were</w:t>
      </w:r>
    </w:p>
    <w:p>
      <w:pPr>
        <w:spacing w:after="0" w:line="27"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$231.1 million, primarily reflecting cash provided by our income before depreciation expense, amortization expense and other non-cash charges of approximately $276.2 million, partially offset by unfavorable changes in working capital of approximately $45.1 million. The unfavorable changes in working capital primarily resulted from a decrease in accounts payable and accrued liabilities primarily attributable to the payment of liabilities associated with Gaylord Rockies and our Christmas-related and incentive compensation programs, as well as an increase in accounts receivable due to a seasonal change in the timing of payments received from corporate group customers at our Gaylord Hotels properties, as well as Gaylord Rockies becoming fully operational in 2019.</w:t>
      </w:r>
    </w:p>
    <w:p>
      <w:pPr>
        <w:spacing w:after="0" w:line="146" w:lineRule="exact"/>
        <w:rPr>
          <w:sz w:val="20"/>
          <w:szCs w:val="20"/>
          <w:color w:val="auto"/>
        </w:rPr>
      </w:pPr>
    </w:p>
    <w:p>
      <w:pPr>
        <w:ind w:left="60" w:right="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During the nine months ended September 30, 2020,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purchases of property and equipment, which totaled $124.6 million, and consisted primarily of the expansion of Gaylord Palms and ongoing maintenance capital expenditures for our existing properties.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our primary uses of funds for investing activities were purchases of property and equipment, which totaled $109.6 million and consisted primarily of the expansion at Gaylord Palms, a rooms renovation at Gaylord Opryland, construction of Ole Red Orlando, construction of SoundWaves at Gaylord Opryland, and ongoing maintenance capital expenditures for our existing properties.</w:t>
      </w:r>
    </w:p>
    <w:p>
      <w:pPr>
        <w:spacing w:after="0" w:line="151" w:lineRule="exact"/>
        <w:rPr>
          <w:sz w:val="20"/>
          <w:szCs w:val="20"/>
          <w:color w:val="auto"/>
        </w:rPr>
      </w:pPr>
    </w:p>
    <w:p>
      <w:pPr>
        <w:jc w:val="both"/>
        <w:ind w:left="60" w:right="299"/>
        <w:spacing w:after="0" w:line="261"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Our cash flows from financing activities primarily reflect the incurrence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repayment of long-term debt and the payment of cash dividends. During the nine months ended September 30, 2020, our net cash flows used in financing activities were $75.5 million, primarily reflecting the payment of $102.3 million in cash dividends, partially offset by $35.0 million in borrowings under our revolving credit agreement.</w:t>
      </w:r>
    </w:p>
    <w:p>
      <w:pPr>
        <w:spacing w:after="0" w:line="141"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2019, our net cash flows used in financing activities were $116.9 million, primarily reflecting the repayment of $302.0 million under our revolving credit facility, the payment of $137.0 in cash dividends and the distribution by the Gaylord Rockies joint venture of $105.8 million to the noncontrolling interest partners in that joint venture, partially offset by increased borrowings under the Gaylord Rockies loans of $303.4 million and the net issuance of $150.0 million in senior notes.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0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At September 30, 2020, we had $52.2 million in unrestricted cash and $664.1 million available for borrowing under our revolving credit facility. During the nine months ended September 30, 2020, we borrowed $35.0 million under our revolving credit facility, paid cash dividends of $102.3 million and incurred capital expenditures of $124.6 million. These net outflows, when added to the cash flows used in operations discussed above, were the primary factors in the decrease in our cash balance from December 31, 2019 to September 30, 2020.</w:t>
      </w:r>
    </w:p>
    <w:p>
      <w:pPr>
        <w:spacing w:after="0" w:line="14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 dividend, we suspended our regular quarterly dividend payments for the remainder of 2020, and our board of directors will consider a future dividend as permitted by our credit agreement. Our credit facility amendment described below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51"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anticipate investing in our operations during the fourth quarter of 2020 by spending between $30 million and $40 million in capital expenditures, which primarily includes minimal ongoing maintenance capital of our current facilities, the expansion of the guest rooms and convention space at Gaylord Palms and a rooms renovation at Gaylord National that will be funded from the FF&amp;E reserve account.</w:t>
      </w:r>
    </w:p>
    <w:p>
      <w:pPr>
        <w:spacing w:after="0" w:line="15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believe that our cash on hand, together with amounts available for borrowing under our revolving credit facility, will be adequate to fund our general short-term commitments, as well as: (i) current operating expenses, (ii) interest expense on long-term debt obligations, and (iii) financing lease and operating lease obligations until our assets are able to operate at pre-COVID-19 pandemic levels. Our ability to draw on our credit facility is subject to the satisfaction of provisions of the credit facility, as amended. Based on our current projections, we estimate that our monthly cash needs during the fourth quarter of 2020 will be approximately $22 million to $24 million, which includes the Gaylord Rockies joint venture’s operating costs and debt service fully consolidated.</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outstanding principal debt agreements are described below.</w:t>
      </w:r>
    </w:p>
    <w:p>
      <w:pPr>
        <w:spacing w:after="0" w:line="185"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At September 30, 2020, there were no defaults under the covenants related to our outstanding debt, and our lender had extended the allowable closure period in the covenant in our credit facility that prohibits closure of a Gaylord Hotels property for longer than a specified period of time.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9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October 31, 2019, we entered into a Sixth Amended and Restated Credit Agreement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 credit facility (the “Revolver”), a $300.0 million senior secured term loan A (the “Term Loan A”), and a $500.0 million senior secured term loan B (the “Term Loan B”), each as discussed below. On April 23, 2020, we entered into Amendment No. 1 (the “Amendment”) to the Credit Agreement among the same parties, as discussed below.</w:t>
      </w:r>
    </w:p>
    <w:p>
      <w:pPr>
        <w:spacing w:after="0" w:line="14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 Assets of the Gaylord Rockies joint venture are not subject to the liens of our credit facility.</w:t>
      </w:r>
    </w:p>
    <w:p>
      <w:pPr>
        <w:spacing w:after="0" w:line="15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53" w:lineRule="exact"/>
        <w:rPr>
          <w:sz w:val="20"/>
          <w:szCs w:val="20"/>
          <w:color w:val="auto"/>
        </w:rPr>
      </w:pPr>
    </w:p>
    <w:p>
      <w:pPr>
        <w:ind w:left="720" w:right="45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funded indebtedness to total asset value ratio as of the end of each calendar quarter of not more than .65 to 1.0.</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(as defined in the Credit Agreement) of not less than 1.50 to 1.00.</w:t>
      </w:r>
    </w:p>
    <w:p>
      <w:pPr>
        <w:spacing w:after="0" w:line="121"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Amendment provides for a waiver of the foregoing financial covenants through March 31, 2021 and ending on April 1, 2021 (the “Temporary Waiver Period”) and amends covenant computations for the three months ended June 30, 2021 and September 30, 2021. In addition, the Amendment contains a covenant that we must maintain unrestricted liquidity (in the form of unrestricted cash on hand or undrawn availability under the Revolver) of at least $100 million. In the event we are unable to comply with the Credit Agreement’s financial covenants, we expect to further amend the Credit Agreement or take other mitigating actions prior to a potential breach.</w:t>
      </w:r>
    </w:p>
    <w:p>
      <w:pPr>
        <w:spacing w:after="0" w:line="14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We may elect to terminate the Temporary Waiver Period prior to expiration. Upon expiration or termination of the Temporary Waiver Period, we will calculate compliance with the financial covenants in the Credit Agreement using a designated annualized calculation based on our most recently completed fiscal quarter or quarters, as applicable. Pursuant to the Amendment, we are required to use any proceeds from borrowings drawn during the Temporary Waiver Period to fund operating expenses, debt service of the Company and its subsidiaries, and permitted capital expenditures and investments.</w:t>
      </w:r>
    </w:p>
    <w:p>
      <w:pPr>
        <w:spacing w:after="0" w:line="14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47" w:lineRule="exact"/>
        <w:rPr>
          <w:sz w:val="20"/>
          <w:szCs w:val="20"/>
          <w:color w:val="auto"/>
        </w:rPr>
      </w:pPr>
    </w:p>
    <w:p>
      <w:pPr>
        <w:ind w:left="60" w:right="239"/>
        <w:spacing w:after="0" w:line="315"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Pursuant to the Credit Agreement, we extended the maturity date of the Revolver to March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with two additional six-month extension options, at our election. Borrowings under the Revolver bear interest at</w:t>
      </w:r>
    </w:p>
    <w:p>
      <w:pPr>
        <w:sectPr>
          <w:pgSz w:w="11900" w:h="16838" w:orient="portrait"/>
          <w:cols w:equalWidth="0" w:num="1">
            <w:col w:w="9019"/>
          </w:cols>
          <w:pgMar w:left="1440" w:top="513"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an annual rate equal to, at our option, either (i) LIBOR plus the applicable margin ranging from 1.40% to 1.95%, dependent upon our funded debt to total asset value ratio (as defined in the Credit Agreement) or (ii) a base rate as set forth in the Credit Agreement. At September 30, 2020, the interest rate on the Revolver was, and during the Temporary Waiver Period will be, LIBOR plus 1.95%. Principal is payable in full at maturity.</w:t>
      </w:r>
    </w:p>
    <w:p>
      <w:pPr>
        <w:spacing w:after="0" w:line="153"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At September 30, 2020, $35.0 million of borrowings were outstanding under the Revolver, and the lending banks had issued $0.9 million of letters of credit under the Credit Agreement, which left $664.1 million of availability under the Revolver (subject to the satisfaction of debt incurrence tests under the indentures governing our $400 million in aggregate principal amount of senior notes due 2023 (the “$400 Million 5% Senior Notes”) and our $700 million in aggregate principal amount of senior notes due 2027 (the “$700 Million 4.75% Senior Notes”), which we met at September 30, 2020).</w:t>
      </w:r>
    </w:p>
    <w:p>
      <w:pPr>
        <w:spacing w:after="0" w:line="14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Term Loan A Facility. </w:t>
      </w:r>
      <w:r>
        <w:rPr>
          <w:rFonts w:ascii="Times New Roman" w:cs="Times New Roman" w:eastAsia="Times New Roman" w:hAnsi="Times New Roman"/>
          <w:sz w:val="18"/>
          <w:szCs w:val="18"/>
          <w:color w:val="auto"/>
        </w:rPr>
        <w:t>Pursuant to the Credit Agreement, the Term Loan A was increased from $200 million to $300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the maturity date was extended to March 31, 2025. Borrowings bear interest at an annual rate equal to, at our option, either (i) LIBOR plus the applicable margin ranging from 1.35% to 1.90%, dependent upon our funded debt to total asset value ratio (as defined in the Credit Agreement) or (ii) a base rate as set forth in the Credit Agreement. At September 30, 2020, the interest rate on the Term Loan A was, and during the Temporary Waiver Period will be, LIBOR plus 1.90%. Amounts borrowed under the Term Loan A that are repaid or prepaid may not be reborrowed. Net proceeds from the increase in the Term Loan A pursuant to the Credit Agreement were approximately $94 million and, along with cash on hand, were used to repay $100 million of the outstanding indebtedness under the Term Loan B.</w:t>
      </w:r>
    </w:p>
    <w:p>
      <w:pPr>
        <w:spacing w:after="0" w:line="14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Term Loan B Facility. </w:t>
      </w:r>
      <w:r>
        <w:rPr>
          <w:rFonts w:ascii="Times New Roman" w:cs="Times New Roman" w:eastAsia="Times New Roman" w:hAnsi="Times New Roman"/>
          <w:sz w:val="18"/>
          <w:szCs w:val="18"/>
          <w:color w:val="auto"/>
        </w:rPr>
        <w:t>The Term Loan B has a maturity date of May 11, 2024. The applicable interest rate margins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Term Loan B are, at our option, either (i) LIBOR plus 2.00% or (ii) a base rate as set forth in the Credit Agreement. At September 30, 2020,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Amounts borrowed under the Term Loan B that are repaid or prepaid may not be reborrowed. The Credit Agreement did not change the maturity date or applicable margin on interest rates for the Term Loan B. At September 30, 2020, $382.5 million in borrowings were outstanding under the Term Loan B.</w:t>
      </w:r>
    </w:p>
    <w:p>
      <w:pPr>
        <w:spacing w:after="0" w:line="165"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beginning on April 15, 2020. The $500 Million 4.75% Senior Notes are general unsecured and unsubordinated obligations of the issuing subsidiaries and rank equal in right of payment with such subsidiaries’ existing and future senior unsecured indebtedness, including the $400 Million 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$500 Million 4.75% Senior Notes totaled approximately $493 million, after deducting the initial purchasers’ discounts, commissions and offering expenses. We used substantially all of these proceeds to tender and redeem our previous $350 Million 5% Senior Notes and to repay a portion of the amounts outstanding under the Revolver.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net proceeds of the additional 2027 notes totaled approximately $199 million, after deducting the initial purchasers’ discounts, commissions and offering expenses. We used substantially all of these proceeds to repay a portion of the amounts outstanding under the Revolver.</w:t>
      </w:r>
    </w:p>
    <w:p>
      <w:pPr>
        <w:spacing w:after="0" w:line="149" w:lineRule="exact"/>
        <w:rPr>
          <w:sz w:val="20"/>
          <w:szCs w:val="20"/>
          <w:color w:val="auto"/>
        </w:rPr>
      </w:pPr>
    </w:p>
    <w:p>
      <w:pPr>
        <w:ind w:left="60" w:right="319"/>
        <w:spacing w:after="0" w:line="256" w:lineRule="auto"/>
        <w:rPr>
          <w:sz w:val="20"/>
          <w:szCs w:val="20"/>
          <w:color w:val="auto"/>
        </w:rPr>
      </w:pPr>
      <w:r>
        <w:rPr>
          <w:rFonts w:ascii="Times New Roman" w:cs="Times New Roman" w:eastAsia="Times New Roman" w:hAnsi="Times New Roman"/>
          <w:sz w:val="18"/>
          <w:szCs w:val="18"/>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4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$400 Million 5% Senior Notes. </w:t>
      </w:r>
      <w:r>
        <w:rPr>
          <w:rFonts w:ascii="Times New Roman" w:cs="Times New Roman" w:eastAsia="Times New Roman" w:hAnsi="Times New Roman"/>
          <w:sz w:val="18"/>
          <w:szCs w:val="18"/>
          <w:color w:val="auto"/>
        </w:rPr>
        <w:t>In 2015, the Operating Partnership and Finco completed the private placement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$400.0 million in aggregate principal amount of senior notes due 2023, which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new $700 million 4.75%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71"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$400 Million 5% Senior Notes are redeemable, in whole or in part, at a redemption price expressed as a percentage of the principal amount thereof, which percentage is 101.25% and 100.00% beginning on April 15 of 2020 and 2021, respectively, plus accrued and unpaid interest thereon to, but not including, the redemption date.</w:t>
      </w:r>
    </w:p>
    <w:p>
      <w:pPr>
        <w:spacing w:after="0" w:line="135"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$400 Million 5% Senior Notes for registered notes with substantially identical terms as the $400 Million 5% Senior Notes in September 2015.</w:t>
      </w:r>
    </w:p>
    <w:p>
      <w:pPr>
        <w:spacing w:after="0" w:line="11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i w:val="1"/>
          <w:iCs w:val="1"/>
          <w:color w:val="auto"/>
        </w:rPr>
        <w:t>$800 Million Term Loan (Gaylord Rockies Joint Venture)</w:t>
      </w:r>
      <w:r>
        <w:rPr>
          <w:rFonts w:ascii="Times New Roman" w:cs="Times New Roman" w:eastAsia="Times New Roman" w:hAnsi="Times New Roman"/>
          <w:sz w:val="18"/>
          <w:szCs w:val="18"/>
          <w:color w:val="auto"/>
        </w:rPr>
        <w:t>. On July 2, 2019, Aurora Convention Center Hotel, LLC (“Hotel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and Aurora Convention Center Hotel Lessee, LLC (“Tenant” and collectively, with Hotel Owner, the “Loan Parties”), subsidiaries of the entities comprising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pursue an expansion of Gaylord Rockies, which was announced in February 2020 but has been postponed as a result of the COVID-19 pandemic. The Gaylord Rockies Loan matures July 2, 2023 with three, one-year extension options, subject to certain requirements in the Gaylord Rockies Loan, and bears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We received a distribution of approximately $153 million, which was used to repay a portion of the amounts outstanding under the Revolver.</w:t>
      </w:r>
    </w:p>
    <w:p>
      <w:pPr>
        <w:spacing w:after="0" w:line="183"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 We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76"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80"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The Loan Amendment includes restrictions on distributions to the owners of the Gaylord Rockies joint venture and requires a certain level of equity financing for a Gaylord Rockies expansion.</w:t>
      </w:r>
    </w:p>
    <w:p>
      <w:pPr>
        <w:spacing w:after="0" w:line="160"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four wholly-owned Gaylord Hotels, we are subject to certain debt limitations described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2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00"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enter into commitments under letters of credit, primarily for the purpose of securing our deductible obligations with our insurers, and lending banks under our Credit Agreement had issued $0.9 million of letters of credit at September 30, 2020. Except as set forth in this paragraph,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Commitments and Contractual Obligations</w:t>
      </w:r>
    </w:p>
    <w:p>
      <w:pPr>
        <w:spacing w:after="0" w:line="18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at September 30, 2020, including long-term debt and operating and capital lease commitments (amounts in thousands):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amounts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60" w:type="dxa"/>
            <w:vAlign w:val="bottom"/>
          </w:tcPr>
          <w:p>
            <w:pPr>
              <w:spacing w:after="0"/>
              <w:rPr>
                <w:sz w:val="10"/>
                <w:szCs w:val="10"/>
                <w:color w:val="auto"/>
              </w:rPr>
            </w:pPr>
          </w:p>
        </w:tc>
        <w:tc>
          <w:tcPr>
            <w:tcW w:w="90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0"/>
                <w:szCs w:val="10"/>
                <w:color w:val="auto"/>
              </w:rPr>
            </w:pPr>
          </w:p>
        </w:tc>
        <w:tc>
          <w:tcPr>
            <w:tcW w:w="800" w:type="dxa"/>
            <w:vAlign w:val="bottom"/>
          </w:tcPr>
          <w:p>
            <w:pPr>
              <w:jc w:val="right"/>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31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20" w:type="dxa"/>
            <w:vAlign w:val="bottom"/>
          </w:tcPr>
          <w:p>
            <w:pPr>
              <w:spacing w:after="0"/>
              <w:rPr>
                <w:sz w:val="24"/>
                <w:szCs w:val="24"/>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(1) (2)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$ 2,617,500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$ 702,500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569,804</w:t>
            </w:r>
          </w:p>
        </w:tc>
        <w:tc>
          <w:tcPr>
            <w:tcW w:w="0" w:type="dxa"/>
            <w:vAlign w:val="bottom"/>
          </w:tcPr>
          <w:p>
            <w:pPr>
              <w:spacing w:after="0"/>
              <w:rPr>
                <w:sz w:val="1"/>
                <w:szCs w:val="1"/>
                <w:color w:val="auto"/>
              </w:rPr>
            </w:pPr>
          </w:p>
        </w:tc>
      </w:tr>
      <w:tr>
        <w:trPr>
          <w:trHeight w:val="432"/>
        </w:trPr>
        <w:tc>
          <w:tcPr>
            <w:tcW w:w="31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9"/>
              </w:rPr>
              <w:t>Construction commitments (4)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40,426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40,426</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425"/>
        </w:trPr>
        <w:tc>
          <w:tcPr>
            <w:tcW w:w="31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$ 3,271,557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53,130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$ 1,224,782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$ 716,608</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1,277,037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19" w:hanging="330"/>
        <w:spacing w:after="0" w:line="254"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commitments do not include approximately $434.8 million in interest payments projected to be due in future years (less than 1 year – $105.6 million; 1-3 years – $179.8 million; 3-5 years – $81.5 million; more than five years – $67.9 million) based on the stated interest rates on our fixed-rate debt and the rates in effect at September 30, 2020 for our variable-rate debt, including the impact of interest rate swaps.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2019 for a discussion of the interest we paid during the fiscal years 2019, 2018 and 2017.</w:t>
      </w:r>
    </w:p>
    <w:p>
      <w:pPr>
        <w:spacing w:after="0" w:line="151" w:lineRule="exact"/>
        <w:rPr>
          <w:rFonts w:ascii="Times New Roman" w:cs="Times New Roman" w:eastAsia="Times New Roman" w:hAnsi="Times New Roman"/>
          <w:sz w:val="18"/>
          <w:szCs w:val="18"/>
          <w:color w:val="auto"/>
        </w:rPr>
      </w:pPr>
    </w:p>
    <w:p>
      <w:pPr>
        <w:ind w:left="380" w:right="239" w:hanging="330"/>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commitments due in 1-3 years includes the $800.0 million Gaylord Rockies Loan for the Gaylord Rockies joint venture.</w:t>
      </w:r>
    </w:p>
    <w:p>
      <w:pPr>
        <w:spacing w:after="0" w:line="121"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lease commitments of $600.0 million includes the 75-year operating lease agreement we entered into during 1999 for 65.3 acres of land located in Osceola County, Florida where Gaylord Palms is located, which we may extend until January 2101.</w:t>
      </w:r>
    </w:p>
    <w:p>
      <w:pPr>
        <w:spacing w:after="0" w:line="148" w:lineRule="exact"/>
        <w:rPr>
          <w:rFonts w:ascii="Times New Roman" w:cs="Times New Roman" w:eastAsia="Times New Roman" w:hAnsi="Times New Roman"/>
          <w:sz w:val="18"/>
          <w:szCs w:val="18"/>
          <w:color w:val="auto"/>
        </w:rPr>
      </w:pPr>
    </w:p>
    <w:p>
      <w:pPr>
        <w:ind w:left="380" w:right="139" w:hanging="330"/>
        <w:spacing w:after="0" w:line="254"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however, such funding has been suspended for the periods from March 2020 through March 2021 as a result of the COVID-19 pandemic. At September 30, 2020, $40.4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48" w:lineRule="exact"/>
        <w:rPr>
          <w:sz w:val="20"/>
          <w:szCs w:val="20"/>
          <w:color w:val="auto"/>
        </w:rPr>
      </w:pPr>
    </w:p>
    <w:p>
      <w:pPr>
        <w:ind w:left="60" w:right="399"/>
        <w:spacing w:after="0" w:line="289" w:lineRule="auto"/>
        <w:rPr>
          <w:sz w:val="20"/>
          <w:szCs w:val="20"/>
          <w:color w:val="auto"/>
        </w:rPr>
      </w:pPr>
      <w:r>
        <w:rPr>
          <w:rFonts w:ascii="Times New Roman" w:cs="Times New Roman" w:eastAsia="Times New Roman" w:hAnsi="Times New Roman"/>
          <w:sz w:val="17"/>
          <w:szCs w:val="17"/>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obligations have been excluded from the contractual obligations table above. See Note 9 and Note 10 to the consolidated financial statements included in our Annual Report on Form 10-K for the year ended December 31, 2019 for further discussion related to these obligations. In addition, the timing of the expected cash flows related to our funding obligation in the joint venture described in Note 13, “Commitments and Contingencies,” to the condensed consolidated financial statements included herein is not contractually determined. Therefore, this obligation has been excluded from the contractual obligations table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are exposed to the effects of interest rate changes. We may enter into derivative instruments to manage or hedge interest rate risk. Our current interest rate swaps are subject to fair value reporting at each reporting date. These interest rate swaps have been designated as cash flow hedges, and the increase or decrease in fair value is recorded in accumulated other comprehensive income (loss). Derivatives expose us to credit risk in the event of non-performance by the counterparties under the terms of the interest rate swap agreements, which credit risk we believe is minimized by transacting with major credit-worthy financial institutions.</w:t>
      </w:r>
    </w:p>
    <w:p>
      <w:pPr>
        <w:spacing w:after="0" w:line="147"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At September 30, 2020, we and the Gaylord Rockies joint venture have interest rate swap agreements with an aggregate notional amount of $1.2 billion, which have been designated as cash flow hedges. For the nine months ended September 30, 2020, the change in fair value of these interest rate swaps was a loss of $33.5 million, which has been recorded in accumulated other comprehensive loss in the accompanying condensed consolidated financial statements.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On March 2, 2020, the SEC adopted final rules that amend the financial disclosure requirements for subsidiary issuers and guarantors of registered debt securities in Rule 3-10 of Regulation S-X. The amended rules are effective January 4, 2021, but earlier compliance is permitted. We have elected to voluntarily comply beginning with the quarterly period ended September 30, 2020.</w:t>
      </w:r>
    </w:p>
    <w:p>
      <w:pPr>
        <w:spacing w:after="0" w:line="139" w:lineRule="exact"/>
        <w:rPr>
          <w:sz w:val="20"/>
          <w:szCs w:val="20"/>
          <w:color w:val="auto"/>
        </w:rPr>
      </w:pPr>
    </w:p>
    <w:p>
      <w:pPr>
        <w:ind w:left="60" w:right="279"/>
        <w:spacing w:after="0" w:line="267" w:lineRule="auto"/>
        <w:rPr>
          <w:sz w:val="20"/>
          <w:szCs w:val="20"/>
          <w:color w:val="auto"/>
        </w:rPr>
      </w:pPr>
      <w:r>
        <w:rPr>
          <w:rFonts w:ascii="Times New Roman" w:cs="Times New Roman" w:eastAsia="Times New Roman" w:hAnsi="Times New Roman"/>
          <w:sz w:val="17"/>
          <w:szCs w:val="17"/>
          <w:color w:val="auto"/>
        </w:rPr>
        <w:t>The Company’s $400 million 5%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four wholly-owned subsidiaries that own the Gaylord Hotels properties,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w:t>
      </w:r>
    </w:p>
    <w:p>
      <w:pPr>
        <w:spacing w:after="0" w:line="5"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$400 million 5% senior notes and $700 million 4.75% senior notes, and the guarantees are structurally subordinated to all indebtedness and other obligations of such subsidiaries that have not guaranteed the Company’s $400 million 5% senior notes and $700 million 4.75%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and the intercompany balances and transactions between these parties, as well as any investments in or equity in earnings from non-guarantor subsidiaries, have been eliminated.</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receivables due from non-guarantor subsidiaries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0" w:type="dxa"/>
            <w:vAlign w:val="bottom"/>
          </w:tcPr>
          <w:p>
            <w:pPr>
              <w:spacing w:after="0"/>
              <w:rPr>
                <w:sz w:val="1"/>
                <w:szCs w:val="1"/>
                <w:color w:val="auto"/>
              </w:rPr>
            </w:pPr>
          </w:p>
        </w:tc>
      </w:tr>
      <w:tr>
        <w:trPr>
          <w:trHeight w:val="432"/>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1,659,594</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1,845,704</w:t>
            </w:r>
          </w:p>
        </w:tc>
        <w:tc>
          <w:tcPr>
            <w:tcW w:w="0" w:type="dxa"/>
            <w:vAlign w:val="bottom"/>
          </w:tcPr>
          <w:p>
            <w:pPr>
              <w:spacing w:after="0"/>
              <w:rPr>
                <w:sz w:val="1"/>
                <w:szCs w:val="1"/>
                <w:color w:val="auto"/>
              </w:rPr>
            </w:pPr>
          </w:p>
        </w:tc>
      </w:tr>
      <w:tr>
        <w:trPr>
          <w:trHeight w:val="425"/>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$ 1,752,218</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1,880,935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$ 1,942,378</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1,943,325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Total noncontrolling interests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15,147</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third-parties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3"/>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100" w:type="dxa"/>
            <w:vAlign w:val="bottom"/>
          </w:tcPr>
          <w:p>
            <w:pPr>
              <w:spacing w:after="0"/>
              <w:rPr>
                <w:sz w:val="18"/>
                <w:szCs w:val="18"/>
                <w:color w:val="auto"/>
              </w:rPr>
            </w:pPr>
          </w:p>
        </w:tc>
        <w:tc>
          <w:tcPr>
            <w:tcW w:w="1400" w:type="dxa"/>
            <w:vAlign w:val="bottom"/>
            <w:gridSpan w:val="5"/>
          </w:tcPr>
          <w:p>
            <w:pPr>
              <w:jc w:val="right"/>
              <w:ind w:right="154"/>
              <w:spacing w:after="0"/>
              <w:rPr>
                <w:sz w:val="20"/>
                <w:szCs w:val="20"/>
                <w:color w:val="auto"/>
              </w:rPr>
            </w:pPr>
            <w:r>
              <w:rPr>
                <w:rFonts w:ascii="Times New Roman" w:cs="Times New Roman" w:eastAsia="Times New Roman" w:hAnsi="Times New Roman"/>
                <w:sz w:val="18"/>
                <w:szCs w:val="18"/>
                <w:color w:val="auto"/>
              </w:rPr>
              <w:t>78,704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10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84,485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100" w:type="dxa"/>
            <w:vAlign w:val="bottom"/>
          </w:tcPr>
          <w:p>
            <w:pPr>
              <w:spacing w:after="0"/>
              <w:rPr>
                <w:sz w:val="18"/>
                <w:szCs w:val="18"/>
                <w:color w:val="auto"/>
              </w:rPr>
            </w:pPr>
          </w:p>
        </w:tc>
        <w:tc>
          <w:tcPr>
            <w:tcW w:w="1400" w:type="dxa"/>
            <w:vAlign w:val="bottom"/>
            <w:gridSpan w:val="5"/>
          </w:tcPr>
          <w:p>
            <w:pPr>
              <w:jc w:val="right"/>
              <w:ind w:right="154"/>
              <w:spacing w:after="0"/>
              <w:rPr>
                <w:sz w:val="20"/>
                <w:szCs w:val="20"/>
                <w:color w:val="auto"/>
              </w:rPr>
            </w:pPr>
            <w:r>
              <w:rPr>
                <w:rFonts w:ascii="Times New Roman" w:cs="Times New Roman" w:eastAsia="Times New Roman" w:hAnsi="Times New Roman"/>
                <w:sz w:val="18"/>
                <w:szCs w:val="18"/>
                <w:color w:val="auto"/>
              </w:rPr>
              <w:t>9,550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(14,927)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400" w:type="dxa"/>
            <w:vAlign w:val="bottom"/>
            <w:gridSpan w:val="5"/>
          </w:tcPr>
          <w:p>
            <w:pPr>
              <w:jc w:val="right"/>
              <w:ind w:right="94"/>
              <w:spacing w:after="0"/>
              <w:rPr>
                <w:sz w:val="20"/>
                <w:szCs w:val="20"/>
                <w:color w:val="auto"/>
              </w:rPr>
            </w:pPr>
            <w:r>
              <w:rPr>
                <w:rFonts w:ascii="Times New Roman" w:cs="Times New Roman" w:eastAsia="Times New Roman" w:hAnsi="Times New Roman"/>
                <w:sz w:val="18"/>
                <w:szCs w:val="18"/>
                <w:color w:val="auto"/>
              </w:rPr>
              <w:t>(74,655)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10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(74,330)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derivative financial instruments, income taxes, pension and postretirement benefits other than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2019. Other than our January 1, 2020 adoption of Financial Accounting Standards Board Accounting Standards Update No. 2016-13, “</w:t>
      </w:r>
      <w:r>
        <w:rPr>
          <w:rFonts w:ascii="Times New Roman" w:cs="Times New Roman" w:eastAsia="Times New Roman" w:hAnsi="Times New Roman"/>
          <w:sz w:val="18"/>
          <w:szCs w:val="18"/>
          <w:i w:val="1"/>
          <w:iCs w:val="1"/>
          <w:color w:val="auto"/>
        </w:rPr>
        <w:t>Financial Instruments – Credit Losses – 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as discussed in Note 1, “Basis of Presentation,” to the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herein, there were no newly identified critical accounting policies in the first nine months of 2020, nor were there any material changes to the critical accounting policies and estimates discussed in our Annual Report on Form 10-K for the year ended December 31, 2019.</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Changes in Interest Rates</w:t>
      </w:r>
    </w:p>
    <w:p>
      <w:pPr>
        <w:spacing w:after="0" w:line="18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At September 30, 2020, borrowings outstanding under the Revolver bore interest at an annual rate of LIBOR plus 1.95%, subject to adjustment as described in the Credit Agreement. If LIBOR were to increase by 100 basis points, our annual interest cost on the $35.0 million in borrowings outstanding under the Revolver at September 30, 2020 would increase by approximately $0.4 million.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At September 30, 2020, borrowings outstanding under our Term Loan A bore interest at an annual rate of LIBOR plus 1.90%, subject to adjustment as described in the Credit Agreement. If LIBOR were to increase by 100 basis points, our annual interest cost on the $300.0 million in borrowings outstanding under our Term Loan A at September 30, 2020 would increase by approximately $3.0 million.</w:t>
      </w:r>
    </w:p>
    <w:p>
      <w:pPr>
        <w:spacing w:after="0" w:line="153"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At September 30, 2020, borrowings outstanding under our Term Loan B bore interest at an annual rate of LIBOR plus 2.00%, subject to adjustment as described in the Credit Agreement. We have hedged our interest rate exposure on $350.0 million of borrowings under the Term Loan B with interest rate swaps that fix the LIBOR portion of interest payments through May 2023. If LIBOR were to increase by 100 basis points, our annual interest cost on the $32.5 million in borrowings outstanding under our Term Loan B that are not hedged at September 30, 2020 would increase by approximately $0.3 million.</w:t>
      </w:r>
    </w:p>
    <w:p>
      <w:pPr>
        <w:spacing w:after="0" w:line="14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At September 30, 2020, borrowings outstanding under the Gaylord Rockies Loan bore interest at an annual rate of LIBOR plus 2.50%. The Gaylord Rockies joint venture has hedged its interest rate exposure with an interest rate swap that fixes the LIBOR portion of interest payments through August 2022. If the Gaylord Rockies joint venture does not enter into an additional interest rate swap, the joint venture will be subject to interest rate risk from August 2022 through the maturity date of July 2023.</w:t>
      </w:r>
    </w:p>
    <w:p>
      <w:pPr>
        <w:spacing w:after="0" w:line="14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Certain of our outstanding cash balances are occasionally invested overnight with high credit quality financial institutions. We do not have significant exposure to changing interest rates on invested cash at September 30, 2020. As a result, the interest rate market risk implicit in these investments at September 30, 2020, if any, is low.</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Changes in Asset Values that Fund our Pension Plans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September 30, 2020, the value of the investments in the pension plan was $64.2 million, and an immediate 10% decrease in this value would have reduced the value of the investments in the pension plan by approximately $6.4 million.</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54"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have been no material changes from the risk factors disclosed in Part I, Item 1A, “Risk Factors,” of our Annual Report on Form 10-K for the fiscal year ended December 31, 2019.</w:t>
      </w:r>
    </w:p>
    <w:p>
      <w:pPr>
        <w:spacing w:after="0" w:line="117"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novel coronavirus (COVID-19) pandemic has had and is expected to continue to have a material adverse effect on our financial condition, results of operations, and our ability to make distributions to our shareholders. Depending on its length and severity, the COVID-19 pandemic may also have a material adverse effect on our access to financial markets and our ability to service our indebtedness</w:t>
      </w:r>
      <w:r>
        <w:rPr>
          <w:rFonts w:ascii="Times New Roman" w:cs="Times New Roman" w:eastAsia="Times New Roman" w:hAnsi="Times New Roman"/>
          <w:sz w:val="18"/>
          <w:szCs w:val="18"/>
          <w:b w:val="1"/>
          <w:bCs w:val="1"/>
          <w:color w:val="auto"/>
        </w:rPr>
        <w:t>.</w:t>
      </w:r>
    </w:p>
    <w:p>
      <w:pPr>
        <w:spacing w:after="0" w:line="140"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to be a pandemic. In an effort to contain and mitigate the spread of COVID-19, many countries, including the United States, have imposed unprecedented restrictions on travel, group gatherings and non-essential activities, including orders and guidance issued by U.S. federal, state and local governmental authorities, such as “social distancing” guidance and Safer at Home orders. There have also been significant business closures and a substantial reduction in economic activity in the United States as a result of the COVID-19 pandemic. Despite the phased reopening of the U.S. economy, significant uncertainty remains as to the potential impact of the COVID-19 pandemic on the U.S. economy as a whole, our businesses, and the lodging and entertainment industries in particular.</w:t>
      </w:r>
    </w:p>
    <w:p>
      <w:pPr>
        <w:spacing w:after="0" w:line="165"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In response to the onset of the COVID-19 pandemic, by late-March 2020, we, working with our hotel manager, Marriott, suspended operations at our Gaylord Hotels properties and also suspended operations at substantially all of our entertainment assets. We have not yet reopened all of our assets. In addition, following the payment of our first quarter 2020 dividend on April 15, 2020 to stockholders of record on March 31, 2020, we suspended our regular quarterly dividend payments for the remainder of 2020, and any future dividend will be determined by our board of directors as permitted by our Credit Agreement. Further, we deferred substantially all non-essential capital projects, including our previously announced expansion at Gaylord Rockies, which was scheduled to begin in second quarter 2020.</w:t>
      </w:r>
    </w:p>
    <w:p>
      <w:pPr>
        <w:spacing w:after="0" w:line="14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While we were successful in amending our Credit Agreement to obtain waivers of the financial covenants and the Gaylord Rockies Loan to obtain certain other favorable modifications, as described under “Management’s Discussion and Analysis of Financial Condition and Results of Operations – Liquidity and Capital Resources – Principal Debt Agreements,” the Amendment also increased the interest rates under our Revolver and Term Loan A, and imposed additional restrictions on debt, investments, dividends, share repurchases and capital expenditures, and included a minimum liquidity requirement, which will increase our interest costs and impose constraints on the manner in which we do business. The amendment to the Gaylord Rockies Loan additionally includes restrictions on distributions to the owners of the Gaylord Rockies joint venture and requires a certain level of equity financing for a Gaylord Rockies expansion, which may increase the cost of pursuing the previously announced expansion of Gaylord Rockies.</w:t>
      </w:r>
    </w:p>
    <w:p>
      <w:pPr>
        <w:spacing w:after="0" w:line="14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material adverse effect on our businesses will continue during such time as any of our assets remain closed (including Gaylord National) and during phased reopenings and may continue after that time. Although we have taken steps, including those described above, to mitigate the impact of the COVID-19 pandemic on our businesses, we cannot predict the full extent and duration of the effects of the COVID-19 pandemic on our businesses. The longer and more severe the pandemic, the greater the material adverse effect on our financial condition, our results of operations, and our ability to make distributions to our shareholders. Further, depending on its duration and severity, the COVID-19 pandemic may have a material adverse effect on our access to financial markets and our ability to service or refinance our indebtedness.</w:t>
      </w:r>
    </w:p>
    <w:p>
      <w:pPr>
        <w:spacing w:after="0" w:line="162"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We also cannot predict how soon we will be able to fully reopen all of our Gaylord Hotels properties or our entertainment assets when the COVID-19 pandemic subsides, as our ability to reopen and to resume normal operations will depend in part on the actions of a number of governmental authorities over which we have no control. Modified social distancing requirements or recommendations have altered the way we do business during reopening, and changes may persist for an extended period of time. Such changes may result in higher costs and lower profit margins at our assets. Some of our businesses, such as the ticketed performances at the Grand Ole Opry and Ryman Auditorium may be held at limited capacity for an extended period of time during reopening. Of our Gaylord Hotels properties, Gaylord National remains closed. As a result, our revenues and consolidated financial results and results of operations for periods in which our operations are subject to capacity limits and in which Gaylord National remains closed will not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comparable with prior periods that included the revenues and financial results and results of operations of Gaylord National and our other assets operating at full capacity. We have experienced a significant decline in occupancy, RevPAR and Total RevPAR at our Gaylord Hotels properties that have reopened, and those and other declines associated with the COVID-19 pandemic may continue.</w:t>
      </w:r>
    </w:p>
    <w:p>
      <w:pPr>
        <w:spacing w:after="0" w:line="153"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Gaylord Hotels properties and our entertainment venues that have reopened are reopening in phases that are intended to mitigate the spread of COVID-19 but which restrict the manner in which we did business prior to the COVID-19 pandemic. Although each phase is less restrictive than the preceding phase, we cannot assure you that we will continue to progress through phases, that we will not revert to a more restrictive phase, or that we will not make the decision to temporarily reclose any of our Gaylord Hotels properties or our entertainment assets in response to further outbreaks of COVID-19. Moreover, once restrictions are relaxed or lifted, it is unclear whether consumer demand for convention center resorts, business travel, leisure travel and country music entertainment experiences will return, in part, because we cannot predict the levels of consumer confidence in the safety of travel and group gatherings following the COVID-19 pandemic. We also cannot predict the pace of recovery following the reopening of our Gaylord Hotels properties, which may be affected by adverse economic conditions, including job losses, group customers’ budget constraints, debt loads, diminished business travel and other factors. For our managed assets, we will rely on Marriott to safely reopen, to operate these assets in a manner consistent with their obligations under their management agreements with us and to increase business levels at our properties, whether by rebooking cancelled stays for future periods or otherwise, and we cannot assure you that Marriott will be successful in doing so. Further, bookings for future periods may yet be cancelled as a result of the COVID-19 pandemic, and we cannot assure you that Marriott will be successful in rebooking cancellations for future periods or that groups that have already rebooked to future periods will fulfill their stays.</w:t>
      </w:r>
    </w:p>
    <w:p>
      <w:pPr>
        <w:spacing w:after="0" w:line="154" w:lineRule="exact"/>
        <w:rPr>
          <w:sz w:val="20"/>
          <w:szCs w:val="20"/>
          <w:color w:val="auto"/>
        </w:rPr>
      </w:pPr>
    </w:p>
    <w:p>
      <w:pPr>
        <w:jc w:val="both"/>
        <w:ind w:left="60" w:right="519"/>
        <w:spacing w:after="0" w:line="266" w:lineRule="auto"/>
        <w:rPr>
          <w:sz w:val="20"/>
          <w:szCs w:val="20"/>
          <w:color w:val="auto"/>
        </w:rPr>
      </w:pPr>
      <w:r>
        <w:rPr>
          <w:rFonts w:ascii="Times New Roman" w:cs="Times New Roman" w:eastAsia="Times New Roman" w:hAnsi="Times New Roman"/>
          <w:sz w:val="18"/>
          <w:szCs w:val="18"/>
          <w:color w:val="auto"/>
        </w:rPr>
        <w:t>The COVID-19 pandemic has also resulted in significant financial market volatility and uncertainty, including on the market price of our common stock. A continuation or worsening of the levels of market disruption and volatility seen during the pandemic could have a further adverse effect on the market price of our common stock.</w:t>
      </w:r>
    </w:p>
    <w:p>
      <w:pPr>
        <w:spacing w:after="0" w:line="131"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refinance our debt before it matures and there is no assurance that we will be able to refinance our debt on acceptable terms.</w:t>
      </w:r>
    </w:p>
    <w:p>
      <w:pPr>
        <w:spacing w:after="0" w:line="13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ability to refinance each of our agreements governing our indebtedness on acceptable terms will be dependent on a number of factors, including our degree of leverage, the value of our assets, borrowing restrictions which may be imposed by lenders and conditions in the credit markets at the time we refinance. In addition, although we have been successful in negotiating an amendment to our Credit Agreement, which waives the financial covenants imposed by the Credit Agreement through March 31, 2021 and ending April 1, 2021, and in negotiating an amendment to the Gaylord Rockies Loan, which provides for other favorable modifications, we may be unsuccessful in negotiating any further amendments or modifications to the agreements governing our indebtedness as we may deem necessary in response to the COVID-19 pandemic. To the extent the COVID-19 pandemic continues or our business levels do not recover to pre-pandemic levels or we are otherwise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4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 and we have suspended our regularly quarterly dividend for the remainder of 2020.</w:t>
      </w:r>
    </w:p>
    <w:p>
      <w:pPr>
        <w:spacing w:after="0" w:line="11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Generally,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has previously approved a dividend policy pursuant to which we will pay a quarterly cash dividend based on an annualized amount of at least 50% of adjusted funds from operations (as defined by us) less maintenance capital expenditures or 100% of REIT taxable income on an annual basis, whichever is greater. As part of the actions taken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preserve liquidity in light of the COVID-19 pandemic, our board of directors suspended our regular quarterly dividend payments for the remainder of 2020, and our board of directors will consider a future dividend as permitted by our credit agreement, which currently permits payment of dividends as necessary to maintain our REIT status and permits us to pay a dividend of $0.01 per share each quarter. The dividend policy may be altered at any time by our board of directors (as otherwise permitted by our credit agreement) and certain provisions of our agreements governing our other indebtedness may prohibit us from paying dividends in accordance with the prior policy. Consequently, our distribution levels may be minimal and may fluctuate.</w:t>
      </w:r>
    </w:p>
    <w:p>
      <w:pPr>
        <w:spacing w:after="0" w:line="158"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intend to disclose EBITDAre, Adjusted EBITDAre, Adjusted EBITDAre Excluding Noncontrolling Interest, FFO available to common shareholders and unit holders and Adjusted FFO available to common shareholders and unit holders, each a non-GAAP financial measure, in this Quarterly Report on Form 10-Q and future filings with the SEC. These non-GAAP financial measures are not equivalent to net income or loss as determined under GAAP, and you should consider GAAP measures to be more relevant to our operating performance.</w:t>
      </w:r>
    </w:p>
    <w:p>
      <w:pPr>
        <w:spacing w:after="0" w:line="143"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7"/>
          <w:szCs w:val="17"/>
          <w:color w:val="auto"/>
        </w:rPr>
        <w:t>In addition to our results determined in accordance with GAAP, we believe certain non-GAAP measures and key metrics may be useful in evaluating our operating performance. We present certain non-GAAP financial measures and key metrics in this Quarterly Report on Form 10-Q and intend to continue to present certain non-GAAP financial measures and key metrics in future filings with the SEC and other public statements. Neither the SEC nor any other regulatory body has passed judgment on the acceptability of the adjustments that we use to calculate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Excluding Noncontrolling Interest, FFO available to common shareholders and unit holders and Adjusted FFO available to common shareholders and unit holders. Also, because not all companies calculate these non-GAAP measures in the same way, comparison with other companies may not be meaningful, and these non-GAAP financial measures should not be considered as alternative measures of our net income, operating performance, cash flow or liquidity. You should be aware that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Excluding Noncontrolling Interest, FFO available to common shareholders and unit holders, and Adjusted FFO available to common shareholders and unit holders may include funds that may not be available for our discretionary use due to functional requirements to conserve funds for capital expenditures and property acquisitions and other commitments and uncertainties. Any failure to accurately report and present our non-GAAP financial measures and key metrics could cause investors to lose confidence in our reported financial and other information, which would likely have a negative effect on the market price of our common stock.</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8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Pursuant to the Gaylord Rockies joint venture agreements, certain affiliates of Ares each had a put right to require the Company to purchase their joint venture interests at a defined appraised value during an annual window period or under certain other circumstances in consideration of cash or OP Units of the Operating Partnership. As of August 30, 2020, put right holders totaling 2.4% ownership in the Gaylord Rockies joint venture, exercised put rights for approximately $14.0 million in OP Units, which was equivalent to 434,836 OP Units. Such OP Units have economic terms that are substantially similar to shares of the Company’s common stock and are redeemable at the option of the holders thereof. Redemptions will be paid in cash, or if the Company so elects, in shares of the Company’s common stock on a one-for-one basis, subject to certain adjustments in accordance with the Operating Partnership’s partnership agreement. Issuance of up to 434,836 shares of our common stock (subject to adjustment) may result from any future redemptions. Any such shares of common stock would be issued without registration under the Securities Act in reliance upon the exemption from registration in Section 4(a)(2) of the Securities Act as transactions not involving any public offering. The issuance of the OP Units pursuant to the Gaylord Rockies joint venture agreements was consummated without registration under the Securities Act in reliance upon the exemption from registration in Section 4(a)(2) of the Securities Act as transactions not involving any public offering. No sales commission or other consideration was paid in connection with the sale.</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5"/>
          </w:tcPr>
          <w:p>
            <w:pPr>
              <w:ind w:left="20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3"/>
          </w:tcPr>
          <w:p>
            <w:pPr>
              <w:spacing w:after="0"/>
              <w:rPr>
                <w:sz w:val="17"/>
                <w:szCs w:val="17"/>
                <w:color w:val="auto"/>
              </w:rPr>
            </w:pPr>
          </w:p>
        </w:tc>
        <w:tc>
          <w:tcPr>
            <w:tcW w:w="700" w:type="dxa"/>
            <w:vAlign w:val="bottom"/>
            <w:gridSpan w:val="2"/>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71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Amended and Restated Bylaws of Ryman Hospitality Properties, Inc. (incorporated by reference to</w:t>
              </w:r>
            </w:hyperlink>
          </w:p>
        </w:tc>
        <w:tc>
          <w:tcPr>
            <w:tcW w:w="300" w:type="dxa"/>
            <w:vAlign w:val="bottom"/>
          </w:tcPr>
          <w:p>
            <w:pPr>
              <w:spacing w:after="0"/>
              <w:rPr>
                <w:sz w:val="24"/>
                <w:szCs w:val="24"/>
                <w:color w:val="auto"/>
              </w:rPr>
            </w:pPr>
          </w:p>
        </w:tc>
      </w:tr>
      <w:tr>
        <w:trPr>
          <w:trHeight w:val="237"/>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7"/>
          </w:tcPr>
          <w:p>
            <w:pPr>
              <w:spacing w:after="0"/>
              <w:rPr>
                <w:rFonts w:ascii="Times New Roman" w:cs="Times New Roman" w:eastAsia="Times New Roman" w:hAnsi="Times New Roman"/>
                <w:sz w:val="18"/>
                <w:szCs w:val="18"/>
                <w:u w:val="single" w:color="auto"/>
                <w:color w:val="0000EE"/>
              </w:rPr>
            </w:pPr>
            <w:hyperlink r:id="rId63">
              <w:r>
                <w:rPr>
                  <w:rFonts w:ascii="Times New Roman" w:cs="Times New Roman" w:eastAsia="Times New Roman" w:hAnsi="Times New Roman"/>
                  <w:sz w:val="18"/>
                  <w:szCs w:val="18"/>
                  <w:u w:val="single" w:color="auto"/>
                  <w:color w:val="0000EE"/>
                </w:rPr>
                <w:t>Exhibit 3.2 to the Company’s Current Report on Form 8-K filed October 1, 2012).</w:t>
              </w:r>
            </w:hyperlink>
          </w:p>
        </w:tc>
      </w:tr>
      <w:tr>
        <w:trPr>
          <w:trHeight w:val="43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7440" w:type="dxa"/>
            <w:vAlign w:val="bottom"/>
            <w:gridSpan w:val="7"/>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List of Parent and Subsidiary Guarantors</w:t>
              </w:r>
            </w:hyperlink>
          </w:p>
        </w:tc>
      </w:tr>
      <w:tr>
        <w:trPr>
          <w:trHeight w:val="43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440" w:type="dxa"/>
            <w:vAlign w:val="bottom"/>
            <w:gridSpan w:val="7"/>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Certification of Colin V. Reed pursuant to Section 302 of Sarbanes-Oxley Act of 2002.</w:t>
              </w:r>
            </w:hyperlink>
          </w:p>
        </w:tc>
      </w:tr>
      <w:tr>
        <w:trPr>
          <w:trHeight w:val="43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440" w:type="dxa"/>
            <w:vAlign w:val="bottom"/>
            <w:gridSpan w:val="7"/>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u w:val="single" w:color="auto"/>
                  <w:color w:val="0000EE"/>
                </w:rPr>
                <w:t>Certification of Mark Fioravanti pursuant to Section 302 of Sarbanes-Oxley Act of 2002</w:t>
              </w:r>
              <w:r>
                <w:rPr>
                  <w:rFonts w:ascii="Times New Roman" w:cs="Times New Roman" w:eastAsia="Times New Roman" w:hAnsi="Times New Roman"/>
                  <w:sz w:val="18"/>
                  <w:szCs w:val="18"/>
                  <w:color w:val="0000EE"/>
                </w:rPr>
                <w:t>.</w:t>
              </w:r>
            </w:hyperlink>
          </w:p>
        </w:tc>
      </w:tr>
      <w:tr>
        <w:trPr>
          <w:trHeight w:val="391"/>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440" w:type="dxa"/>
            <w:vAlign w:val="bottom"/>
            <w:gridSpan w:val="7"/>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Certification of Colin V. Reed and Mark Fioravanti pursuant to 18 U.S.C. Section 1350, as adopted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pursuant to Section 906 of Sarbanes-Oxley Act of 2002.</w:t>
              </w:r>
            </w:hyperlink>
          </w:p>
        </w:tc>
        <w:tc>
          <w:tcPr>
            <w:tcW w:w="30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r>
      <w:tr>
        <w:trPr>
          <w:trHeight w:val="434"/>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quarterly period ended September 30, 2020, formatted in Inline XBRL (eXtensible Business</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Reporting Language): (i) Condensed Consolidated Balance Sheets (unaudited) at September 30, 2020</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December 31, 2019, (ii) Condensed Consolidated Statements of Operations and Comprehensive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Income (unaudited) for the three months and nine months ended September 30, 2020 and 2019,</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(iii) Condensed Consolidated Statements of Cash Flows (unaudited) for the nine months ended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September 30, 2020 and 2019, (iv) Condensed Consolidated Statements of Equity (unaudited) for the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three months and nine months ended September 30, 2020 and 2019, and (v) Notes to Condensed</w:t>
            </w: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r>
      <w:tr>
        <w:trPr>
          <w:trHeight w:val="43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2020</w:t>
            </w: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Colin V. Reed</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 and</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160" w:type="dxa"/>
            <w:vAlign w:val="bottom"/>
          </w:tcPr>
          <w:p>
            <w:pPr>
              <w:spacing w:after="0"/>
              <w:rPr>
                <w:sz w:val="24"/>
                <w:szCs w:val="24"/>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160" w:type="dxa"/>
            <w:vAlign w:val="bottom"/>
          </w:tcPr>
          <w:p>
            <w:pPr>
              <w:spacing w:after="0"/>
              <w:rPr>
                <w:sz w:val="24"/>
                <w:szCs w:val="24"/>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Corporate</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Parent and Subsidiary Guarantors</w:t>
      </w:r>
    </w:p>
    <w:p>
      <w:pPr>
        <w:spacing w:after="0" w:line="264" w:lineRule="exact"/>
        <w:rPr>
          <w:sz w:val="20"/>
          <w:szCs w:val="20"/>
          <w:color w:val="auto"/>
        </w:rPr>
      </w:pPr>
    </w:p>
    <w:p>
      <w:pPr>
        <w:ind w:left="200" w:right="319"/>
        <w:spacing w:after="0" w:line="252" w:lineRule="auto"/>
        <w:rPr>
          <w:sz w:val="20"/>
          <w:szCs w:val="20"/>
          <w:color w:val="auto"/>
        </w:rPr>
      </w:pPr>
      <w:r>
        <w:rPr>
          <w:rFonts w:ascii="Times New Roman" w:cs="Times New Roman" w:eastAsia="Times New Roman" w:hAnsi="Times New Roman"/>
          <w:sz w:val="22"/>
          <w:szCs w:val="22"/>
          <w:color w:val="auto"/>
        </w:rPr>
        <w:t>As of November 3, 2020, Ryman Hospitality Properties, Inc., a Delaware corporation (the “Company”), as the parent company, serves as guarantor, and each of the below listed subsidiaries of the Company serves as an issuer or guarantor, as applicable, for the Company’s (i) 5% Senior Notes due 2023 and (ii) 4.75% Senior Notes due 2027.</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Exact Name of Subsidiary</w:t>
            </w:r>
          </w:p>
        </w:tc>
        <w:tc>
          <w:tcPr>
            <w:tcW w:w="72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Jurisdiction of Organization</w:t>
            </w:r>
          </w:p>
        </w:tc>
        <w:tc>
          <w:tcPr>
            <w:tcW w:w="540" w:type="dxa"/>
            <w:vAlign w:val="bottom"/>
          </w:tcPr>
          <w:p>
            <w:pPr>
              <w:spacing w:after="0"/>
              <w:rPr>
                <w:sz w:val="22"/>
                <w:szCs w:val="22"/>
                <w:color w:val="auto"/>
              </w:rPr>
            </w:pP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b w:val="1"/>
                <w:bCs w:val="1"/>
                <w:color w:val="auto"/>
              </w:rPr>
              <w:t>Type of Obligor</w:t>
            </w:r>
          </w:p>
        </w:tc>
      </w:tr>
      <w:tr>
        <w:trPr>
          <w:trHeight w:val="20"/>
        </w:trPr>
        <w:tc>
          <w:tcPr>
            <w:tcW w:w="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RHP Hotel Properties, LP</w:t>
            </w:r>
          </w:p>
        </w:tc>
        <w:tc>
          <w:tcPr>
            <w:tcW w:w="72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c>
          <w:tcPr>
            <w:tcW w:w="540" w:type="dxa"/>
            <w:vAlign w:val="bottom"/>
          </w:tcPr>
          <w:p>
            <w:pPr>
              <w:spacing w:after="0"/>
              <w:rPr>
                <w:sz w:val="22"/>
                <w:szCs w:val="22"/>
                <w:color w:val="auto"/>
              </w:rPr>
            </w:pP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Finance Corporation</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Opryland Hospitality,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Tennessee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Hotels,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Partner,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GP, LP</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Florida</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LP</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NH, LLC</w:t>
            </w:r>
          </w:p>
        </w:tc>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Maryland</w:t>
            </w:r>
          </w:p>
        </w:tc>
        <w:tc>
          <w:tcPr>
            <w:tcW w:w="220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Guarantor</w:t>
            </w:r>
          </w:p>
        </w:tc>
      </w:tr>
      <w:tr>
        <w:trPr>
          <w:trHeight w:val="805"/>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80" w:firstLine="656"/>
        <w:spacing w:after="0" w:line="266"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9832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80" w:hanging="672"/>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3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12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66" w:lineRule="auto"/>
        <w:tabs>
          <w:tab w:leader="none" w:pos="6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60" w:firstLine="656"/>
        <w:spacing w:after="0" w:line="266" w:lineRule="auto"/>
        <w:tabs>
          <w:tab w:leader="none" w:pos="13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128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2459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Fioravanti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September 30, 2020,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November 3, 2020</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November 3, 2020</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upperLetter"/>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5"/>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2" Type="http://schemas.openxmlformats.org/officeDocument/2006/relationships/hyperlink" Target="http://www.sec.gov/Archives/edgar/data/1040829/000119312512410191/d419132dex31.htm" TargetMode="External"/><Relationship Id="rId63" Type="http://schemas.openxmlformats.org/officeDocument/2006/relationships/hyperlink" Target="http://www.sec.gov/Archives/edgar/data/1040829/000119312512410191/d41913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2020-11-03T13:12:12Z</dcterms:created>
  <dcterms:modified xsi:type="dcterms:W3CDTF">2020-11-03T13:12:12Z</dcterms:modified>
</cp:coreProperties>
</file>