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125730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60" w:right="1240" w:hanging="359"/>
        <w:spacing w:after="0" w:line="343" w:lineRule="auto"/>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30" w:lineRule="exact"/>
        <w:rPr>
          <w:sz w:val="24"/>
          <w:szCs w:val="24"/>
          <w:color w:val="auto"/>
        </w:rPr>
      </w:pPr>
    </w:p>
    <w:p>
      <w:pPr>
        <w:ind w:left="360" w:hanging="359"/>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gridSpan w:val="5"/>
          </w:tcPr>
          <w:p>
            <w:pPr>
              <w:jc w:val="center"/>
              <w:ind w:right="2412"/>
              <w:spacing w:after="0"/>
              <w:rPr>
                <w:sz w:val="20"/>
                <w:szCs w:val="20"/>
                <w:color w:val="auto"/>
              </w:rPr>
            </w:pPr>
            <w:r>
              <w:rPr>
                <w:rFonts w:ascii="Arial" w:cs="Arial" w:eastAsia="Arial" w:hAnsi="Arial"/>
                <w:sz w:val="18"/>
                <w:szCs w:val="18"/>
                <w:b w:val="1"/>
                <w:bCs w:val="1"/>
                <w:color w:val="auto"/>
                <w:w w:val="89"/>
              </w:rPr>
              <w:t>Commission File No. 1-13079</w:t>
            </w:r>
          </w:p>
        </w:tc>
      </w:tr>
      <w:tr>
        <w:trPr>
          <w:trHeight w:val="301"/>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0" w:type="dxa"/>
            <w:vAlign w:val="bottom"/>
            <w:gridSpan w:val="6"/>
          </w:tcPr>
          <w:p>
            <w:pPr>
              <w:jc w:val="center"/>
              <w:ind w:right="1932"/>
              <w:spacing w:after="0"/>
              <w:rPr>
                <w:sz w:val="20"/>
                <w:szCs w:val="20"/>
                <w:color w:val="auto"/>
              </w:rPr>
            </w:pPr>
            <w:r>
              <w:rPr>
                <w:rFonts w:ascii="Arial" w:cs="Arial" w:eastAsia="Arial" w:hAnsi="Arial"/>
                <w:sz w:val="18"/>
                <w:szCs w:val="18"/>
                <w:b w:val="1"/>
                <w:bCs w:val="1"/>
                <w:color w:val="auto"/>
              </w:rPr>
              <w:t>RYMAN HOSPITALITY PROPERTIES, INC.</w:t>
            </w:r>
          </w:p>
        </w:tc>
      </w:tr>
      <w:tr>
        <w:trPr>
          <w:trHeight w:val="206"/>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0" w:type="dxa"/>
            <w:vAlign w:val="bottom"/>
            <w:gridSpan w:val="6"/>
          </w:tcPr>
          <w:p>
            <w:pPr>
              <w:jc w:val="center"/>
              <w:ind w:right="1912"/>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r>
      <w:tr>
        <w:trPr>
          <w:trHeight w:val="293"/>
        </w:trPr>
        <w:tc>
          <w:tcPr>
            <w:tcW w:w="740" w:type="dxa"/>
            <w:vAlign w:val="bottom"/>
          </w:tcPr>
          <w:p>
            <w:pPr>
              <w:spacing w:after="0"/>
              <w:rPr>
                <w:sz w:val="24"/>
                <w:szCs w:val="24"/>
                <w:color w:val="auto"/>
              </w:rPr>
            </w:pPr>
          </w:p>
        </w:tc>
        <w:tc>
          <w:tcPr>
            <w:tcW w:w="2500" w:type="dxa"/>
            <w:vAlign w:val="bottom"/>
            <w:gridSpan w:val="2"/>
          </w:tcPr>
          <w:p>
            <w:pPr>
              <w:jc w:val="center"/>
              <w:ind w:left="1456"/>
              <w:spacing w:after="0"/>
              <w:rPr>
                <w:sz w:val="20"/>
                <w:szCs w:val="20"/>
                <w:color w:val="auto"/>
              </w:rPr>
            </w:pPr>
            <w:r>
              <w:rPr>
                <w:rFonts w:ascii="Arial" w:cs="Arial" w:eastAsia="Arial" w:hAnsi="Arial"/>
                <w:sz w:val="16"/>
                <w:szCs w:val="16"/>
                <w:b w:val="1"/>
                <w:bCs w:val="1"/>
                <w:color w:val="auto"/>
                <w:w w:val="91"/>
              </w:rPr>
              <w:t>Delaware</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20" w:type="dxa"/>
            <w:vAlign w:val="bottom"/>
            <w:gridSpan w:val="3"/>
          </w:tcPr>
          <w:p>
            <w:pPr>
              <w:jc w:val="right"/>
              <w:ind w:right="1552"/>
              <w:spacing w:after="0"/>
              <w:rPr>
                <w:sz w:val="20"/>
                <w:szCs w:val="20"/>
                <w:color w:val="auto"/>
              </w:rPr>
            </w:pPr>
            <w:r>
              <w:rPr>
                <w:rFonts w:ascii="Arial" w:cs="Arial" w:eastAsia="Arial" w:hAnsi="Arial"/>
                <w:sz w:val="16"/>
                <w:szCs w:val="16"/>
                <w:b w:val="1"/>
                <w:bCs w:val="1"/>
                <w:color w:val="auto"/>
              </w:rPr>
              <w:t>73-0664379</w:t>
            </w:r>
          </w:p>
        </w:tc>
      </w:tr>
      <w:tr>
        <w:trPr>
          <w:trHeight w:val="206"/>
        </w:trPr>
        <w:tc>
          <w:tcPr>
            <w:tcW w:w="740" w:type="dxa"/>
            <w:vAlign w:val="bottom"/>
          </w:tcPr>
          <w:p>
            <w:pPr>
              <w:spacing w:after="0"/>
              <w:rPr>
                <w:sz w:val="17"/>
                <w:szCs w:val="17"/>
                <w:color w:val="auto"/>
              </w:rPr>
            </w:pPr>
          </w:p>
        </w:tc>
        <w:tc>
          <w:tcPr>
            <w:tcW w:w="4880" w:type="dxa"/>
            <w:vAlign w:val="bottom"/>
            <w:gridSpan w:val="4"/>
          </w:tcPr>
          <w:p>
            <w:pPr>
              <w:jc w:val="center"/>
              <w:ind w:right="75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20" w:type="dxa"/>
            <w:vAlign w:val="bottom"/>
            <w:gridSpan w:val="3"/>
          </w:tcPr>
          <w:p>
            <w:pPr>
              <w:jc w:val="center"/>
              <w:ind w:right="632"/>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93"/>
        </w:trPr>
        <w:tc>
          <w:tcPr>
            <w:tcW w:w="740" w:type="dxa"/>
            <w:vAlign w:val="bottom"/>
          </w:tcPr>
          <w:p>
            <w:pPr>
              <w:spacing w:after="0"/>
              <w:rPr>
                <w:sz w:val="24"/>
                <w:szCs w:val="24"/>
                <w:color w:val="auto"/>
              </w:rPr>
            </w:pPr>
          </w:p>
        </w:tc>
        <w:tc>
          <w:tcPr>
            <w:tcW w:w="4880" w:type="dxa"/>
            <w:vAlign w:val="bottom"/>
            <w:gridSpan w:val="4"/>
          </w:tcPr>
          <w:p>
            <w:pPr>
              <w:jc w:val="center"/>
              <w:ind w:right="730"/>
              <w:spacing w:after="0"/>
              <w:rPr>
                <w:sz w:val="20"/>
                <w:szCs w:val="20"/>
                <w:color w:val="auto"/>
              </w:rPr>
            </w:pPr>
            <w:r>
              <w:rPr>
                <w:rFonts w:ascii="Arial" w:cs="Arial" w:eastAsia="Arial" w:hAnsi="Arial"/>
                <w:sz w:val="16"/>
                <w:szCs w:val="16"/>
                <w:b w:val="1"/>
                <w:bCs w:val="1"/>
                <w:color w:val="auto"/>
                <w:w w:val="90"/>
              </w:rPr>
              <w:t>One Gaylord Drive, Nashville, Tennessee</w:t>
            </w:r>
          </w:p>
        </w:tc>
        <w:tc>
          <w:tcPr>
            <w:tcW w:w="3320" w:type="dxa"/>
            <w:vAlign w:val="bottom"/>
            <w:gridSpan w:val="3"/>
          </w:tcPr>
          <w:p>
            <w:pPr>
              <w:jc w:val="right"/>
              <w:ind w:right="1732"/>
              <w:spacing w:after="0"/>
              <w:rPr>
                <w:sz w:val="20"/>
                <w:szCs w:val="20"/>
                <w:color w:val="auto"/>
              </w:rPr>
            </w:pPr>
            <w:r>
              <w:rPr>
                <w:rFonts w:ascii="Arial" w:cs="Arial" w:eastAsia="Arial" w:hAnsi="Arial"/>
                <w:sz w:val="16"/>
                <w:szCs w:val="16"/>
                <w:b w:val="1"/>
                <w:bCs w:val="1"/>
                <w:color w:val="auto"/>
              </w:rPr>
              <w:t>37214</w:t>
            </w:r>
          </w:p>
        </w:tc>
      </w:tr>
      <w:tr>
        <w:trPr>
          <w:trHeight w:val="206"/>
        </w:trPr>
        <w:tc>
          <w:tcPr>
            <w:tcW w:w="740" w:type="dxa"/>
            <w:vAlign w:val="bottom"/>
          </w:tcPr>
          <w:p>
            <w:pPr>
              <w:spacing w:after="0"/>
              <w:rPr>
                <w:sz w:val="17"/>
                <w:szCs w:val="17"/>
                <w:color w:val="auto"/>
              </w:rPr>
            </w:pPr>
          </w:p>
        </w:tc>
        <w:tc>
          <w:tcPr>
            <w:tcW w:w="4880" w:type="dxa"/>
            <w:vAlign w:val="bottom"/>
            <w:gridSpan w:val="4"/>
          </w:tcPr>
          <w:p>
            <w:pPr>
              <w:jc w:val="center"/>
              <w:ind w:right="750"/>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tcPr>
          <w:p>
            <w:pPr>
              <w:jc w:val="center"/>
              <w:ind w:right="1352"/>
              <w:spacing w:after="0"/>
              <w:rPr>
                <w:sz w:val="20"/>
                <w:szCs w:val="20"/>
                <w:color w:val="auto"/>
              </w:rPr>
            </w:pPr>
            <w:r>
              <w:rPr>
                <w:rFonts w:ascii="Arial" w:cs="Arial" w:eastAsia="Arial" w:hAnsi="Arial"/>
                <w:sz w:val="16"/>
                <w:szCs w:val="16"/>
                <w:i w:val="1"/>
                <w:iCs w:val="1"/>
                <w:color w:val="auto"/>
                <w:w w:val="92"/>
              </w:rPr>
              <w:t>(Zip Code)</w:t>
            </w:r>
          </w:p>
        </w:tc>
      </w:tr>
      <w:tr>
        <w:trPr>
          <w:trHeight w:val="297"/>
        </w:trPr>
        <w:tc>
          <w:tcPr>
            <w:tcW w:w="740" w:type="dxa"/>
            <w:vAlign w:val="bottom"/>
          </w:tcPr>
          <w:p>
            <w:pPr>
              <w:spacing w:after="0"/>
              <w:rPr>
                <w:sz w:val="24"/>
                <w:szCs w:val="24"/>
                <w:color w:val="auto"/>
              </w:rPr>
            </w:pPr>
          </w:p>
        </w:tc>
        <w:tc>
          <w:tcPr>
            <w:tcW w:w="82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Registrant’s Telephone Number, Including Area Code: (615) 316-6000</w:t>
            </w:r>
          </w:p>
        </w:tc>
      </w:tr>
      <w:tr>
        <w:trPr>
          <w:trHeight w:val="297"/>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0" w:type="dxa"/>
            <w:vAlign w:val="bottom"/>
            <w:gridSpan w:val="6"/>
          </w:tcPr>
          <w:p>
            <w:pPr>
              <w:jc w:val="center"/>
              <w:ind w:right="193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02"/>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2000" w:type="dxa"/>
            <w:vAlign w:val="bottom"/>
            <w:tcBorders>
              <w:bottom w:val="single" w:sz="8" w:color="auto"/>
            </w:tcBorders>
          </w:tcPr>
          <w:p>
            <w:pPr>
              <w:jc w:val="center"/>
              <w:ind w:left="396"/>
              <w:spacing w:after="0"/>
              <w:rPr>
                <w:sz w:val="20"/>
                <w:szCs w:val="20"/>
                <w:color w:val="auto"/>
              </w:rPr>
            </w:pPr>
            <w:r>
              <w:rPr>
                <w:rFonts w:ascii="Arial" w:cs="Arial" w:eastAsia="Arial" w:hAnsi="Arial"/>
                <w:sz w:val="18"/>
                <w:szCs w:val="18"/>
                <w:color w:val="auto"/>
                <w:w w:val="90"/>
              </w:rPr>
              <w:t>Title of Each Class</w:t>
            </w:r>
          </w:p>
        </w:tc>
        <w:tc>
          <w:tcPr>
            <w:tcW w:w="50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Trading Symbol(s)</w:t>
            </w:r>
          </w:p>
        </w:tc>
        <w:tc>
          <w:tcPr>
            <w:tcW w:w="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Common stock, par value $.01</w:t>
            </w:r>
          </w:p>
        </w:tc>
        <w:tc>
          <w:tcPr>
            <w:tcW w:w="500" w:type="dxa"/>
            <w:vAlign w:val="bottom"/>
          </w:tcPr>
          <w:p>
            <w:pPr>
              <w:spacing w:after="0"/>
              <w:rPr>
                <w:sz w:val="19"/>
                <w:szCs w:val="19"/>
                <w:color w:val="auto"/>
              </w:rPr>
            </w:pPr>
          </w:p>
        </w:tc>
        <w:tc>
          <w:tcPr>
            <w:tcW w:w="1880" w:type="dxa"/>
            <w:vAlign w:val="bottom"/>
          </w:tcPr>
          <w:p>
            <w:pPr>
              <w:jc w:val="center"/>
              <w:ind w:left="170"/>
              <w:spacing w:after="0"/>
              <w:rPr>
                <w:sz w:val="20"/>
                <w:szCs w:val="20"/>
                <w:color w:val="auto"/>
              </w:rPr>
            </w:pPr>
            <w:r>
              <w:rPr>
                <w:rFonts w:ascii="Arial" w:cs="Arial" w:eastAsia="Arial" w:hAnsi="Arial"/>
                <w:sz w:val="18"/>
                <w:szCs w:val="18"/>
                <w:color w:val="auto"/>
                <w:w w:val="89"/>
              </w:rPr>
              <w:t>RHP</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(Title of Class)</w:t>
      </w:r>
    </w:p>
    <w:p>
      <w:pPr>
        <w:spacing w:after="0" w:line="87" w:lineRule="exact"/>
        <w:rPr>
          <w:sz w:val="24"/>
          <w:szCs w:val="24"/>
          <w:color w:val="auto"/>
        </w:rPr>
      </w:pPr>
    </w:p>
    <w:p>
      <w:pPr>
        <w:ind w:right="266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46"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59"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5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380"/>
          </w:cols>
          <w:pgMar w:left="760" w:top="665" w:right="759" w:bottom="1440" w:gutter="0" w:footer="0" w:header="0"/>
        </w:sectPr>
      </w:pPr>
    </w:p>
    <w:p>
      <w:pPr>
        <w:spacing w:after="0" w:line="43" w:lineRule="exact"/>
        <w:rPr>
          <w:sz w:val="24"/>
          <w:szCs w:val="24"/>
          <w:color w:val="auto"/>
        </w:rPr>
      </w:pPr>
    </w:p>
    <w:p>
      <w:pPr>
        <w:ind w:left="9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3520" w:space="720"/>
            <w:col w:w="6140"/>
          </w:cols>
          <w:pgMar w:left="760" w:top="665" w:right="759" w:bottom="1440" w:gutter="0" w:footer="0" w:header="0"/>
          <w:type w:val="continuous"/>
        </w:sectPr>
      </w:pPr>
    </w:p>
    <w:p>
      <w:pPr>
        <w:ind w:left="92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41" w:lineRule="exact"/>
        <w:rPr>
          <w:sz w:val="24"/>
          <w:szCs w:val="24"/>
          <w:color w:val="auto"/>
        </w:rPr>
      </w:pPr>
    </w:p>
    <w:p>
      <w:pPr>
        <w:ind w:left="2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sectPr>
          <w:pgSz w:w="11900" w:h="16838" w:orient="portrait"/>
          <w:cols w:equalWidth="0" w:num="2">
            <w:col w:w="3520" w:space="720"/>
            <w:col w:w="6140"/>
          </w:cols>
          <w:pgMar w:left="760" w:top="665" w:right="759" w:bottom="1440" w:gutter="0" w:footer="0" w:header="0"/>
          <w:type w:val="continuous"/>
        </w:sectPr>
      </w:pPr>
    </w:p>
    <w:p>
      <w:pPr>
        <w:jc w:val="both"/>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96"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The aggregate market value of the shares of Common Stock held by non-affiliates of the registrant based on the closing price of the Common Stock on the New York Stock Exchange on June 28, 2019 of $81.09 per share was approximately $3,737,335,683 (assuming for this purpose that shares beneficially owned by persons other than officers or directors of the registrant, and their affiliates, are held by non-affiliates).</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2020, there were 54,898,888 shares of Common Stock outstanding.</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Portions of the registrant’s definitive Proxy Statement for the 2020 Annual Meeting of Stockholders to be filed with the Securities and Exchange Commission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636905</wp:posOffset>
            </wp:positionV>
            <wp:extent cx="6595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104775</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gridSpan w:val="12"/>
          </w:tcPr>
          <w:p>
            <w:pPr>
              <w:jc w:val="center"/>
              <w:ind w:right="36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4"/>
          </w:tcPr>
          <w:p>
            <w:pPr>
              <w:spacing w:after="0"/>
              <w:rPr>
                <w:sz w:val="24"/>
                <w:szCs w:val="24"/>
                <w:color w:val="auto"/>
              </w:rPr>
            </w:pPr>
          </w:p>
        </w:tc>
        <w:tc>
          <w:tcPr>
            <w:tcW w:w="36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36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Item 1A.</w:t>
              </w:r>
            </w:hyperlink>
          </w:p>
        </w:tc>
        <w:tc>
          <w:tcPr>
            <w:tcW w:w="140" w:type="dxa"/>
            <w:vAlign w:val="bottom"/>
          </w:tcPr>
          <w:p>
            <w:pPr>
              <w:spacing w:after="0"/>
              <w:rPr>
                <w:sz w:val="17"/>
                <w:szCs w:val="17"/>
                <w:color w:val="auto"/>
              </w:rPr>
            </w:pP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696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1B.</w:t>
              </w:r>
            </w:hyperlink>
          </w:p>
        </w:tc>
        <w:tc>
          <w:tcPr>
            <w:tcW w:w="160" w:type="dxa"/>
            <w:vAlign w:val="bottom"/>
            <w:gridSpan w:val="2"/>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Unresolved Staff Comments</w:t>
              </w:r>
            </w:hyperlink>
          </w:p>
        </w:tc>
        <w:tc>
          <w:tcPr>
            <w:tcW w:w="58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280" w:type="dxa"/>
            <w:vAlign w:val="bottom"/>
            <w:gridSpan w:val="4"/>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714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280" w:type="dxa"/>
            <w:vAlign w:val="bottom"/>
            <w:gridSpan w:val="4"/>
          </w:tcPr>
          <w:p>
            <w:pPr>
              <w:spacing w:after="0"/>
              <w:rPr>
                <w:sz w:val="17"/>
                <w:szCs w:val="17"/>
                <w:color w:val="auto"/>
              </w:rPr>
            </w:pPr>
          </w:p>
        </w:tc>
        <w:tc>
          <w:tcPr>
            <w:tcW w:w="7880" w:type="dxa"/>
            <w:vAlign w:val="bottom"/>
            <w:gridSpan w:val="3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280" w:type="dxa"/>
            <w:vAlign w:val="bottom"/>
            <w:gridSpan w:val="4"/>
          </w:tcPr>
          <w:p>
            <w:pPr>
              <w:spacing w:after="0"/>
              <w:rPr>
                <w:sz w:val="17"/>
                <w:szCs w:val="17"/>
                <w:color w:val="auto"/>
              </w:rPr>
            </w:pPr>
          </w:p>
        </w:tc>
        <w:tc>
          <w:tcPr>
            <w:tcW w:w="7880" w:type="dxa"/>
            <w:vAlign w:val="bottom"/>
            <w:gridSpan w:val="3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3"/>
          </w:tcPr>
          <w:p>
            <w:pPr>
              <w:jc w:val="center"/>
              <w:ind w:right="3620"/>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3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5.</w:t>
              </w:r>
            </w:hyperlink>
          </w:p>
        </w:tc>
        <w:tc>
          <w:tcPr>
            <w:tcW w:w="280" w:type="dxa"/>
            <w:vAlign w:val="bottom"/>
            <w:gridSpan w:val="4"/>
          </w:tcPr>
          <w:p>
            <w:pPr>
              <w:spacing w:after="0"/>
              <w:rPr>
                <w:sz w:val="24"/>
                <w:szCs w:val="24"/>
                <w:color w:val="auto"/>
              </w:rPr>
            </w:pPr>
          </w:p>
        </w:tc>
        <w:tc>
          <w:tcPr>
            <w:tcW w:w="7880" w:type="dxa"/>
            <w:vAlign w:val="bottom"/>
            <w:gridSpan w:val="30"/>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Market for Registrant’s Common Equity, Related Stockholder Matters and Issuer Purchases of Equity</w:t>
              </w:r>
            </w:hyperlink>
          </w:p>
        </w:tc>
        <w:tc>
          <w:tcPr>
            <w:tcW w:w="38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Securities</w:t>
              </w:r>
            </w:hyperlink>
          </w:p>
        </w:tc>
        <w:tc>
          <w:tcPr>
            <w:tcW w:w="5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6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280" w:type="dxa"/>
            <w:vAlign w:val="bottom"/>
            <w:gridSpan w:val="4"/>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616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7.</w:t>
              </w:r>
            </w:hyperlink>
          </w:p>
        </w:tc>
        <w:tc>
          <w:tcPr>
            <w:tcW w:w="280" w:type="dxa"/>
            <w:vAlign w:val="bottom"/>
            <w:gridSpan w:val="4"/>
          </w:tcPr>
          <w:p>
            <w:pPr>
              <w:spacing w:after="0"/>
              <w:rPr>
                <w:sz w:val="17"/>
                <w:szCs w:val="17"/>
                <w:color w:val="auto"/>
              </w:rPr>
            </w:pPr>
          </w:p>
        </w:tc>
        <w:tc>
          <w:tcPr>
            <w:tcW w:w="7880" w:type="dxa"/>
            <w:vAlign w:val="bottom"/>
            <w:gridSpan w:val="3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Item 7A.</w:t>
              </w:r>
            </w:hyperlink>
          </w:p>
        </w:tc>
        <w:tc>
          <w:tcPr>
            <w:tcW w:w="140" w:type="dxa"/>
            <w:vAlign w:val="bottom"/>
          </w:tcPr>
          <w:p>
            <w:pPr>
              <w:spacing w:after="0"/>
              <w:rPr>
                <w:sz w:val="17"/>
                <w:szCs w:val="17"/>
                <w:color w:val="auto"/>
              </w:rPr>
            </w:pPr>
          </w:p>
        </w:tc>
        <w:tc>
          <w:tcPr>
            <w:tcW w:w="7880" w:type="dxa"/>
            <w:vAlign w:val="bottom"/>
            <w:gridSpan w:val="3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0"/>
          </w:tcPr>
          <w:p>
            <w:pPr>
              <w:spacing w:after="0"/>
              <w:rPr>
                <w:sz w:val="17"/>
                <w:szCs w:val="17"/>
                <w:color w:val="auto"/>
              </w:rPr>
            </w:pPr>
          </w:p>
        </w:tc>
        <w:tc>
          <w:tcPr>
            <w:tcW w:w="35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9.</w:t>
              </w:r>
            </w:hyperlink>
          </w:p>
        </w:tc>
        <w:tc>
          <w:tcPr>
            <w:tcW w:w="280" w:type="dxa"/>
            <w:vAlign w:val="bottom"/>
            <w:gridSpan w:val="4"/>
          </w:tcPr>
          <w:p>
            <w:pPr>
              <w:spacing w:after="0"/>
              <w:rPr>
                <w:sz w:val="17"/>
                <w:szCs w:val="17"/>
                <w:color w:val="auto"/>
              </w:rPr>
            </w:pPr>
          </w:p>
        </w:tc>
        <w:tc>
          <w:tcPr>
            <w:tcW w:w="7880" w:type="dxa"/>
            <w:vAlign w:val="bottom"/>
            <w:gridSpan w:val="3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Item 9A.</w:t>
              </w:r>
            </w:hyperlink>
          </w:p>
        </w:tc>
        <w:tc>
          <w:tcPr>
            <w:tcW w:w="14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Controls and Procedures</w:t>
              </w:r>
            </w:hyperlink>
          </w:p>
        </w:tc>
        <w:tc>
          <w:tcPr>
            <w:tcW w:w="610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9B.</w:t>
              </w:r>
            </w:hyperlink>
          </w:p>
        </w:tc>
        <w:tc>
          <w:tcPr>
            <w:tcW w:w="7880" w:type="dxa"/>
            <w:vAlign w:val="bottom"/>
            <w:gridSpan w:val="3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356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10.</w:t>
              </w:r>
            </w:hyperlink>
          </w:p>
        </w:tc>
        <w:tc>
          <w:tcPr>
            <w:tcW w:w="7880" w:type="dxa"/>
            <w:vAlign w:val="bottom"/>
            <w:gridSpan w:val="3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11.</w:t>
              </w:r>
            </w:hyperlink>
          </w:p>
        </w:tc>
        <w:tc>
          <w:tcPr>
            <w:tcW w:w="788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12.</w:t>
              </w:r>
            </w:hyperlink>
          </w:p>
        </w:tc>
        <w:tc>
          <w:tcPr>
            <w:tcW w:w="7880" w:type="dxa"/>
            <w:vAlign w:val="bottom"/>
            <w:gridSpan w:val="30"/>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Security Ownership of Certain Beneficial Owners and Management and Related Stockholder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13.</w:t>
              </w:r>
            </w:hyperlink>
          </w:p>
        </w:tc>
        <w:tc>
          <w:tcPr>
            <w:tcW w:w="788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56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0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14.</w:t>
              </w:r>
            </w:hyperlink>
          </w:p>
        </w:tc>
        <w:tc>
          <w:tcPr>
            <w:tcW w:w="788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358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80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15.</w:t>
              </w:r>
            </w:hyperlink>
          </w:p>
        </w:tc>
        <w:tc>
          <w:tcPr>
            <w:tcW w:w="788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472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680" w:type="dxa"/>
            <w:vAlign w:val="bottom"/>
            <w:gridSpan w:val="3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243"/>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real estate investment trust (“REIT”) and maintain REIT status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Marriott International, Inc.’s (“Marriott”)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(viii) our pending acquisition of the Block 21 complex in Austin, Texas (“Block 21”); and (ix) any other business or operational matters. We have based these forward-looking statements on our current expectations and projections about future events.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 Item 1A, “Risk Factors,” Item 7, “Management’s Discussion and Analysis of Financial Condition and Results of Operations,” and elsewhere in this report.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our TRSs that lease or sublease our hotels from our qualified REIT subsidiaries, as well as businesses within our Entertainment segment, continue to be subject, as applicable, to federal and state corporate income taxes.</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Other owned hotel assets managed by Marriott include the Inn at Opryland, an overflow hotel adjacent to Gaylord Opryland, and the AC Hotel at National Harbor, Washington D.C. (“AC Hotel”), an overflow hotel adjacent to Gaylord National. We also own a 62.1% interest in a joint venture that owns Gaylord Rockies, which opened in December 2018 and is managed by Marriott under the Gaylord Hotels brand.</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intended to create and distribute a linear multicast and over-the-top channel dedicated to the country music lifestyle (“Circle”).</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operations are organized into three principal business segments: (i) Hospitality, which includes our directly-owned hotel properties and the results of hotel operations, as well as the Gaylord Rockies joint venture; (ii) Entertainment, which includes our Grand Ole Opry assets, the Ryman Auditorium, WSM-AM, Ole Red, our other Nashville-based attractions, among others, as well as the Circle joint venture; and (iii) Corporate and Other, which includes corporate expenses. These three business segments — Hospitality, Entertainment, and Corporate and Other — represented approximately 89%, 11%, and 0%, respectively, of our total revenues for the fiscal year ended December 31, 2019.</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Financial information by business segment and for each of our Gaylord Hotels properties as of December 31, 2019 and for each of the three years then ended appears in Item 6, “Selected Financial Data,” Item 7, “Management’s Discussion and Analysis of Financial Condition and Results of Operations,” and in “Note 15 – Financial Reporting by Business Segments” to our consolidated financial statements included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Plan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left="680" w:right="180" w:hanging="320"/>
        <w:spacing w:after="0" w:line="297"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Existing Hotel Property Design. </w:t>
      </w:r>
      <w:r>
        <w:rPr>
          <w:rFonts w:ascii="Arial" w:cs="Arial" w:eastAsia="Arial" w:hAnsi="Arial"/>
          <w:sz w:val="16"/>
          <w:szCs w:val="16"/>
          <w:color w:val="auto"/>
        </w:rPr>
        <w:t>Our Gaylord Hotels properties focus on the large group meetings market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58" w:lineRule="exact"/>
        <w:rPr>
          <w:rFonts w:ascii="Arial" w:cs="Arial" w:eastAsia="Arial" w:hAnsi="Arial"/>
          <w:sz w:val="16"/>
          <w:szCs w:val="16"/>
          <w:color w:val="auto"/>
        </w:rPr>
      </w:pPr>
    </w:p>
    <w:p>
      <w:pPr>
        <w:ind w:left="680" w:hanging="320"/>
        <w:spacing w:after="0" w:line="270"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Expansion of Hotel Asset Portfolio. </w:t>
      </w:r>
      <w:r>
        <w:rPr>
          <w:rFonts w:ascii="Arial" w:cs="Arial" w:eastAsia="Arial" w:hAnsi="Arial"/>
          <w:sz w:val="17"/>
          <w:szCs w:val="17"/>
          <w:color w:val="auto"/>
        </w:rPr>
        <w:t>While our short-term capital allocation strategy has focused on returning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to 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generally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To this end, since December 2018, we</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20"/>
        <w:spacing w:after="0" w:line="342" w:lineRule="auto"/>
        <w:rPr>
          <w:sz w:val="20"/>
          <w:szCs w:val="20"/>
          <w:color w:val="auto"/>
        </w:rPr>
      </w:pPr>
      <w:r>
        <w:rPr>
          <w:rFonts w:ascii="Arial" w:cs="Arial" w:eastAsia="Arial" w:hAnsi="Arial"/>
          <w:sz w:val="16"/>
          <w:szCs w:val="16"/>
          <w:color w:val="auto"/>
        </w:rPr>
        <w:t>have increased our investment in the Gaylord Rockies joint venture from 35% to 62.1%. As a REIT, we do not view independent, large-scale development of resort and convention hotels as part of our long-term growth strategy.</w:t>
      </w:r>
    </w:p>
    <w:p>
      <w:pPr>
        <w:spacing w:after="0" w:line="124" w:lineRule="exact"/>
        <w:rPr>
          <w:sz w:val="20"/>
          <w:szCs w:val="20"/>
          <w:color w:val="auto"/>
        </w:rPr>
      </w:pPr>
    </w:p>
    <w:p>
      <w:pPr>
        <w:ind w:left="680" w:hanging="320"/>
        <w:spacing w:after="0" w:line="27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Leverage Brand Name Awareness. </w:t>
      </w:r>
      <w:r>
        <w:rPr>
          <w:rFonts w:ascii="Arial" w:cs="Arial" w:eastAsia="Arial" w:hAnsi="Arial"/>
          <w:sz w:val="17"/>
          <w:szCs w:val="17"/>
          <w:color w:val="auto"/>
        </w:rPr>
        <w:t>We believe the Grand Ole Opry is one of the most recognized entertainment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 and invested in Circle.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Hotel Portfolio</w:t>
      </w:r>
    </w:p>
    <w:p>
      <w:pPr>
        <w:spacing w:after="0" w:line="22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Marriott is responsible for the day-to-day management of our Gaylord Hotels, Gaylord Rockies, the Inn at Opryland, and the AC Hotel. We believe that our Gaylord Hotels properties have benefitted and will continue to benefit from Marriott’s expansive sales force and popular frequent traveler program, as well as their ability to manage group business.</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Based on our information, publicly-available information, and information and data obtained from Smith Travel Research, the top 10 hotels within the United States with the highest square footage of self-contained exhibit and meeting space as of January 2020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Total Exhibit and</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Facility (1)</w:t>
            </w:r>
          </w:p>
        </w:tc>
        <w:tc>
          <w:tcPr>
            <w:tcW w:w="140" w:type="dxa"/>
            <w:vAlign w:val="bottom"/>
          </w:tcPr>
          <w:p>
            <w:pPr>
              <w:spacing w:after="0"/>
              <w:rPr>
                <w:sz w:val="12"/>
                <w:szCs w:val="12"/>
                <w:color w:val="auto"/>
              </w:rPr>
            </w:pPr>
          </w:p>
        </w:tc>
        <w:tc>
          <w:tcPr>
            <w:tcW w:w="18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Location</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Meeting Space</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(sq. ft.)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Venetian Resort &amp; Casino</w:t>
            </w:r>
          </w:p>
        </w:tc>
        <w:tc>
          <w:tcPr>
            <w:tcW w:w="1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Las Vegas, NV</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Mandalay Bay Resort &amp; Casino</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2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Opryland Resort &amp; Convention Center</w:t>
            </w:r>
          </w:p>
        </w:tc>
        <w:tc>
          <w:tcPr>
            <w:tcW w:w="202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Nashville, TN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MGM Grand Las Vegas</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20" w:type="dxa"/>
            <w:vAlign w:val="bottom"/>
          </w:tcPr>
          <w:p>
            <w:pPr>
              <w:jc w:val="right"/>
              <w:spacing w:after="0"/>
              <w:rPr>
                <w:sz w:val="20"/>
                <w:szCs w:val="20"/>
                <w:color w:val="auto"/>
              </w:rPr>
            </w:pPr>
            <w:r>
              <w:rPr>
                <w:rFonts w:ascii="Arial" w:cs="Arial" w:eastAsia="Arial" w:hAnsi="Arial"/>
                <w:sz w:val="18"/>
                <w:szCs w:val="18"/>
                <w:color w:val="auto"/>
              </w:rPr>
              <w:t>5,044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National Resort &amp; Convention Center</w:t>
            </w:r>
          </w:p>
        </w:tc>
        <w:tc>
          <w:tcPr>
            <w:tcW w:w="202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National Harbor, MD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Gaylord Texan Resort &amp; Convention Center</w:t>
            </w:r>
          </w:p>
        </w:tc>
        <w:tc>
          <w:tcPr>
            <w:tcW w:w="2020" w:type="dxa"/>
            <w:vAlign w:val="bottom"/>
            <w:gridSpan w:val="3"/>
          </w:tcPr>
          <w:p>
            <w:pPr>
              <w:ind w:left="140"/>
              <w:spacing w:after="0"/>
              <w:rPr>
                <w:sz w:val="20"/>
                <w:szCs w:val="20"/>
                <w:color w:val="auto"/>
              </w:rPr>
            </w:pPr>
            <w:r>
              <w:rPr>
                <w:rFonts w:ascii="Arial" w:cs="Arial" w:eastAsia="Arial" w:hAnsi="Arial"/>
                <w:sz w:val="18"/>
                <w:szCs w:val="18"/>
                <w:b w:val="1"/>
                <w:bCs w:val="1"/>
                <w:color w:val="auto"/>
              </w:rPr>
              <w:t>Grapevine, TX</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Marriott Orlando World Center Resort</w:t>
            </w:r>
          </w:p>
        </w:tc>
        <w:tc>
          <w:tcPr>
            <w:tcW w:w="2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Orlando, FL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Rosen Shingle Creek Resort</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Orlando, FL</w:t>
            </w:r>
          </w:p>
        </w:tc>
        <w:tc>
          <w:tcPr>
            <w:tcW w:w="82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Rockies Resort &amp; Convention Center (2)</w:t>
            </w:r>
          </w:p>
        </w:tc>
        <w:tc>
          <w:tcPr>
            <w:tcW w:w="202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Aurora, CO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Gaylord Palms Resort &amp; Convention Center</w:t>
            </w:r>
          </w:p>
        </w:tc>
        <w:tc>
          <w:tcPr>
            <w:tcW w:w="2020" w:type="dxa"/>
            <w:vAlign w:val="bottom"/>
            <w:gridSpan w:val="3"/>
          </w:tcPr>
          <w:p>
            <w:pPr>
              <w:ind w:left="140"/>
              <w:spacing w:after="0"/>
              <w:rPr>
                <w:sz w:val="20"/>
                <w:szCs w:val="20"/>
                <w:color w:val="auto"/>
              </w:rPr>
            </w:pPr>
            <w:r>
              <w:rPr>
                <w:rFonts w:ascii="Arial" w:cs="Arial" w:eastAsia="Arial" w:hAnsi="Arial"/>
                <w:sz w:val="18"/>
                <w:szCs w:val="18"/>
                <w:b w:val="1"/>
                <w:bCs w:val="1"/>
                <w:color w:val="auto"/>
              </w:rPr>
              <w:t>Kissimmee, FL</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1,416</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3" w:lineRule="exact"/>
        <w:rPr>
          <w:sz w:val="20"/>
          <w:szCs w:val="20"/>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Bolded facilities are owned by the Company.</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owns a 62.1 percent interest through the Gaylord Rockies joint venture.</w:t>
      </w:r>
    </w:p>
    <w:p>
      <w:pPr>
        <w:spacing w:after="0" w:line="21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Gaylord Opryland Resort and Convention Center — Nashville, Tennessee. </w:t>
      </w:r>
      <w:r>
        <w:rPr>
          <w:rFonts w:ascii="Arial" w:cs="Arial" w:eastAsia="Arial" w:hAnsi="Arial"/>
          <w:sz w:val="16"/>
          <w:szCs w:val="16"/>
          <w:color w:val="auto"/>
        </w:rPr>
        <w:t>Gaylord Opryland is one of the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and total meeting, exhibit and pre-function space of approximately 640,000 square feet. Gaylord Opryland is routinely recognized by many industry and commercial publications, including being awarded a 2019 STELLA Award Silver Winner for best conference center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 2019 Award of Excellence Recipient from </w:t>
      </w:r>
      <w:r>
        <w:rPr>
          <w:rFonts w:ascii="Arial" w:cs="Arial" w:eastAsia="Arial" w:hAnsi="Arial"/>
          <w:sz w:val="16"/>
          <w:szCs w:val="16"/>
          <w:i w:val="1"/>
          <w:iCs w:val="1"/>
          <w:color w:val="auto"/>
        </w:rPr>
        <w:t>Corporate &amp; Incentive Travel</w:t>
      </w:r>
      <w:r>
        <w:rPr>
          <w:rFonts w:ascii="Arial" w:cs="Arial" w:eastAsia="Arial" w:hAnsi="Arial"/>
          <w:sz w:val="16"/>
          <w:szCs w:val="16"/>
          <w:color w:val="auto"/>
        </w:rPr>
        <w:t xml:space="preserve"> magazine, Best of the South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and recognition as a member of</w:t>
      </w:r>
      <w:r>
        <w:rPr>
          <w:rFonts w:ascii="Arial" w:cs="Arial" w:eastAsia="Arial" w:hAnsi="Arial"/>
          <w:sz w:val="16"/>
          <w:szCs w:val="16"/>
          <w:i w:val="1"/>
          <w:iCs w:val="1"/>
          <w:color w:val="auto"/>
        </w:rPr>
        <w:t xml:space="preserve"> Meeting &amp; Conventions </w:t>
      </w:r>
      <w:r>
        <w:rPr>
          <w:rFonts w:ascii="Arial" w:cs="Arial" w:eastAsia="Arial" w:hAnsi="Arial"/>
          <w:sz w:val="16"/>
          <w:szCs w:val="16"/>
          <w:color w:val="auto"/>
        </w:rPr>
        <w:t>Hall of Fame. We opened the indoor sections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SoundWaves, a $90 million luxury indoor/outdoor waterpark with over 200,000 square feet of water attractions and amenities adjacent to Gaylord Opryland in December 2018 and the outdoor sections in May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Gaylord Palms Resort and Convention Center — Kissimmee, Florida. </w:t>
      </w:r>
      <w:r>
        <w:rPr>
          <w:rFonts w:ascii="Arial" w:cs="Arial" w:eastAsia="Arial" w:hAnsi="Arial"/>
          <w:sz w:val="16"/>
          <w:szCs w:val="16"/>
          <w:color w:val="auto"/>
        </w:rPr>
        <w:t>Gaylord Palms has 1,416 signature guest rooms,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ballrooms with approximately 76,000 square feet, 76 banquet/meeting rooms, and total meeting, exhibit and pre-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function space of approximately 400,000 square feet. The resort is situated on a 65-acre site in Osceola County, 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we have leased pursuant to a 75-year ground lease with a 24-year renewal option. The resort is approximately a five-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minute drive from the main gate of the Walt Disney World® Resort complex. Gaylord Palms has a number of themed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restaurants, retail outlets, a new resort pool, and a full-service spa with 20,000 square feet of dedicated space. Hotel guests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have golf privileges at Celebration Golf Club, located approximately two miles from the property. Gaylord Palms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rated as a AAA Four-Diamond Hotel and is routinely recognized by many industry and commercial publications,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being awarded a 2019 STELLA Award Bronze Winner for best conference center by Northstar Meetings Group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Meetings &amp; Conventions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Successful Meetings </w:t>
      </w:r>
      <w:r>
        <w:rPr>
          <w:rFonts w:ascii="Arial" w:cs="Arial" w:eastAsia="Arial" w:hAnsi="Arial"/>
          <w:sz w:val="17"/>
          <w:szCs w:val="17"/>
          <w:color w:val="auto"/>
        </w:rPr>
        <w:t>magazines, a 2019 Award of Excellence Recipient from</w:t>
      </w:r>
      <w:r>
        <w:rPr>
          <w:rFonts w:ascii="Arial" w:cs="Arial" w:eastAsia="Arial" w:hAnsi="Arial"/>
          <w:sz w:val="17"/>
          <w:szCs w:val="17"/>
          <w:i w:val="1"/>
          <w:iCs w:val="1"/>
          <w:color w:val="auto"/>
        </w:rPr>
        <w:t xml:space="preserve"> Corporate &amp;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Incentive Travel </w:t>
      </w:r>
      <w:r>
        <w:rPr>
          <w:rFonts w:ascii="Arial" w:cs="Arial" w:eastAsia="Arial" w:hAnsi="Arial"/>
          <w:sz w:val="17"/>
          <w:szCs w:val="17"/>
          <w:color w:val="auto"/>
        </w:rPr>
        <w:t>magazine, Best of the South Award Winner from</w:t>
      </w:r>
      <w:r>
        <w:rPr>
          <w:rFonts w:ascii="Arial" w:cs="Arial" w:eastAsia="Arial" w:hAnsi="Arial"/>
          <w:sz w:val="17"/>
          <w:szCs w:val="17"/>
          <w:i w:val="1"/>
          <w:iCs w:val="1"/>
          <w:color w:val="auto"/>
        </w:rPr>
        <w:t xml:space="preserve"> Meetings Today</w:t>
      </w:r>
      <w:r>
        <w:rPr>
          <w:rFonts w:ascii="Arial" w:cs="Arial" w:eastAsia="Arial" w:hAnsi="Arial"/>
          <w:sz w:val="17"/>
          <w:szCs w:val="17"/>
          <w:color w:val="auto"/>
        </w:rPr>
        <w:t>, and recognition as a member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Meeting &amp; Conventions </w:t>
      </w:r>
      <w:r>
        <w:rPr>
          <w:rFonts w:ascii="Arial" w:cs="Arial" w:eastAsia="Arial" w:hAnsi="Arial"/>
          <w:sz w:val="16"/>
          <w:szCs w:val="16"/>
          <w:color w:val="auto"/>
        </w:rPr>
        <w:t>Hall of Fame. In 2018, we began construction of a $158 million expansion of Gaylord Palms,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include an additional 303 guest rooms and 90,000 square feet of meeting space, an expanded resort pool and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lawn, and a new multi-level parking structure. The expansion is expected to be completed in summer 2021.</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Gaylord Texan Resort and Convention Center — Grapevine, Texas. </w:t>
      </w:r>
      <w:r>
        <w:rPr>
          <w:rFonts w:ascii="Arial" w:cs="Arial" w:eastAsia="Arial" w:hAnsi="Arial"/>
          <w:sz w:val="16"/>
          <w:szCs w:val="16"/>
          <w:color w:val="auto"/>
        </w:rPr>
        <w:t>Gaylord Texan is situated on approximately 85 acres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The Gaylord Texan is rated as a AAA Four-Diamond Hotel and is routinely recognized by many industry and commercial publications, including being awarded a 2019 STELLA Award Gold Winner by Northstar Meetings Group and </w:t>
      </w:r>
      <w:r>
        <w:rPr>
          <w:rFonts w:ascii="Arial" w:cs="Arial" w:eastAsia="Arial" w:hAnsi="Arial"/>
          <w:sz w:val="16"/>
          <w:szCs w:val="16"/>
          <w:i w:val="1"/>
          <w:iCs w:val="1"/>
          <w:color w:val="auto"/>
        </w:rPr>
        <w:t>Meetings &amp; Conventions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Successful Meetings</w:t>
      </w:r>
      <w:r>
        <w:rPr>
          <w:rFonts w:ascii="Arial" w:cs="Arial" w:eastAsia="Arial" w:hAnsi="Arial"/>
          <w:sz w:val="16"/>
          <w:szCs w:val="16"/>
          <w:color w:val="auto"/>
        </w:rPr>
        <w:t xml:space="preserve"> magazines, a 2019 Award of Excellence Recipient from </w:t>
      </w:r>
      <w:r>
        <w:rPr>
          <w:rFonts w:ascii="Arial" w:cs="Arial" w:eastAsia="Arial" w:hAnsi="Arial"/>
          <w:sz w:val="16"/>
          <w:szCs w:val="16"/>
          <w:i w:val="1"/>
          <w:iCs w:val="1"/>
          <w:color w:val="auto"/>
        </w:rPr>
        <w:t>Corporate &amp; Incentive Travel</w:t>
      </w:r>
      <w:r>
        <w:rPr>
          <w:rFonts w:ascii="Arial" w:cs="Arial" w:eastAsia="Arial" w:hAnsi="Arial"/>
          <w:sz w:val="16"/>
          <w:szCs w:val="16"/>
          <w:color w:val="auto"/>
        </w:rPr>
        <w:t xml:space="preserve"> magazine, and Best of the South Award Winner from </w:t>
      </w:r>
      <w:r>
        <w:rPr>
          <w:rFonts w:ascii="Arial" w:cs="Arial" w:eastAsia="Arial" w:hAnsi="Arial"/>
          <w:sz w:val="16"/>
          <w:szCs w:val="16"/>
          <w:i w:val="1"/>
          <w:iCs w:val="1"/>
          <w:color w:val="auto"/>
        </w:rPr>
        <w:t>Meetings Today</w:t>
      </w:r>
      <w:r>
        <w:rPr>
          <w:rFonts w:ascii="Arial" w:cs="Arial" w:eastAsia="Arial" w:hAnsi="Arial"/>
          <w:sz w:val="16"/>
          <w:szCs w:val="16"/>
          <w:color w:val="auto"/>
        </w:rPr>
        <w:t>. In 2018, we completed construction of a $110 million expansion of Gaylord Texan that included an additional 303 guest rooms and 88,000 square feet of meeting space.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Gaylord National Resort and Convention Center — National Harbor, Maryland. </w:t>
      </w:r>
      <w:r>
        <w:rPr>
          <w:rFonts w:ascii="Arial" w:cs="Arial" w:eastAsia="Arial" w:hAnsi="Arial"/>
          <w:sz w:val="17"/>
          <w:szCs w:val="17"/>
          <w:color w:val="auto"/>
        </w:rPr>
        <w:t>Gaylord National is situated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42 acres of land located on the Potomac River in Prince George’s County, Maryland, eight miles south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Washington, D.C. The hotel has 1,996 signature guest rooms, four ballrooms with approximately 103,000 square feet, 82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and breakout rooms, and total meeting, exhibit and pre-function space of approximately 500,000 square feet.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hotel complex includes an 18-story glass atrium, a 20,000 square foot spa and fitness center, a freestanding 24,000-square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foot ballroom building offering 16,000 square feet of meeting space on the banks of the Potomac River that opened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2017, and entertainment options such as restaurants, shops, and a two-story rooftop nightclub. The Gaylord National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rated as a AAA Four-Diamond Hotel and is routinely recognized by many industry and commercial publications,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being awarded a 2019 STELLA Award Gold Winner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Successful Meetings </w:t>
      </w:r>
      <w:r>
        <w:rPr>
          <w:rFonts w:ascii="Arial" w:cs="Arial" w:eastAsia="Arial" w:hAnsi="Arial"/>
          <w:sz w:val="16"/>
          <w:szCs w:val="16"/>
          <w:color w:val="auto"/>
        </w:rPr>
        <w:t>magazines, a 2019 Award of Excellence Recipient from</w:t>
      </w:r>
      <w:r>
        <w:rPr>
          <w:rFonts w:ascii="Arial" w:cs="Arial" w:eastAsia="Arial" w:hAnsi="Arial"/>
          <w:sz w:val="16"/>
          <w:szCs w:val="16"/>
          <w:i w:val="1"/>
          <w:iCs w:val="1"/>
          <w:color w:val="auto"/>
        </w:rPr>
        <w:t xml:space="preserve"> Corporate &amp; Incentive Travel </w:t>
      </w:r>
      <w:r>
        <w:rPr>
          <w:rFonts w:ascii="Arial" w:cs="Arial" w:eastAsia="Arial" w:hAnsi="Arial"/>
          <w:sz w:val="16"/>
          <w:szCs w:val="16"/>
          <w:color w:val="auto"/>
        </w:rPr>
        <w:t>magazine,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Best of the East Award Winner from </w:t>
      </w:r>
      <w:r>
        <w:rPr>
          <w:rFonts w:ascii="Arial" w:cs="Arial" w:eastAsia="Arial" w:hAnsi="Arial"/>
          <w:sz w:val="18"/>
          <w:szCs w:val="18"/>
          <w:i w:val="1"/>
          <w:iCs w:val="1"/>
          <w:color w:val="auto"/>
        </w:rPr>
        <w:t>Meetings Today</w:t>
      </w:r>
      <w:r>
        <w:rPr>
          <w:rFonts w:ascii="Arial" w:cs="Arial" w:eastAsia="Arial" w:hAnsi="Arial"/>
          <w:sz w:val="18"/>
          <w:szCs w:val="18"/>
          <w:color w:val="auto"/>
        </w:rPr>
        <w:t>.</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 xml:space="preserve">Gaylord Rockies Resort and Convention Center — Aurora, Colorado. </w:t>
      </w:r>
      <w:r>
        <w:rPr>
          <w:rFonts w:ascii="Arial" w:cs="Arial" w:eastAsia="Arial" w:hAnsi="Arial"/>
          <w:sz w:val="16"/>
          <w:szCs w:val="16"/>
          <w:color w:val="auto"/>
        </w:rPr>
        <w:t>As further discussed in “Note 4 – Investment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Gaylord Rockies Joint Venture” to our consolidated financial statements included in this Annual Report on Form 10-K, we own a 62.1% interest in, and are the managing member of, the Gaylord Rockies joint venture. Gaylord Rockies is</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situated on approximately 85 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In February 2020, the Company and its joint venture partner announced an $80 million, 317-room expansion for Gaylord Rockies expected to be completed in early 2022. Gaylord Rockies was awarded a 2019 STELLA Award Silver Winner for best conference center by Northstar Meetings Group and </w:t>
      </w:r>
      <w:r>
        <w:rPr>
          <w:rFonts w:ascii="Arial" w:cs="Arial" w:eastAsia="Arial" w:hAnsi="Arial"/>
          <w:sz w:val="17"/>
          <w:szCs w:val="17"/>
          <w:i w:val="1"/>
          <w:iCs w:val="1"/>
          <w:color w:val="auto"/>
        </w:rPr>
        <w:t>Meetings &amp; Conventions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Successful Meetings </w:t>
      </w:r>
      <w:r>
        <w:rPr>
          <w:rFonts w:ascii="Arial" w:cs="Arial" w:eastAsia="Arial" w:hAnsi="Arial"/>
          <w:sz w:val="17"/>
          <w:szCs w:val="17"/>
          <w:color w:val="auto"/>
        </w:rPr>
        <w:t>magazines.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Inn at Opryland. </w:t>
      </w:r>
      <w:r>
        <w:rPr>
          <w:rFonts w:ascii="Arial" w:cs="Arial" w:eastAsia="Arial" w:hAnsi="Arial"/>
          <w:sz w:val="18"/>
          <w:szCs w:val="18"/>
          <w:color w:val="auto"/>
        </w:rPr>
        <w:t>We also own the Inn at Opryland, which is located across the street from Gaylord Opryland. The hotel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303 rooms and approximately 14,000 square feet of meeting space.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We also own the AC Hotel, which is located near Gaylord National. The hotel has 192 rooms and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3,700 square feet of meeting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Entertainment Portfolio</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The Grand Ole Opry. </w:t>
      </w:r>
      <w:r>
        <w:rPr>
          <w:rFonts w:ascii="Arial" w:cs="Arial" w:eastAsia="Arial" w:hAnsi="Arial"/>
          <w:sz w:val="17"/>
          <w:szCs w:val="17"/>
          <w:color w:val="auto"/>
        </w:rPr>
        <w:t>The Grand Ole Opry, which celebrated its 94</w:t>
      </w:r>
      <w:r>
        <w:rPr>
          <w:rFonts w:ascii="Arial" w:cs="Arial" w:eastAsia="Arial" w:hAnsi="Arial"/>
          <w:sz w:val="26"/>
          <w:szCs w:val="26"/>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in 2019, is one of the most widely known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platforms for country music in the world. The Opry features a live country music show with performances every Friday and Saturday night, as well as additional weekly performances on a seasonal basis. The Grand Ole Opry House, home of the Grand Ole Opry, seats approximately 4,400, is located in the Opryland complex, and was named the Venue of the Year by the Academy of Country Music in 2014.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We recently completed construction of an approximately $20 million expansion to the Grand Ole Opry House, which includes a larger retail space, additional food and beverage options, a redesigned box office, VIP lounge area with a backstage tour theater, and additional parking.</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Ryman Auditorium. </w:t>
      </w:r>
      <w:r>
        <w:rPr>
          <w:rFonts w:ascii="Arial" w:cs="Arial" w:eastAsia="Arial" w:hAnsi="Arial"/>
          <w:sz w:val="18"/>
          <w:szCs w:val="18"/>
          <w:color w:val="auto"/>
        </w:rPr>
        <w:t>The Ryman Auditorium, which was built in 1892 and seats approximately 2,300, is designated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Historic Landmark. The former home of the Grand Ole Opry, the Ryman Auditorium was renovated and re-opened in 1994 for concerts and musical productions. In June 2015, the Ryman completed a $14 million expansion, including updated museum exhibits, a new museum theatre and a new café. The Grand Ole Opry returns to the Ryman Auditorium periodically, most recently from November 2019 to January 2020. In 2019, the Ryman Auditorium was named “Theatre of the Year” by Pollstar Concert Industry Awards for the ninth consecutive year, “Venue of the Year” by the Country Music Association for the fifth consecutive year, and “Venue of the Year – Small Capacity” by the Academy of Country Music for the sixth time.</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WSM-AM. </w:t>
      </w:r>
      <w:r>
        <w:rPr>
          <w:rFonts w:ascii="Arial" w:cs="Arial" w:eastAsia="Arial" w:hAnsi="Arial"/>
          <w:sz w:val="17"/>
          <w:szCs w:val="17"/>
          <w:color w:val="auto"/>
        </w:rPr>
        <w:t>WSM-AM commenced broadcasting in 1925. The involvement of Ryman’s predecessors with country music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Ole Red. </w:t>
      </w:r>
      <w:r>
        <w:rPr>
          <w:rFonts w:ascii="Arial" w:cs="Arial" w:eastAsia="Arial" w:hAnsi="Arial"/>
          <w:sz w:val="16"/>
          <w:szCs w:val="16"/>
          <w:color w:val="auto"/>
        </w:rPr>
        <w:t>In May 2018, we opened our flagship Ole Red location, a multi-level entertainment venue in downtown Nashville.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26,000-square foot venue features a two-story bar and restaurant, performance space, private event space and a 6,000-square foot rooftop restaurant and bar. We own additional Ole Red locations in Gatlinburg, Tennessee and Tishomingo, Oklahoma, and are developing an additional location in Orlando, Florida that is expected to open in Spring 2020.</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The General Jackson Showboat. </w:t>
      </w:r>
      <w:r>
        <w:rPr>
          <w:rFonts w:ascii="Arial" w:cs="Arial" w:eastAsia="Arial" w:hAnsi="Arial"/>
          <w:sz w:val="16"/>
          <w:szCs w:val="16"/>
          <w:color w:val="auto"/>
        </w:rPr>
        <w:t>We own the General Jackson Showboat, a 300-foot, four-deck paddle wheel showboat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Gaylord Springs. </w:t>
      </w:r>
      <w:r>
        <w:rPr>
          <w:rFonts w:ascii="Arial" w:cs="Arial" w:eastAsia="Arial" w:hAnsi="Arial"/>
          <w:sz w:val="17"/>
          <w:szCs w:val="17"/>
          <w:color w:val="auto"/>
        </w:rPr>
        <w:t>Minutes from Gaylord Opryland, Gaylord Springs, our 18-hole championship golf course, was designed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 U.S. Open and PGA Champion Larry Nelson. The 40,000 square-foot antebellum-style clubhouse offers meeting space for up to 500 guests. Marriott manages the day-to-day operations of Gaylord Springs.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The Wildhorse Saloon. </w:t>
      </w:r>
      <w:r>
        <w:rPr>
          <w:rFonts w:ascii="Arial" w:cs="Arial" w:eastAsia="Arial" w:hAnsi="Arial"/>
          <w:sz w:val="18"/>
          <w:szCs w:val="18"/>
          <w:color w:val="auto"/>
        </w:rPr>
        <w:t>Since 1994, we have owned the Wildhorse Saloon, a country music performance venue on historic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Avenue in downtown Nashville. The three-story facility includes a dance floor of approximately 2,000 square feet, as well as a restaurant and banquet facility that can accommodate up to 2,000 guests. Marriott manages the day-to-day operations of the Wildhorse Saloon.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of our assets are held by, and all of our operations are conducted through, RHP Hotel Properties, LP, a Delaware limited partnership (the “Operating Partnership”). On December 31, 2018, we amended the limited partnership agreement of the Operating Partnership to provide that its partnership units may be exchanged on a one-for-one basis for shares of our common stock. Under certain circumstances, we may issue such partnership units as consideration to acquire hotel properties. By offering partnership units, the seller of such hotel property could defer federal income tax on any of the seller’s gains on sale, and this tax advantage may enable us to acquire hotel properties in the future which otherwise may not be available for sale.</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we own our Entertainment businesses in TRSs, and certain of those TRSs have engaged Marriott to manage their assets, as described above.</w:t>
      </w:r>
    </w:p>
    <w:p>
      <w:pPr>
        <w:sectPr>
          <w:pgSz w:w="11900" w:h="16838" w:orient="portrait"/>
          <w:cols w:equalWidth="0" w:num="1">
            <w:col w:w="9040"/>
          </w:cols>
          <w:pgMar w:left="1420" w:top="517" w:right="14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December 31, 2019, we had approximately 593 full-time and 613 part-time and temporary employees. Of these, approximately 498 full-time and 610 part-time employees were employed in our Entertainment segment; and approximately 95 full-time employees and 3 part-time employees were employed in our Corporate and Other segment, with several of those Corporate and Other segment employees providing direct support to our Entertainment segment. We believe our relations with our employees are good. In connection with Marriott’s assumption of the day-to-day management of our Gaylord Hotels properties and certain other assets, effective in 2012, our former employees involved in the day-to-day operations of our Gaylord Hotels, as well as the Inn at Opryland, the General Jackson, Gaylord Springs and the Wildhorse Saloon, became employees of Marriott. Since that time, Marriott has been responsible for hiring and maintaining the labor force at each of these properties, as well as Gaylord Rockies and the AC Hotel upon opening.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Orlando, Chicago, Atlanta, Dallas, Nashville, Washington, D.C. and Denver.</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ectPr>
          <w:pgSz w:w="11900" w:h="16838" w:orient="portrait"/>
          <w:cols w:equalWidth="0" w:num="1">
            <w:col w:w="9060"/>
          </w:cols>
          <w:pgMar w:left="1420" w:top="517"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Grand Ole Opry and our other entertainment businesses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advertisement media, and success is often dependent on taste and fashion, which may fluctuate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Gaylord Hotels. </w:t>
      </w:r>
      <w:r>
        <w:rPr>
          <w:rFonts w:ascii="Arial" w:cs="Arial" w:eastAsia="Arial" w:hAnsi="Arial"/>
          <w:sz w:val="16"/>
          <w:szCs w:val="16"/>
          <w:color w:val="auto"/>
        </w:rPr>
        <w:t>We are a party to a management agreement with Marriott for each of our four owned Gaylord Hotels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properties, as well as a pooling agreement with Marriott with respect to our four owned Gaylord Hotels properties on an aggregate basis. Each of the management agreements has a term expiring in 2047, with three automatic 10-year renewal periods (provided the applicable hotel has met certain performance thresholds). Each of the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to certain persons, including any person who does not, in Marriott’s reasonable judgment, have sufficient financial resources and liquidity to fulfil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if we are then in breach of the applicable management agreement.</w:t>
      </w:r>
    </w:p>
    <w:p>
      <w:pPr>
        <w:spacing w:after="0" w:line="39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i w:val="1"/>
          <w:iCs w:val="1"/>
          <w:color w:val="auto"/>
        </w:rPr>
        <w:t>Gaylord Rockies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Marriott manages the day-to-day operations of Gaylord Rockies pursuant to a management agreement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the joint venture to pay Marriott a base management fee of approximately 3% of gross revenues for each fiscal year or portion thereof. This management agreement expires in 2049, with two automatic 20-year renewal periods (provided the hotel has met certain performance thresholds). Additionally, this management agreement requires the joint venture to pay Marriott an incentive fee of 20% of available cash flow (as defined in the management agreement). The owner’s priority is $81.4 million, plus certain additional amounts, including 10.75% of certain non-routine capital expenditures.</w:t>
      </w:r>
    </w:p>
    <w:p>
      <w:pPr>
        <w:spacing w:after="0" w:line="1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Inn at Opryland. </w:t>
      </w:r>
      <w:r>
        <w:rPr>
          <w:rFonts w:ascii="Arial" w:cs="Arial" w:eastAsia="Arial" w:hAnsi="Arial"/>
          <w:sz w:val="16"/>
          <w:szCs w:val="16"/>
          <w:color w:val="auto"/>
        </w:rPr>
        <w:t>Marriott manages the day-to-day operations of the Inn at Opryland pursuant to a management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requires us to pay Marriott a base management fee of approximately 2% of gross revenues for each fiscal year or portion thereof. This management agreement expires in 2022,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Marriott manages the day-to-day operations of the AC Hotel pursuant to a management agreement that requires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 xml:space="preserve">Certain Nashville Attractions. </w:t>
      </w:r>
      <w:r>
        <w:rPr>
          <w:rFonts w:ascii="Arial" w:cs="Arial" w:eastAsia="Arial" w:hAnsi="Arial"/>
          <w:sz w:val="17"/>
          <w:szCs w:val="17"/>
          <w:color w:val="auto"/>
        </w:rPr>
        <w:t>Marriott manages the General Jackson, the Wildhorse Saloon, and Gaylord Springs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management agreements. Each of these management agreements require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expired in 2017, with five one-year renewal options, the third of which was exercised in 2019, so long as neither party terminates the agreement. The management agreement for Gaylord Springs expires in 2022.</w:t>
      </w:r>
    </w:p>
    <w:p>
      <w:pPr>
        <w:spacing w:after="0" w:line="17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Total base management fees incurred during 2019, 2018 and 2017 were $31.6 million, $23.3 million and $22.0 million, respectively. Total incentive fees incurred during 2019, 2018 and 2017 were $12.6 million, $11.8 million and $6.1 million, respectively. Management fees are presented in the accompanying financial information net of the amortization of the deferred management rights proceeds discussed further in “Note 6 – Deferred Management Rights Proceeds” to our consolidated financial statements included in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Portions of our business are seasonal in nature. The group convention business at our Gaylord Hotels properties is subject to reduced levels of demand during the year-end holiday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current hotel properties are subject to certain federal, state, and local governmental laws and regulations including, without limitation, labor regulations, health and safety laws and environmental regulations applicable to hotel and restaurant operations.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WSM-AM is subject to regulation under the Communications Act of 1934, as amended. Under the Communications Act, the Federal Communications Commission, or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2020; however, we are not aware of any reason why WSM-AM’s radio station license should not be renewed.</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Circle is subject to U.S. federal regulation of broadcast media, including FCC regulations on programming networks and content distributors. These include regulations related to closed captioning, advertising restrictions, obscenity restrictions and pricing, among others.</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entertainment attractions are also subject to the requirements of the Americans with Disabilities Act and similar state laws, as well as the laws and regulatory activities associated with the sale of alcoholic beverages described above. Pursuant to management agreements with Marriott, we do not control many of these activities with respect to the General Jackson Showboat, Gaylord Springs, and the Wildhorse Saloon,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their website at www.sec.gov.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certain information regarding the executive officers of the Company at January 1, 2020. All officers serve at the discretion of the Board of Directors (subject to, in the case of officers who have entered into employment agreements with the Company, the terms of such employment agreements).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4"/>
                <w:szCs w:val="14"/>
                <w:color w:val="auto"/>
              </w:rPr>
            </w:pPr>
          </w:p>
        </w:tc>
        <w:tc>
          <w:tcPr>
            <w:tcW w:w="6320" w:type="dxa"/>
            <w:vAlign w:val="bottom"/>
          </w:tcPr>
          <w:p>
            <w:pPr>
              <w:ind w:left="28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220" w:type="dxa"/>
            <w:vAlign w:val="bottom"/>
            <w:tcBorders>
              <w:top w:val="single" w:sz="8" w:color="CCEEFF"/>
            </w:tcBorders>
            <w:shd w:val="clear" w:color="auto" w:fill="CCEEFF"/>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Mark Fioravanti</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540" w:type="dxa"/>
            <w:vAlign w:val="bottom"/>
            <w:gridSpan w:val="2"/>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Bennett Westbrook</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5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Development Officer</w:t>
            </w: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J. Lynn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Jennifer Hutcheson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65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Corporate Controller and Chief Accounting Officer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additional information with respect to the above-named executive officers.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Colin V. Reed </w:t>
      </w:r>
      <w:r>
        <w:rPr>
          <w:rFonts w:ascii="Arial" w:cs="Arial" w:eastAsia="Arial" w:hAnsi="Arial"/>
          <w:sz w:val="16"/>
          <w:szCs w:val="16"/>
          <w:color w:val="auto"/>
        </w:rPr>
        <w:t>has served as Chief Executive Officer and a director of the Company since April 2001, and Mr. Reed was also</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Chairman of the Board of Directors of the Company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Mark Fioravanti </w:t>
      </w:r>
      <w:r>
        <w:rPr>
          <w:rFonts w:ascii="Arial" w:cs="Arial" w:eastAsia="Arial" w:hAnsi="Arial"/>
          <w:sz w:val="17"/>
          <w:szCs w:val="17"/>
          <w:color w:val="auto"/>
        </w:rPr>
        <w:t>is President and Chief Financial Officer of the Company, a position he has held since March 2015.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that time, Mr. Fioravanti served as Executive Vice President and Chief Financial Officer of the Company.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Patrick Chaffin </w:t>
      </w:r>
      <w:r>
        <w:rPr>
          <w:rFonts w:ascii="Arial" w:cs="Arial" w:eastAsia="Arial" w:hAnsi="Arial"/>
          <w:sz w:val="17"/>
          <w:szCs w:val="17"/>
          <w:color w:val="auto"/>
        </w:rPr>
        <w:t>is Executive Vice President and Chief Operating Officer of the Company, a position he has held since May</w:t>
      </w:r>
      <w:r>
        <w:rPr>
          <w:rFonts w:ascii="Arial" w:cs="Arial" w:eastAsia="Arial" w:hAnsi="Arial"/>
          <w:sz w:val="17"/>
          <w:szCs w:val="17"/>
          <w:i w:val="1"/>
          <w:iCs w:val="1"/>
          <w:color w:val="auto"/>
        </w:rPr>
        <w:t xml:space="preserve"> </w:t>
      </w:r>
      <w:r>
        <w:rPr>
          <w:rFonts w:ascii="Arial" w:cs="Arial" w:eastAsia="Arial" w:hAnsi="Arial"/>
          <w:sz w:val="17"/>
          <w:szCs w:val="17"/>
          <w:color w:val="auto"/>
        </w:rPr>
        <w:t>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Bennett Westbrook </w:t>
      </w:r>
      <w:r>
        <w:rPr>
          <w:rFonts w:ascii="Arial" w:cs="Arial" w:eastAsia="Arial" w:hAnsi="Arial"/>
          <w:sz w:val="16"/>
          <w:szCs w:val="16"/>
          <w:color w:val="auto"/>
        </w:rPr>
        <w:t>is Executive Vice President and Chief Development Officer, a position he has held since June 2016.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that time, Mr. Westbrook served as Senior Vice President of Investments and Design and Construction for the Company. Mr. Westbrook leads the Company’s acquisition, development, and design and construction efforts on hospitality projects and other real estate and investment-related projects. Prior to joining the Company in 2001, Mr. Westbrook was Corporate Director of Development at Harrah’s Entertainment, Inc. from 2000-2001, Regional Real Estate Manager for Federated Department Stores (now Macy’s, Inc.) from 1997-2000, and Director of Development at Harrah’s Entertainment, Inc. from 1994-1997. Mr. Westbrook earned both his B.A. degree in Political Science and MBA degree at Vanderbilt University.</w:t>
      </w:r>
    </w:p>
    <w:p>
      <w:pPr>
        <w:spacing w:after="0" w:line="16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i w:val="1"/>
          <w:iCs w:val="1"/>
          <w:color w:val="auto"/>
        </w:rPr>
        <w:t xml:space="preserve">Scott J. Lynn </w:t>
      </w:r>
      <w:r>
        <w:rPr>
          <w:rFonts w:ascii="Arial" w:cs="Arial" w:eastAsia="Arial" w:hAnsi="Arial"/>
          <w:sz w:val="16"/>
          <w:szCs w:val="16"/>
          <w:color w:val="auto"/>
        </w:rPr>
        <w:t>is the Executive Vice President, General Counsel and Secretary of the Company, a position he has held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May 2018. From January 2013 to April 2018, he was the Company’s Senior Vice President, General Counsel and Secretary. From August 2003 to January 2013, he served as the Company’s Associate General Counsel. From May 2002 to</w:t>
      </w:r>
    </w:p>
    <w:p>
      <w:pPr>
        <w:ind w:right="80"/>
        <w:spacing w:after="0" w:line="277" w:lineRule="auto"/>
        <w:rPr>
          <w:sz w:val="20"/>
          <w:szCs w:val="20"/>
          <w:color w:val="auto"/>
        </w:rPr>
      </w:pPr>
      <w:r>
        <w:rPr>
          <w:rFonts w:ascii="Arial" w:cs="Arial" w:eastAsia="Arial" w:hAnsi="Arial"/>
          <w:sz w:val="17"/>
          <w:szCs w:val="17"/>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Jennifer Hutcheson </w:t>
      </w:r>
      <w:r>
        <w:rPr>
          <w:rFonts w:ascii="Arial" w:cs="Arial" w:eastAsia="Arial" w:hAnsi="Arial"/>
          <w:sz w:val="18"/>
          <w:szCs w:val="18"/>
          <w:color w:val="auto"/>
        </w:rPr>
        <w:t>is the Senior Vice President, Corporate Controller and Chief Accounting Officer of the Company, a</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she has held since May 2018. From January 2013 to April 2018, she was the Senior Vice President and Corporate Controller of the Company. From 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 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in any taxable year, we fail to qualify for taxation as a REIT, and are not entitled to relief under the Internal Revenue Code of 1986, as amended (the “Code”):</w:t>
      </w:r>
    </w:p>
    <w:p>
      <w:pPr>
        <w:spacing w:after="0" w:line="170" w:lineRule="exact"/>
        <w:rPr>
          <w:sz w:val="20"/>
          <w:szCs w:val="20"/>
          <w:color w:val="auto"/>
        </w:rPr>
      </w:pPr>
    </w:p>
    <w:p>
      <w:pPr>
        <w:ind w:left="680" w:hanging="320"/>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stockholders in computing our taxable income;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4440"/>
        <w:spacing w:after="0"/>
        <w:rPr>
          <w:rFonts w:ascii="Arial" w:cs="Arial" w:eastAsia="Arial" w:hAnsi="Arial"/>
          <w:sz w:val="17"/>
          <w:szCs w:val="17"/>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be subject to federal and state income tax on our taxable income at regular corporate rates.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As a REIT, failure to make required distributions to our stockholders would subject us to federal and state corporate income tax.</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Prior to 2012, we had not paid a cash distribution on our common stock since 1999. Beginning in 2013 we declared, and we intend to continue to declare, regular quarterly distributions, the amount of which will be determined, and will be subject to adjustment, by our board of directors. Our board of directors has approved a dividend policy pursuant to which we will pay a quarterly cash dividend in an amount equal to an annualized payment of at least 50% of adjusted funds from operations (as defined by us) less maintenance capital expenditures or 100% of REIT taxable income on an annual basis, whichever is greater. This dividend policy may be altered at any time by our board of directors, and certain provisions of our debt agreements may prohibit us from paying dividends in accordance with the policy. To qualify as a REIT, we are generally required to distribute at least 90% of our REIT taxable income (determined without regard to the dividends paid deduction and excluding net capital gain) 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may be required to borrow funds, sell assets, or issue equity to satisfy our REIT distribution requirements or maintain the asset ownership tests.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requirements may increase the financing we need to fund capital expenditures, future growth and expansion initiatives. This would increase our total leverage.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limit our flexibility or cause us to forego otherwise attractive opportunities.</w:t>
      </w:r>
    </w:p>
    <w:p>
      <w:pPr>
        <w:spacing w:after="0" w:line="24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25% of the value of the assets of a REIT may be represented by securities of one or more TRSs and other non-qualifying assets and no more than 20% of the value of the assets of a REIT may be represented by securities of one or more TRSs.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use of TRSs may cause us to fail to qualify as a REIT.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20% of the fair market value of our assets, we would fail to qualify as a REIT.</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our leases of our hotel properties to TRS lessees are not true leases for federal income tax purposes, we may fail to qualify as a REIT.</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Marriott or any future third-party hotel manager fails to qualify as an “eligible independent contractor,” or if our hotels are not “qualified lodging facilities,” we will fail to qualify as a REIT.</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Rent paid by a lessee or sublessee that is a “related party tenant” of ours will not be qualifying income for purposes of the two gross income tests applicable to REITs. An exception is provided, however, for leases of “qualified lodging</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has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The dividend policy may be altered at any time by our board of directors and certain provisions of our debt agreements may prohibit us from paying dividends in accordance with the policy. Consequently, our distribution levels may fluctuate.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uncertainties relating to the estimate of our special dividend paid on December 21, 2012.</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To qualify for taxation as a REIT effective for the year ended December 31, 2013, we were required to distribute to our stockholders our undistributed accumulated earnings and profits attributable to taxable periods ended prior to January 1, 2013. To satisfy this requirement, on November 2, 2012, our board of directors declared a special dividend in the amount of $6.84 per share of common stock, or an aggregate of approximately $309.8 million to stockholders of record as of the close of business on November 13, 2012, payable on December 21, 2012 in a combination of cash and stock, as elected by stockholders. We believe that the total value of the special dividend was sufficient to fully distribute our accumulated earnings and profits and that a portion of the special dividend exceeded our accumulated earnings and profits. However, the amount of our undistributed accumulated earnings and profits is a complex factual and legal determination. We may</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have had less than complete information at the time we estimated our earnings and profits or may have interpreted the applicable law differently from the IRS. Substantial uncertainties exist relating to the computation of our undistributed accumulated earnings and profits, including the possibility that the IRS could successfully assert that our pre-REIT accumulated earnings and profits should be increased. Thus, we may fail to satisfy the requirement to distribute all of our pre-REIT accumulated earnings and profits by the close of our first taxable year as a REIT.</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U.S. federal tax reform legislation could affect REITs generally, the geographic markets in which we operate, our stock and our results of operations, both positively and negatively in ways that are difficult to anticipate.</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2017, the U.S. Congress passed tax reform legislation that made significant changes to corporate and individual tax rates and the calculations of taxes, as well as international tax rules for U.S. domestic corporations. In addition, it is uncertain if and to what extent various states will conform to this legislation. As a REIT, we are generally not required to pay federal taxes otherwise applicable to regular corporations (except for income related to our TRSs) if we comply with the various tax regulations governing REITs. Stockholders, however, are generally required to pay taxes on REIT dividends. Tax reform legislation will continue to affect the way in which dividends paid on shares of our common stock are taxed and could impact our stock price or how stockholders and potential investors view an investment in REITs generally.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 or our stockholders.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our REIT qualification, without stockholder approval, may cause adverse consequences to our stockholders.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our third-party managers do not manage our hotel properties or other businesses successfully, our financial condition, results of operations and our ability to service debt and make distributions to our stockholders may be negatively impacted.</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Due to federal income tax laws that restrict REITs from operating and managing hotels, we do not operate or manage the day-to-day functions of any of our hotel properties as a REIT. We lease or sublease our hotel properties to TRSs, and such TRS lessees have engaged Marriott as a third-party hotel manager pursuant to hotel management agreements. Marriott manages the day-to-day operations of our Gaylord Hotels, as well as Gaylord Rockies, the Inn at Opryland and the AC Hotel.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7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could harm the brand and damage our business.</w:t>
      </w:r>
    </w:p>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 growth and cost synergies for our hotel operations are largely dependent on the efforts of Marriott. Marriott’s efforts to leverage its rewards program, customer channels and brands, as well as its management of demand for rooms, meeting space and banquets, have resulted in revenue growth and Marriott’s efforts to reduce hotel-level costs have yielded cost savings. There can be no assurance that improvements in revenue or cost savings can be sustained.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Marriott and any future third-party hotel manager may own or operate hotels that compete with our hotel properties.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59"/>
        <w:spacing w:after="0" w:line="277" w:lineRule="auto"/>
        <w:rPr>
          <w:sz w:val="20"/>
          <w:szCs w:val="20"/>
          <w:color w:val="auto"/>
        </w:rPr>
      </w:pPr>
      <w:r>
        <w:rPr>
          <w:rFonts w:ascii="Arial" w:cs="Arial" w:eastAsia="Arial" w:hAnsi="Arial"/>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70" w:lineRule="exact"/>
        <w:rPr>
          <w:sz w:val="20"/>
          <w:szCs w:val="20"/>
          <w:color w:val="auto"/>
        </w:rPr>
      </w:pPr>
    </w:p>
    <w:p>
      <w:pPr>
        <w:ind w:right="99"/>
        <w:spacing w:after="0" w:line="257" w:lineRule="auto"/>
        <w:rPr>
          <w:sz w:val="20"/>
          <w:szCs w:val="20"/>
          <w:color w:val="auto"/>
        </w:rPr>
      </w:pPr>
      <w:r>
        <w:rPr>
          <w:rFonts w:ascii="Arial" w:cs="Arial" w:eastAsia="Arial" w:hAnsi="Arial"/>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w:t>
      </w:r>
    </w:p>
    <w:p>
      <w:pPr>
        <w:spacing w:after="0" w:line="188" w:lineRule="exact"/>
        <w:rPr>
          <w:sz w:val="20"/>
          <w:szCs w:val="20"/>
          <w:color w:val="auto"/>
        </w:rPr>
      </w:pPr>
    </w:p>
    <w:p>
      <w:pPr>
        <w:jc w:val="both"/>
        <w:ind w:right="39"/>
        <w:spacing w:after="0" w:line="264" w:lineRule="auto"/>
        <w:rPr>
          <w:sz w:val="20"/>
          <w:szCs w:val="20"/>
          <w:color w:val="auto"/>
        </w:rPr>
      </w:pPr>
      <w:r>
        <w:rPr>
          <w:rFonts w:ascii="Arial" w:cs="Arial" w:eastAsia="Arial" w:hAnsi="Arial"/>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81" w:lineRule="exact"/>
        <w:rPr>
          <w:sz w:val="20"/>
          <w:szCs w:val="20"/>
          <w:color w:val="auto"/>
        </w:rPr>
      </w:pPr>
    </w:p>
    <w:p>
      <w:pPr>
        <w:ind w:left="680" w:right="779" w:hanging="320"/>
        <w:spacing w:after="0" w:line="30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desirability and perceived attractiveness of the Nashville, Tennessee; Orlando, Florida; Dallas, Texas; Washington D.C. and Denver, Colorado areas as tourist and convention destinations;</w:t>
      </w:r>
    </w:p>
    <w:p>
      <w:pPr>
        <w:spacing w:after="0" w:line="146" w:lineRule="exact"/>
        <w:rPr>
          <w:rFonts w:ascii="Arial" w:cs="Arial" w:eastAsia="Arial" w:hAnsi="Arial"/>
          <w:sz w:val="17"/>
          <w:szCs w:val="17"/>
          <w:color w:val="auto"/>
        </w:rPr>
      </w:pPr>
    </w:p>
    <w:p>
      <w:pPr>
        <w:ind w:left="680" w:right="539" w:hanging="320"/>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the national economy and in the levels of tourism and convention business that affect our current hotel properties;</w:t>
      </w:r>
    </w:p>
    <w:p>
      <w:pPr>
        <w:spacing w:after="0" w:line="170" w:lineRule="exact"/>
        <w:rPr>
          <w:rFonts w:ascii="Arial" w:cs="Arial" w:eastAsia="Arial" w:hAnsi="Arial"/>
          <w:sz w:val="18"/>
          <w:szCs w:val="18"/>
          <w:color w:val="auto"/>
        </w:rPr>
      </w:pPr>
    </w:p>
    <w:p>
      <w:pPr>
        <w:ind w:left="680" w:right="159" w:hanging="320"/>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governmental group business, which has decreased at times in the past due to uncertainty surrounding the U.S. government budget;</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Marriott’s ability to attract group convention business;</w:t>
      </w:r>
    </w:p>
    <w:p>
      <w:pPr>
        <w:spacing w:after="0" w:line="225" w:lineRule="exact"/>
        <w:rPr>
          <w:rFonts w:ascii="Arial" w:cs="Arial" w:eastAsia="Arial" w:hAnsi="Arial"/>
          <w:sz w:val="18"/>
          <w:szCs w:val="18"/>
          <w:color w:val="auto"/>
        </w:rPr>
      </w:pPr>
    </w:p>
    <w:p>
      <w:pPr>
        <w:ind w:left="680" w:right="119" w:hanging="320"/>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Marriott’s ability to contract for and collect attrition and cancellation fees from groups that do not fulfill minimum stay or spending requirements;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opening of other new hotels could impact the group convention business at our current hotel properties;</w:t>
      </w:r>
    </w:p>
    <w:p>
      <w:pPr>
        <w:spacing w:after="0" w:line="236" w:lineRule="exact"/>
        <w:rPr>
          <w:rFonts w:ascii="Arial" w:cs="Arial" w:eastAsia="Arial" w:hAnsi="Arial"/>
          <w:sz w:val="17"/>
          <w:szCs w:val="17"/>
          <w:color w:val="auto"/>
        </w:rPr>
      </w:pPr>
    </w:p>
    <w:p>
      <w:pPr>
        <w:ind w:left="680" w:right="179" w:hanging="320"/>
        <w:spacing w:after="0" w:line="34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23" w:lineRule="exact"/>
        <w:rPr>
          <w:rFonts w:ascii="Arial" w:cs="Arial" w:eastAsia="Arial" w:hAnsi="Arial"/>
          <w:sz w:val="16"/>
          <w:szCs w:val="16"/>
          <w:color w:val="auto"/>
        </w:rPr>
      </w:pPr>
    </w:p>
    <w:p>
      <w:pPr>
        <w:ind w:left="680" w:right="239" w:hanging="320"/>
        <w:spacing w:after="0" w:line="30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susceptibility of group convention business to reduced levels of demand during the year-end holiday periods, which Marriott may not be able to offset by attracting sufficient general tourism guests;</w:t>
      </w:r>
    </w:p>
    <w:p>
      <w:pPr>
        <w:spacing w:after="0" w:line="146" w:lineRule="exact"/>
        <w:rPr>
          <w:rFonts w:ascii="Arial" w:cs="Arial" w:eastAsia="Arial" w:hAnsi="Arial"/>
          <w:sz w:val="17"/>
          <w:szCs w:val="17"/>
          <w:color w:val="auto"/>
        </w:rPr>
      </w:pPr>
    </w:p>
    <w:p>
      <w:pPr>
        <w:ind w:left="680" w:right="199" w:hanging="320"/>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condition of the airline and other transportation-related industries and the resulting impact on travel; and</w:t>
      </w:r>
    </w:p>
    <w:p>
      <w:pPr>
        <w:spacing w:after="0" w:line="170" w:lineRule="exact"/>
        <w:rPr>
          <w:rFonts w:ascii="Arial" w:cs="Arial" w:eastAsia="Arial" w:hAnsi="Arial"/>
          <w:sz w:val="18"/>
          <w:szCs w:val="18"/>
          <w:color w:val="auto"/>
        </w:rPr>
      </w:pPr>
    </w:p>
    <w:p>
      <w:pPr>
        <w:ind w:left="680" w:right="199" w:hanging="320"/>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our operating costs due to labor costs in connection with workers’ compensation, healthcare-related costs (including the Affordable Care Act or its potential replacement), and organized labor activities, the last of which, in addition to increasing labor costs, could cause a diversion of business from our hotels involved in labor negotiations and loss of group business.</w:t>
      </w:r>
    </w:p>
    <w:p>
      <w:pPr>
        <w:spacing w:after="0" w:line="187"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Due to the geographic concentration of our current hotel properties, we are subject to a greater degree of risk to certain factors.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Due to the geographic concentration of our current hotel properties, we are subject to a greater degree of risk to factors including:</w:t>
      </w:r>
    </w:p>
    <w:p>
      <w:pPr>
        <w:spacing w:after="0" w:line="170" w:lineRule="exact"/>
        <w:rPr>
          <w:sz w:val="20"/>
          <w:szCs w:val="20"/>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air passenger travel due to higher ticket costs or fears concerning air travel;</w:t>
      </w:r>
    </w:p>
    <w:p>
      <w:pPr>
        <w:spacing w:after="0" w:line="225" w:lineRule="exact"/>
        <w:rPr>
          <w:rFonts w:ascii="Arial" w:cs="Arial" w:eastAsia="Arial" w:hAnsi="Arial"/>
          <w:sz w:val="18"/>
          <w:szCs w:val="18"/>
          <w:color w:val="auto"/>
        </w:rPr>
      </w:pPr>
    </w:p>
    <w:p>
      <w:pPr>
        <w:ind w:left="680" w:right="180" w:hanging="320"/>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the attractiveness of the areas in which our hotels are located as a convention and tourism destination; and</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convention and meeting business at any of our properties.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of these could negatively affect our financial condition, results of operations and our ability to service debt and make distributions to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identify and complete future acquisitions.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Acquisitions of other hotels, particularly in the group-oriented meetings sector of the hospitality industry, either alone or through joint ventures or alliances with one or more third parties, are part of our long-term growth strategy. We may be unable to successfully identify or complete future acquisitions at acceptable prices and terms or, if we are able to find favorable acquisition targets, we may not be able to obtain financing on acceptable terms or secure beneficial joint ventures or alliances. We will evaluate potential acquisition opportunities in the ordinary course of business, including those that could be material in size and scope.</w:t>
      </w:r>
    </w:p>
    <w:p>
      <w:pPr>
        <w:spacing w:after="0" w:line="1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hotel business is capital-intensive, and our inability to obtain financing or successfully complete acquisitions or capital improvements, or the disruption associated with them, could limit our growth.</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and Gaylord Rockies expansions.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capital improvements may give rise to the following risks:</w:t>
      </w:r>
    </w:p>
    <w:p>
      <w:pPr>
        <w:spacing w:after="0" w:line="225" w:lineRule="exact"/>
        <w:rPr>
          <w:sz w:val="20"/>
          <w:szCs w:val="20"/>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environmental problems;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cost overruns and delays;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320" w:hanging="320"/>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revenues will be reduced while rooms, restaurants or other facilities are out of service due to capital improvement projects;</w:t>
      </w:r>
    </w:p>
    <w:p>
      <w:pPr>
        <w:spacing w:after="0" w:line="170" w:lineRule="exact"/>
        <w:rPr>
          <w:rFonts w:ascii="Arial" w:cs="Arial" w:eastAsia="Arial" w:hAnsi="Arial"/>
          <w:sz w:val="18"/>
          <w:szCs w:val="18"/>
          <w:color w:val="auto"/>
        </w:rPr>
      </w:pPr>
    </w:p>
    <w:p>
      <w:pPr>
        <w:ind w:left="680" w:right="380" w:hanging="320"/>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possible shortage of available cash to fund capital improvements and the related possibility that financing for these capital improvements may not be available to us on attractive terms; and</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as to market demand or a loss of market demand after capital improvements have begun.</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TRS lessee structure will subject us to the risk of increased hotel operating expenses and the inability of our TRS lessees to make lease payments to us.</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leases with our TRS lessees will require our TRS lessees to make lease payments to us based in part on gross revenues from our hotel properties. Our operating risks will include decreases in revenues at our hotel properties and increases in operating expenses of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Accounting for the acquisition of a hotel property or other entity as a business combination, or as part of a step acquisition in which we become the primary beneficiary in a variable interest entity, requires an allocation of the purchase price to the assets acquired and the liabilities assumed in the transaction at their estimated fair values. Should the allocation be incorrect, our assets and liabilities may be overstated or understated, which may also subsequently affect our statement of operations.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consider growth opportunities through acquisitions, accounting for any such acquisition of a hotel property or other entity as a purchase combination, or as part of a step acquisition in which we become the primary beneficiary of a variable interest entity, requires an allocation of the purchase price to the assets acquired and liabilities assumed in the transaction at their respective estimated fair values. The most difficult estimations of individual fair values are those involving long-lived assets, such as land, property, equipment, intangible assets and contractual obligations that are assumed as part of the acquisition. We used all available information to make these fair value determinations and may engage independent valuation specialists to assist in the fair value determination of the long-lived assets acquired and the liabilities assumed. Should any of these allocations be incorrect, our assets and liabilities may be overstated or understated, which may also subsequently affect our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debt could reduce our cash flow and limit our business activities.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have a significant amount of debt. At December 31, 2019, we had approximately $2.6 billion of total debt (which includes approximately $0.8 billion of debt related to our Gaylord Rockies joint venture, in which we own a 62.1% interest). We may incur additional debt in connection with any additional hotel acquisitions, development, investment in new projects, renovations, or capital improvement.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225" w:lineRule="exact"/>
        <w:rPr>
          <w:sz w:val="20"/>
          <w:szCs w:val="20"/>
          <w:color w:val="auto"/>
        </w:rPr>
      </w:pPr>
    </w:p>
    <w:p>
      <w:pPr>
        <w:ind w:left="680" w:hanging="3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680" w:right="240" w:hanging="320"/>
        <w:spacing w:after="0" w:line="312"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46" w:lineRule="exact"/>
        <w:rPr>
          <w:rFonts w:ascii="Arial" w:cs="Arial" w:eastAsia="Arial" w:hAnsi="Arial"/>
          <w:sz w:val="16"/>
          <w:szCs w:val="16"/>
          <w:color w:val="auto"/>
        </w:rPr>
      </w:pPr>
    </w:p>
    <w:p>
      <w:pPr>
        <w:ind w:left="680" w:right="160" w:hanging="320"/>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 and</w:t>
      </w:r>
    </w:p>
    <w:p>
      <w:pPr>
        <w:spacing w:after="0" w:line="225" w:lineRule="exact"/>
        <w:rPr>
          <w:rFonts w:ascii="Arial" w:cs="Arial" w:eastAsia="Arial" w:hAnsi="Arial"/>
          <w:sz w:val="18"/>
          <w:szCs w:val="18"/>
          <w:color w:val="auto"/>
        </w:rPr>
      </w:pPr>
    </w:p>
    <w:p>
      <w:pPr>
        <w:ind w:left="680" w:right="280" w:hanging="320"/>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various projects, including possible expansions of our existing properties and acquisitions of additional properties.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the terms of our credit facility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 required to refinance our debt before it matures and there is no assurance that we will be able to refinance our debt on acceptable terms.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ability to refinance each of our financial agreements on acceptable terms will be dependent upon a number of factors, including our degree of leverage, the value of our assets, borrowing restrictions which may be imposed by lenders and conditions in the credit markets at the time we refinance. If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service our debt and pay other obligations, we will require a significant amount of cash, which may not be available to us.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ability to make payments on, or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existing financial agreements, including our credit facility and term loan B impose, and future financing agreements are likely to impose, operating and financial restrictions on our activities, including our ability to make distributions to any stockholder. Our credit facility currently requires us to comply with or maintain certain financial tests and ratios,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including minimum fixed charge coverage ratio, minimum implied debt service coverage ratio and maximum funded debt to asset value ratio, and our financial agreements prohibit or limit our ability to, among other things:</w:t>
      </w:r>
    </w:p>
    <w:p>
      <w:pPr>
        <w:spacing w:after="0" w:line="170" w:lineRule="exact"/>
        <w:rPr>
          <w:sz w:val="20"/>
          <w:szCs w:val="20"/>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 issue guarantees of debt and issue preferred stock;</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equity interests in our restricted subsidiaries;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redeem and/or prepay certain debt;</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our stock to our stockholders or repurchase our stock or other equity interests;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new lines of business;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consolidations, mergers and acquisitions;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 or</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 to restrictions on our subsidiaries’ ability to pay dividends and make other distributions to us.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Various risks, uncertainties and events beyond our control could affect our ability to comply with these covenants and maintain these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Gaylord Hotels properties.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our announced intended dividend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applicable laws and certain agreed-upon exceptions, our $700 revolving credit facility, $300 million term loan A, and $500 million term loan B are secured by liens on the substantial majority of our assets, including mortgages on each of our Gaylord Hotels properties. In addition, the Gaylord Rockies joint venture’s $800 million term loan is secured by liens on the substantial majority of Gaylord Rockies assets. Further, the Block 21 assets are and will be subject to mortgage debt that we intend to assume.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and depend upon our subsidiaries’ cash flow to meet our debt service obligations.</w:t>
      </w:r>
    </w:p>
    <w:p>
      <w:pPr>
        <w:spacing w:after="0" w:line="2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31, 2019, we had $1.5 billion of variable interest rate debt that was indexed to the London Inter-Bank Offered Rate (“LIBOR”). The United Kingdom’s Financial Conduct Authority (“FCA”), which regulates LIBOR, announced on July 27, 2017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for calculating LIBOR or the establishment of one or more alternative benchmark rates. Although the agreements governing our indebtedness provide for successor base rates, as applicable, the successor base rates may be related to LIBOR, and the consequences of any potential cessation, modification or other reform of LIBOR cannot be predicted at this time. If LIBOR ceases to exist, we may need to amend the agreements governing our indebtedness, and we cannot predict what alternative interest 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The regulatory environment surrounding information, security and privacy is also increasingly demanding and evolving. For example, in June 2018, the State of California enacted the California Consumer Privacy Act (the “CCPA”), which became effective in January 2020, requiring companies that process information on California residents to, among other things, provide new disclosures and options to consumers about data collection, use and sharing policies. Our existing systems may be unable to satisfy changing regulatory requirements and employee and customer expectations, or may require significant additional investments or time to do so.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CCPA, or with Payment Card Industry (PCI) data security standards, could divert our attention, adversely impact our reputation, result in remedial and other fines or litigation, cause us to incur substantial liabilities or costs, result in a loss of valuable data, or a loss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ectPr>
          <w:pgSz w:w="11900" w:h="16838" w:orient="portrait"/>
          <w:cols w:equalWidth="0" w:num="1">
            <w:col w:w="9040"/>
          </w:cols>
          <w:pgMar w:left="1420" w:top="517" w:right="14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incidents could have a disruptive effect on our business.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While we have implemented security measures to safeguard our systems and data, our measures or the measures of our service providers or hotel manager may not be sufficient to maintain the confidentiality, security, or availability of the data collected, stored, and used to manage our Gaylord Hotels properties or Gaylord Rockies. Efforts to hack or circumvent security measures, efforts to gain unauthorized access to data, failure of systems or software to operate as designed or intended, viruses, “ransomware” or other malware,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cyber-attacks, and attempts to disrupt access to their systems and data or those of properties our hotel manager manages and the frequency and sophistication of such efforts could continue to increase. Although some of these efforts may not be successful or impactful, a significant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In addition, although we or our manager carry cyber/privacy liability insurance that is designed to protect us against certain losses related to cyber risks, that insurance coverage may not be sufficient to cover all losses or all types of claims that may arise in connection with cyber-attacks, security compromises, and other related incidents. Furthermore, in the future such insurance may not be available on commercially reasonable terms,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investments are subject to numerous risks.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properties are subject to environmental regulations that could impose significant financial liability on us.</w:t>
      </w:r>
    </w:p>
    <w:p>
      <w:pPr>
        <w:spacing w:after="0" w:line="23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Americans with Disabilities Act could require us to incur substantial costs.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invested in, and in the future may invest in, mortgage loans, mezzanine debt, joint ventures, such as our Gaylord Rockies and Circle investments,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may fail to complete the acquisition of Block 21 on a timely basis or at all, and our financial and operating results may suffer if we are unsuccessful in integrating Block 21 assets with our existing assets.</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December 2019, we entered into an agreement to purchase Block 21, a mixed-use entertainment, lodging, office and retail complex located in Austin, Texas, for $275 million, which includes the assumption of approximately $141 million of existing mortgage debt (collectively, the “Block 21 Acquisition”). Although we expect to complete the Block 21 Acquisition at the end of the first quarter or in early second quarter 2020, the completion of the Block 21 Acquisition is subject to customary closing requirements and conditions and there can be no assurance that the Block 21 Acquisition will be completed on the anticipated schedule or at all. If we fail to consummate the Block 21 Acquisition or should the completion of the Block 21 Acquisition be significantly delayed, we will have expended significant resources without realizing all or a portion of the intended economic benefits of the Block 21 Acquisition. Even if we consummate the Block 21 Acquisition, we may not realize the intended economic benefits. If we fail to consummate the Block 21 Acquisition, we would expect to seek to acquire another entertainment or hotel property or other investment, but we may not be able to identify suitable acquisition candidates on attractive terms or at all, or such acquisitions may take a significant amount of time to accomplish. Any failure to complete the Block 21 Acquisition could have a negative impact on our business, financial condition, results of operations and our ability to make distributions to our stockholders.</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if we are unable to successfully integrate the assets acquired in the Block 21 Acquisition with our existing assets in an efficient and effective manner following the completion of the Block 21 Acquisition, the anticipated benefits of the Block 21 Acquisition may not be realized fully, or at all, or may take longer to realize than expected. Further, the integration of the Block 21 assets with our existing assets will require the dedication of significant management resources, which may distract management’s attention from day-to-day business operations. Austin, Texas is a new market for us, and our relative unfamiliarity with the market may result in our having to devote additional time and expense to gain familiarity with the market and maximize operations. An inability to realize the full extent of the anticipated benefits of the Block 21 Acquisition or any delays encountered in the integration process could have an adverse effect on our business, financial condition, results of operations and our ability to make distributions to our stockholders.</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 hotel is now $500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(including the potential for war), terrorist activity (including threats of terrorist activity), political unrest and other forms of civil strife as well as geopolitical uncertainty, may cause our future results to differ materially from anticipated results.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Any failure to protect the trademarks and intellectual property used in our business could reduce the value of our brand names and harm our business.</w:t>
      </w:r>
    </w:p>
    <w:p>
      <w:pPr>
        <w:spacing w:after="0" w:line="17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Third-party infringement of the Gaylord Hotels marks now owned by Marriott or the marks we own and use in our entertainment business, or the failure to enforce rights to the marks, could be damaging to our business.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operations.</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environmental, social and governance practices.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factors influence our reputation including the perception held by our customers and other key stakeholders and the communities in which we do business, and the perception held by customers of Marriott or any future third-party hotel manager. The lodging and entertainment industries in which we operate face increasing scrutiny related to environmental, social and governance activities and risk of damage to our reputation if we fail to act responsibly or comply with regulatory requirements in a number of areas, such as safety and security, environmental stewardship and sustainability, climate change, diversity, human rights, philanthropy and support for local communities. The continuing evolution of social media presents new challenges and requires us to keep pace with new developments and trends. Negative posts or comments about us, the properties we own and Marriott or any future third-party hotel manager on any social networking or user-generated review website, including travel and vacation property websites, could affect consumer opinions of us, and we cannot guarantee that we will timely or adequately redress such instances.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legislation could adversely affect our results of operations.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“Affordable Care Act”) serves as the primary vehicle for comprehensive healthcare reform in the United States. Court challenges to the law and efforts by the presidential administration and certain members of Congress to repeal or make significant changes to the Affordable Care Act, its implementation and/or its interpretation, have cast considerable uncertainty on the future of the Affordable Care Act. For example, effective in 2019, the penalty associated with the individual mandate to maintain health insurance was repealed. As a result of this change, a federal judge in Texas ruled in December 2018 that the entire Affordable Care Act was unconstitutional. In December 2019, the Fifth Circuit Court of Appeals upheld this decision with respect to the individual mandate, but remanded for further consideration of how this affects the rest of the law. Pending the appeals process, the law remains in effect. We anticipate Congress and state governments will continue to review and assess alternative health care delivery and payment systems and may in the future propose and adopt legislation effecting additional fundamental changes in the health care system. For example, some members of Congress have suggested expanding the coverage of government-funded programs, including single-payor models.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this time, pursuant to our management agreements, our third-party managers may pass certain health care costs for employees working at our properties through to us. As such, the provisions of the Affordable Care Act as currently in effect, as modified, or subsequent reform efforts, may significantly raise our and our third-party managers’ employee health benefits costs and/or alter the benefits we or our third-party managers are required to provide to our respective employees. If we or our third-party hotel managers are not able to limit or offset future cost increases, those costs could have an adverse effect on our results of operations. As a result, government efforts to repeal or change the Affordable Care Act or implement other reform initiatives may have an adverse effect on our business, results of operations, cash flow, capital resources and liquidity.</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In addition, our hotel properties are subject to various operating risks common to the lodging industry, many of which are beyond our or a manager’s control, including the following:</w:t>
      </w:r>
    </w:p>
    <w:p>
      <w:pPr>
        <w:spacing w:after="0" w:line="170" w:lineRule="exact"/>
        <w:rPr>
          <w:sz w:val="20"/>
          <w:szCs w:val="20"/>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hotel properties and publicly-financed civic convention centers in our markets;</w:t>
      </w:r>
    </w:p>
    <w:p>
      <w:pPr>
        <w:spacing w:after="0" w:line="225" w:lineRule="exact"/>
        <w:rPr>
          <w:rFonts w:ascii="Arial" w:cs="Arial" w:eastAsia="Arial" w:hAnsi="Arial"/>
          <w:sz w:val="18"/>
          <w:szCs w:val="18"/>
          <w:color w:val="auto"/>
        </w:rPr>
      </w:pPr>
    </w:p>
    <w:p>
      <w:pPr>
        <w:ind w:left="680" w:right="799" w:hanging="320"/>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over-building of hotels in our markets, which could adversely affect occupancy and revenues at our hotel properties;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business and commercial travelers and tourism;</w:t>
      </w:r>
    </w:p>
    <w:p>
      <w:pPr>
        <w:spacing w:after="0" w:line="225" w:lineRule="exact"/>
        <w:rPr>
          <w:rFonts w:ascii="Arial" w:cs="Arial" w:eastAsia="Arial" w:hAnsi="Arial"/>
          <w:sz w:val="18"/>
          <w:szCs w:val="18"/>
          <w:color w:val="auto"/>
        </w:rPr>
      </w:pPr>
    </w:p>
    <w:p>
      <w:pPr>
        <w:ind w:left="680" w:right="519" w:hanging="320"/>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energy costs and other expenses affecting travel, which may affect travel patterns and reduce the number of business and commercial travelers and tourists;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increases in operating costs due to inflation and other factors that may not be offset by increased room rates;</w:t>
      </w:r>
    </w:p>
    <w:p>
      <w:pPr>
        <w:spacing w:after="0" w:line="236" w:lineRule="exact"/>
        <w:rPr>
          <w:rFonts w:ascii="Arial" w:cs="Arial" w:eastAsia="Arial" w:hAnsi="Arial"/>
          <w:sz w:val="17"/>
          <w:szCs w:val="17"/>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680" w:right="579" w:hanging="320"/>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international, national, regional and local economic and market conditions;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use of Internet travel intermediaries by consumers;</w:t>
      </w:r>
    </w:p>
    <w:p>
      <w:pPr>
        <w:spacing w:after="0" w:line="225" w:lineRule="exact"/>
        <w:rPr>
          <w:rFonts w:ascii="Arial" w:cs="Arial" w:eastAsia="Arial" w:hAnsi="Arial"/>
          <w:sz w:val="18"/>
          <w:szCs w:val="18"/>
          <w:color w:val="auto"/>
        </w:rPr>
      </w:pPr>
    </w:p>
    <w:p>
      <w:pPr>
        <w:ind w:left="680" w:right="79" w:hanging="320"/>
        <w:spacing w:after="0" w:line="279"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unforeseen events beyond our control, such as terrorist attacks, travel-related health concerns including pandemics and epidemics (including a widespread outbreak of coronavirus in the United States), political instability, regional hostilities, imposition of taxes or surcharges by regulatory authorities, travel-related accidents and unusual weather patterns, including natural disasters, such as hurricanes and earthquakes;</w:t>
      </w:r>
    </w:p>
    <w:p>
      <w:pPr>
        <w:spacing w:after="0" w:line="171" w:lineRule="exact"/>
        <w:rPr>
          <w:rFonts w:ascii="Arial" w:cs="Arial" w:eastAsia="Arial" w:hAnsi="Arial"/>
          <w:sz w:val="17"/>
          <w:szCs w:val="17"/>
          <w:color w:val="auto"/>
        </w:rPr>
      </w:pPr>
    </w:p>
    <w:p>
      <w:pPr>
        <w:ind w:left="680" w:hanging="3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a downturn in the lodging industry; and</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generally associated with the ownership of hotels and real estate, as discussed in more detail below.</w:t>
      </w:r>
    </w:p>
    <w:p>
      <w:pPr>
        <w:spacing w:after="0" w:line="237"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These factors could reduce the net operating profits of our TRS lessees, which in turn could adversely affect the amount and frequency of distributions we make to our stockholders and our ability to service our debt.</w:t>
      </w:r>
    </w:p>
    <w:p>
      <w:pPr>
        <w:spacing w:after="0" w:line="170"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70" w:lineRule="exact"/>
        <w:rPr>
          <w:sz w:val="20"/>
          <w:szCs w:val="20"/>
          <w:color w:val="auto"/>
        </w:rPr>
      </w:pPr>
    </w:p>
    <w:p>
      <w:pPr>
        <w:ind w:right="299"/>
        <w:spacing w:after="0" w:line="264" w:lineRule="auto"/>
        <w:rPr>
          <w:sz w:val="20"/>
          <w:szCs w:val="20"/>
          <w:color w:val="auto"/>
        </w:rPr>
      </w:pPr>
      <w:r>
        <w:rPr>
          <w:rFonts w:ascii="Arial" w:cs="Arial" w:eastAsia="Arial" w:hAnsi="Arial"/>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81" w:lineRule="exact"/>
        <w:rPr>
          <w:sz w:val="20"/>
          <w:szCs w:val="20"/>
          <w:color w:val="auto"/>
        </w:rPr>
      </w:pPr>
    </w:p>
    <w:p>
      <w:pPr>
        <w:ind w:left="680" w:hanging="320"/>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and local economic and market conditions;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680" w:right="579" w:hanging="320"/>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need for capital improvements, particularly in older structures;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expenses; and</w:t>
      </w:r>
    </w:p>
    <w:p>
      <w:pPr>
        <w:spacing w:after="0" w:line="225" w:lineRule="exact"/>
        <w:rPr>
          <w:rFonts w:ascii="Arial" w:cs="Arial" w:eastAsia="Arial" w:hAnsi="Arial"/>
          <w:sz w:val="18"/>
          <w:szCs w:val="18"/>
          <w:color w:val="auto"/>
        </w:rPr>
      </w:pPr>
    </w:p>
    <w:p>
      <w:pPr>
        <w:ind w:left="680" w:right="240" w:hanging="320"/>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unrest, acts of God, including earthquakes, floods and other natural disasters, which may result in uninsured losses, and acts of war or terrorism, including the consequences of the terrorist acts.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organizational documents and Delaware law could make it difficult for a third party to acquire control of us.</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Charter and our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81" w:lineRule="exact"/>
        <w:rPr>
          <w:sz w:val="20"/>
          <w:szCs w:val="20"/>
          <w:color w:val="auto"/>
        </w:rPr>
      </w:pPr>
    </w:p>
    <w:p>
      <w:pPr>
        <w:ind w:left="680" w:right="4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transfer and ownership of our common stock that are designed to assist us in maintaining our status as a REIT;</w:t>
      </w:r>
    </w:p>
    <w:p>
      <w:pPr>
        <w:spacing w:after="0" w:line="170" w:lineRule="exact"/>
        <w:rPr>
          <w:rFonts w:ascii="Arial" w:cs="Arial" w:eastAsia="Arial" w:hAnsi="Arial"/>
          <w:sz w:val="18"/>
          <w:szCs w:val="18"/>
          <w:color w:val="auto"/>
        </w:rPr>
      </w:pPr>
    </w:p>
    <w:p>
      <w:pPr>
        <w:ind w:left="680" w:right="180" w:hanging="320"/>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us to issue “blank check” preferred stock, which is preferred stock that can be created and issued by our board of directors, without stockholder approval, with rights senior to those of common stock;</w:t>
      </w:r>
    </w:p>
    <w:p>
      <w:pPr>
        <w:spacing w:after="0" w:line="146" w:lineRule="exact"/>
        <w:rPr>
          <w:rFonts w:ascii="Arial" w:cs="Arial" w:eastAsia="Arial" w:hAnsi="Arial"/>
          <w:sz w:val="17"/>
          <w:szCs w:val="17"/>
          <w:color w:val="auto"/>
        </w:rPr>
      </w:pPr>
    </w:p>
    <w:p>
      <w:pPr>
        <w:ind w:left="680" w:right="42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requirements for submitting nominations for election to our board of directors and for proposing matters that can be acted upon by stockholders at meetings;</w:t>
      </w:r>
    </w:p>
    <w:p>
      <w:pPr>
        <w:spacing w:after="0" w:line="170" w:lineRule="exact"/>
        <w:rPr>
          <w:rFonts w:ascii="Arial" w:cs="Arial" w:eastAsia="Arial" w:hAnsi="Arial"/>
          <w:sz w:val="18"/>
          <w:szCs w:val="18"/>
          <w:color w:val="auto"/>
        </w:rPr>
      </w:pPr>
    </w:p>
    <w:p>
      <w:pPr>
        <w:ind w:left="680" w:right="12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only by our chairman or by a majority of the members of our board of directors;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actions taken on written consent; and</w:t>
      </w:r>
    </w:p>
    <w:p>
      <w:pPr>
        <w:spacing w:after="0" w:line="225" w:lineRule="exact"/>
        <w:rPr>
          <w:rFonts w:ascii="Arial" w:cs="Arial" w:eastAsia="Arial" w:hAnsi="Arial"/>
          <w:sz w:val="18"/>
          <w:szCs w:val="18"/>
          <w:color w:val="auto"/>
        </w:rPr>
      </w:pPr>
    </w:p>
    <w:p>
      <w:pPr>
        <w:ind w:left="680" w:right="8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ownership of common stock by certain persons (including non-United States persons) due to our ownership of a radio station.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anti-takeover provisions under Delaware law, which could also delay or prevent a change of control. Together, our Charter,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issuance of preferred stock could adversely affect holders of our common stock and discourage a takeover.</w:t>
      </w:r>
    </w:p>
    <w:p>
      <w:pPr>
        <w:spacing w:after="0" w:line="24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Charter permits our board of directors to issue up to 100 million shares of preferred stock without any action on the part of our stockholders. As of the date hereof, we have no shares of preferred stock outstanding. Our board of directors</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also has the power, without stockholder approval, to set the terms of any new series of preferred stock that may be issued, including voting rights, dividend rights, preferences over our common stock with respect to dividends or in the event of a dissolution, liquidation or winding up and other terms. In the event that we issue shares of preferred stock in the future that have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prevent a transaction favorable to our stockholders.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ownership limitations in our Charter may restrict or prevent stockholders from engaging in certain transfers of our common stock.</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change our major policies without the consent of stockholders may not be in our stockholders’ interest.</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may not have sufficient funds to make cash distributions to stockholders at intended payment levels, and we may be unable to generate sufficient cash flows from our operations to make distributions to our stockholders at any time in the future.</w:t>
      </w:r>
    </w:p>
    <w:p>
      <w:pPr>
        <w:spacing w:after="0" w:line="181"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As a REIT, we will generally be required to distribute to our stockholders at least 90% of our REIT taxable income (subject to certain adjustments and excluding any net capital gains) each year for us to maintain our qualification as a</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REIT under the Code, which requirement we currently intend to satisfy, and we must distribute 100% of our REIT taxable income, including capital gains, to eliminate federal corporate income tax liability. To the extent we satisfy the 90% distribution requirement but distribute less than 100% of our REIT taxable income, we will be subject to federal corporate income tax on our undistributed taxable income.</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Subject to maintaining our REIT qualification, we intend to make regular quarterly distributions to our stockholders, but no assurances can be made as to the amount of distributions in the future. We have also announced our intention to make distributions at specified minimum levels. Our board of directors may alter our dividend policy at any time and will have the sole discretion to determine the timing, form and amount of any distributions to our stockholders. Among the factors that could impair our ability to make distributions to our stockholders are:</w:t>
      </w:r>
    </w:p>
    <w:p>
      <w:pPr>
        <w:spacing w:after="0" w:line="173" w:lineRule="exact"/>
        <w:rPr>
          <w:sz w:val="20"/>
          <w:szCs w:val="20"/>
          <w:color w:val="auto"/>
        </w:rPr>
      </w:pPr>
    </w:p>
    <w:p>
      <w:pPr>
        <w:ind w:left="680" w:hanging="3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invest our available cash;</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realize attractive risk-adjusted returns on our investments;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expenses that reduce our cash flow or non-cash earnings;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in our investment portfolio or decreases in the value of the underlying assets; and</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fact that anticipated operating expense levels may not prove accurate, as actual results may vary from estimates.</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 result, no assurance can be given that the level of any distributions we make to our stockholders in the future will achieve a market yield or increase or even be maintained over time, any of which could materially and adversely affect the market price of our common stock.</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distributions that we make to our stockholders will generally be taxable to our stockholders as ordinary income and will generally not be eligible for reduced rates applicable to “qualified” dividend income. However, a portion of our distributions may be designated by us as long-term capital gains to the extent that they are attributable to capital gains income recognized by us or may constitute a return of capital to the extent that they exceed our earnings and profits as determined for tax purposes. A return of capital is not taxable, but has the effect of reducing the basis of a stockholder’s investment in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vary substantially.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our shares to demand a higher annual yield and choose other investments, which could reduce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could affect the market price of our common stock include the following:</w:t>
      </w:r>
    </w:p>
    <w:p>
      <w:pPr>
        <w:spacing w:after="0" w:line="225" w:lineRule="exact"/>
        <w:rPr>
          <w:sz w:val="20"/>
          <w:szCs w:val="20"/>
          <w:color w:val="auto"/>
        </w:rPr>
      </w:pPr>
    </w:p>
    <w:p>
      <w:pPr>
        <w:ind w:left="680" w:hanging="3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of companies in the hotel or real estate industries;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issuances of common stock or other securities in the future;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with our hotel managers;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 and</w:t>
      </w:r>
    </w:p>
    <w:p>
      <w:pPr>
        <w:spacing w:after="0" w:line="225" w:lineRule="exact"/>
        <w:rPr>
          <w:rFonts w:ascii="Arial" w:cs="Arial" w:eastAsia="Arial" w:hAnsi="Arial"/>
          <w:sz w:val="18"/>
          <w:szCs w:val="18"/>
          <w:color w:val="auto"/>
        </w:rPr>
      </w:pPr>
    </w:p>
    <w:p>
      <w:pPr>
        <w:ind w:left="680" w:right="140" w:hanging="320"/>
        <w:spacing w:after="0" w:line="302"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unforeseen events beyond our control, such as terrorist attacks, travel related health concerns including pandemics and epidemics (including a widespread outbreak of coronavirus in the United States), political instability, regional hostilities, increases in fuel prices, imposition of taxes or surcharges by regulatory authorities, travel related accidents and unusual weather patterns, including natural disasters, such as hurricanes, tsunamis or earthquakes.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1B.</w:t>
            </w:r>
          </w:p>
        </w:tc>
        <w:tc>
          <w:tcPr>
            <w:tcW w:w="2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88"/>
              </w:rPr>
              <w:t>Unresolved Staff Comments</w:t>
            </w: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2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Properties</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gridSpan w:val="4"/>
          </w:tcPr>
          <w:p>
            <w:pPr>
              <w:spacing w:after="0"/>
              <w:rPr>
                <w:sz w:val="20"/>
                <w:szCs w:val="20"/>
                <w:color w:val="auto"/>
              </w:rPr>
            </w:pPr>
            <w:r>
              <w:rPr>
                <w:rFonts w:ascii="Arial" w:cs="Arial" w:eastAsia="Arial" w:hAnsi="Arial"/>
                <w:sz w:val="18"/>
                <w:szCs w:val="18"/>
                <w:b w:val="1"/>
                <w:bCs w:val="1"/>
                <w:color w:val="auto"/>
              </w:rPr>
              <w:t>Hospitality Segment</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Location</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Rooms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Meeting, Exhibit and</w:t>
            </w: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4"/>
              </w:rPr>
              <w:t>Pre-Function Space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4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Nashville, TN</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2,888</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Gaylord National</w:t>
            </w: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National Harbor, MD (Washington, DC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1,996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Gaylord Texan</w:t>
            </w: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Grapevine, TX (Dallas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Gaylord Rockies (1)</w:t>
            </w: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Aurora, CO (Denver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1,501</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Gaylord Palms</w:t>
            </w: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Kissimmee, FL (Orlando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0"/>
              </w:rPr>
              <w:t>Inn at Opryland</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Nashville, TN</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National Harbor, MD (Washington, DC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 The Company owns a 62.1 percent interest in a joint venture that owns this property.</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own our Opryland complex in Nashville, Tennessee, which includes the site of Gaylord Opryland (approximately 172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All of our four owned Gaylord Hotels properties secure our credit facility, and Gaylord Rockies assets secure the debt of the Gaylord Rockies joint venture, as described in the Liquidity and Capital Resources section of Item 7, “Management’s Discussion and Analysis of Financial Condition and Results of Operations.” The Gaylord Rockies joint venture owns approximately 85 acres, on which Gaylord Rockies is located, which is leased to a TRS owned by the Gaylord Rockies joint venture. Each of our hotel properties is leased or subleased to one of our TRSs, and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own the General Jackson’s docking facility, the Grand Ole Opry House and WSM Radio’s offices and studios, each of which are located within the Opryland complex. We also own Gaylord Springs, an 18-hole golf course situated on</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over 200 acres, which is located near the Opryland complex. In downtown Nashville, we own the Ryman Auditorium, Ole Red Nashville, and the Wildhorse Saloon dance hall and production facility. We also own an approximate 17,000 square foot building in downtown Nashville that we are currently transforming into additional connecting event space for the Wildhorse Saloon. Our TRSs have engaged Marriott to manage the day-to-day operations of the General Jackson Showboat, Gaylord Springs and the Wildhorse Saloon. For a description of the management agreements with Marriott, see “Management Agreements” in Item 1,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further discussion of legal proceedings, see “Note 13 – Commitments and Contingencies” to our consolidated financial statements included herein.</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“RHP”.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776 record holders of our common stock at January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 shares of the Company’s common stock were repurchased during the three months ended December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maintain our qualification as a REIT for federal income tax purposes, we must distribute at least 90% of our REIT taxable income each year. Pursuant to our current dividend policy, we currently plan to pay a quarterly cash dividend to stockholders in an amount equal to an annualized payment of at least 50% of adjusted funds from operations (as defined by Ryman) less maintenance capital expenditures or 100% of REIT taxable income on an annual basis, whichever is greater. The declaration, timing and amount of dividends will be determined by future action of our board of directors. Our dividend policy may be altered at any time by our board of directors.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terms of our credit facility restrict our ability to pay dividends. We are not permitted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relating to compensation plans under which our common stock is authorized for issuance is set forth in Part III, Item 12 of this Annual Report on Form 10-K.</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following selected historical financial information of the Company and its subsidiaries as of December 31, 2019 and 2018 and for each of the three years in the period ended December 31, 2019 was derived from our audited consolidated financial statements included herein. The selected financial information as of December 31, 2017, 2016 and 2015 and for each of the two years in the period ended December 31, 2016 was derived from previously issued audited consolidated financial statements. The information in the following table should be read in conjunction with Item 7, “Management’s Discussion and Analysis of Financial Condition and Results of Operations” and our consolidated financial statements and related notes as of December 31, 2019 and 2018 and for each of the three years in the period ended December 31, 2019 included herein (in thousands, except per share amounts).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1"/>
          </w:tcPr>
          <w:p>
            <w:pPr>
              <w:jc w:val="right"/>
              <w:ind w:right="620"/>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6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557,562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454,370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431,768</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420,011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404,457</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660,770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519,843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483,945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477,493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461,157</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revenue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203,114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153,690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143,947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142,139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128,989</w:t>
            </w:r>
          </w:p>
        </w:tc>
      </w:tr>
      <w:tr>
        <w:trPr>
          <w:trHeight w:val="203"/>
        </w:trPr>
        <w:tc>
          <w:tcPr>
            <w:tcW w:w="20" w:type="dxa"/>
            <w:vAlign w:val="bottom"/>
          </w:tcPr>
          <w:p>
            <w:pPr>
              <w:spacing w:after="0"/>
              <w:rPr>
                <w:sz w:val="17"/>
                <w:szCs w:val="17"/>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Entertainment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183,120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147,215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125,059</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109,564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97,521</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89"/>
              </w:rPr>
              <w:t>1,604,566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2"/>
              </w:rPr>
              <w:t>1,275,118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1,184,719</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1,149,207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1,092,124</w:t>
            </w:r>
          </w:p>
        </w:tc>
      </w:tr>
      <w:tr>
        <w:trPr>
          <w:trHeight w:val="193"/>
        </w:trPr>
        <w:tc>
          <w:tcPr>
            <w:tcW w:w="36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144,834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118,060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112,636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109,618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110,067</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362,850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282,906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269,824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267,307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261,580</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409,883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339,529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327,283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323,320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313,706</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Hotel management fees, net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39,608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30,744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23,856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22,194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14,657</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126,609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109,249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84,513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74,627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67,484</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36,282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30,833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31,387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26,883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26,133</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4"/>
              </w:rPr>
              <w:t>3,122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4,869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Impairment charges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23,783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35,418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19,200</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Arial" w:cs="Arial" w:eastAsia="Arial" w:hAnsi="Arial"/>
                <w:sz w:val="16"/>
                <w:szCs w:val="16"/>
                <w:color w:val="auto"/>
              </w:rPr>
              <w:t>Hospitality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201,068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108,779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102,759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100,186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105,876</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Entertainment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11,150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10,280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7,034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5,747</w:t>
            </w:r>
          </w:p>
        </w:tc>
      </w:tr>
      <w:tr>
        <w:trPr>
          <w:trHeight w:val="203"/>
        </w:trPr>
        <w:tc>
          <w:tcPr>
            <w:tcW w:w="20" w:type="dxa"/>
            <w:vAlign w:val="bottom"/>
          </w:tcPr>
          <w:p>
            <w:pPr>
              <w:spacing w:after="0"/>
              <w:rPr>
                <w:sz w:val="17"/>
                <w:szCs w:val="17"/>
                <w:color w:val="auto"/>
              </w:rPr>
            </w:pPr>
          </w:p>
        </w:tc>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Corporate and Other</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4"/>
              </w:rPr>
              <w:t>1,629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1,817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2,126</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2,596</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2,760</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depreciation and amortization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213,847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120,876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111,959</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109,816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114,383</w:t>
            </w:r>
          </w:p>
        </w:tc>
      </w:tr>
      <w:tr>
        <w:trPr>
          <w:trHeight w:val="196"/>
        </w:trPr>
        <w:tc>
          <w:tcPr>
            <w:tcW w:w="20" w:type="dxa"/>
            <w:vAlign w:val="bottom"/>
          </w:tcPr>
          <w:p>
            <w:pPr>
              <w:spacing w:after="0"/>
              <w:rPr>
                <w:sz w:val="17"/>
                <w:szCs w:val="17"/>
                <w:color w:val="auto"/>
              </w:rPr>
            </w:pPr>
          </w:p>
        </w:tc>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89"/>
              </w:rPr>
              <w:t>1,337,035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w w:val="92"/>
              </w:rPr>
              <w:t>1,060,849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998,802</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933,765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928,119</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Hospitality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263,203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247,885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223,302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217,018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188,717</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45,361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27,686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33,472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27,903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24,290</w:t>
            </w:r>
          </w:p>
        </w:tc>
      </w:tr>
      <w:tr>
        <w:trPr>
          <w:trHeight w:val="203"/>
        </w:trPr>
        <w:tc>
          <w:tcPr>
            <w:tcW w:w="20" w:type="dxa"/>
            <w:vAlign w:val="bottom"/>
          </w:tcPr>
          <w:p>
            <w:pPr>
              <w:spacing w:after="0"/>
              <w:rPr>
                <w:sz w:val="17"/>
                <w:szCs w:val="17"/>
                <w:color w:val="auto"/>
              </w:rPr>
            </w:pPr>
          </w:p>
        </w:tc>
        <w:tc>
          <w:tcPr>
            <w:tcW w:w="3580" w:type="dxa"/>
            <w:vAlign w:val="bottom"/>
          </w:tcPr>
          <w:p>
            <w:pPr>
              <w:ind w:left="100"/>
              <w:spacing w:after="0"/>
              <w:rPr>
                <w:sz w:val="20"/>
                <w:szCs w:val="20"/>
                <w:color w:val="auto"/>
              </w:rPr>
            </w:pPr>
            <w:r>
              <w:rPr>
                <w:rFonts w:ascii="Arial" w:cs="Arial" w:eastAsia="Arial" w:hAnsi="Arial"/>
                <w:sz w:val="16"/>
                <w:szCs w:val="16"/>
                <w:color w:val="auto"/>
              </w:rPr>
              <w:t>Corporate and Other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(37,911)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6"/>
                <w:szCs w:val="16"/>
                <w:color w:val="auto"/>
              </w:rPr>
              <w:t>(32,650)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(33,513)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(29,479)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(28,893)</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(4,869)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r>
      <w:tr>
        <w:trPr>
          <w:trHeight w:val="203"/>
        </w:trPr>
        <w:tc>
          <w:tcPr>
            <w:tcW w:w="20" w:type="dxa"/>
            <w:vAlign w:val="bottom"/>
          </w:tcPr>
          <w:p>
            <w:pPr>
              <w:spacing w:after="0"/>
              <w:rPr>
                <w:sz w:val="17"/>
                <w:szCs w:val="17"/>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Impairment charges (1)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(23,783)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(35,418)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(19,200)</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operating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267,531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214,269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185,917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215,442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164,005</w:t>
            </w: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(131,620)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6"/>
                <w:szCs w:val="16"/>
                <w:color w:val="auto"/>
              </w:rPr>
              <w:t>(74,961)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(66,051)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(63,906)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(63,901)</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11,769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10,469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11,818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w:t>
            </w: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w w:val="96"/>
              </w:rPr>
              <w:t>Income (loss) from unconsolidated joint ventures (2)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125,005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Other gains and (losses), net (3)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1,633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2,524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(12,832)</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Benefit (provision) for income taxes (4)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(18,475)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(11,745)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49,155</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11,855</w:t>
            </w:r>
          </w:p>
        </w:tc>
      </w:tr>
      <w:tr>
        <w:trPr>
          <w:trHeight w:val="196"/>
        </w:trPr>
        <w:tc>
          <w:tcPr>
            <w:tcW w:w="3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128,294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264,670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176,100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159,366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111,511</w:t>
            </w:r>
          </w:p>
        </w:tc>
      </w:tr>
      <w:tr>
        <w:trPr>
          <w:trHeight w:val="193"/>
        </w:trPr>
        <w:tc>
          <w:tcPr>
            <w:tcW w:w="20" w:type="dxa"/>
            <w:vAlign w:val="bottom"/>
          </w:tcPr>
          <w:p>
            <w:pPr>
              <w:spacing w:after="0"/>
              <w:rPr>
                <w:sz w:val="16"/>
                <w:szCs w:val="16"/>
                <w:color w:val="auto"/>
              </w:rPr>
            </w:pPr>
          </w:p>
        </w:tc>
        <w:tc>
          <w:tcPr>
            <w:tcW w:w="432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w w:val="97"/>
              </w:rPr>
              <w:t>Net loss attributable to noncontrolling interest in consolidated</w:t>
            </w: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joint venture (5)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income available to common stockholders</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145,794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264,670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176,100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159,366</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111,511</w:t>
            </w:r>
          </w:p>
        </w:tc>
      </w:tr>
      <w:tr>
        <w:trPr>
          <w:trHeight w:val="183"/>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3900" w:type="dxa"/>
            <w:vAlign w:val="bottom"/>
            <w:gridSpan w:val="4"/>
          </w:tcPr>
          <w:p>
            <w:pPr>
              <w:spacing w:after="0"/>
              <w:rPr>
                <w:sz w:val="20"/>
                <w:szCs w:val="20"/>
                <w:color w:val="auto"/>
              </w:rPr>
            </w:pPr>
            <w:r>
              <w:rPr>
                <w:rFonts w:ascii="Arial" w:cs="Arial" w:eastAsia="Arial" w:hAnsi="Arial"/>
                <w:sz w:val="16"/>
                <w:szCs w:val="16"/>
                <w:color w:val="auto"/>
                <w:w w:val="94"/>
              </w:rPr>
              <w:t>Basic income per share available to common stockholders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2.82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5.16</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3.44</w:t>
            </w:r>
          </w:p>
        </w:tc>
        <w:tc>
          <w:tcPr>
            <w:tcW w:w="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3.12</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183"/>
        </w:trPr>
        <w:tc>
          <w:tcPr>
            <w:tcW w:w="20" w:type="dxa"/>
            <w:vAlign w:val="bottom"/>
          </w:tcPr>
          <w:p>
            <w:pPr>
              <w:spacing w:after="0"/>
              <w:rPr>
                <w:sz w:val="15"/>
                <w:szCs w:val="15"/>
                <w:color w:val="auto"/>
              </w:rPr>
            </w:pPr>
          </w:p>
        </w:tc>
        <w:tc>
          <w:tcPr>
            <w:tcW w:w="3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rPr>
              <w:t>Diluted income per share available to common stockholders</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5.14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0"/>
        </w:trPr>
        <w:tc>
          <w:tcPr>
            <w:tcW w:w="3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per Common Share (6)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9"/>
              </w:rPr>
              <w:t>3.40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5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$ 4,088,468</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$ 3,853,883</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$ 2,524,228</w:t>
            </w: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0"/>
              </w:rPr>
              <w:t>$ 2,405,753</w:t>
            </w: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2,331,434</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2,559,968</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2,441,895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1,591,392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1,502,554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1,431,710</w:t>
            </w: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644,729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469,577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w w:val="98"/>
              </w:rPr>
              <w:t>378,156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367,997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7" w:lineRule="exact"/>
        <w:rPr>
          <w:sz w:val="20"/>
          <w:szCs w:val="20"/>
          <w:color w:val="auto"/>
        </w:rPr>
      </w:pPr>
    </w:p>
    <w:p>
      <w:pPr>
        <w:ind w:left="340" w:right="100" w:hanging="331"/>
        <w:spacing w:after="0" w:line="28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charges in 2018 primarily include costs associated with our previous investment in Opry City Stage, a four-level entertainment complex in Times Square. During the third quarter of 2018, we determined that current ongoing operations were not meeting our revenue projections from the time of purchase and we temporarily</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suspended operations to appropriately reposition the venue and its operations. An impairment assessment at that time warranted an impairment charge of $4.5 million. In December 2018, we determined that we would permanently close Opry City Stage and recorded an additional impairment charge of $18.0 million. In addition, during 2018, we incurred $1.2 million in impairment charges related to an entertainment concept that has been abandoned. Impairment charges in 2017 represent a portion of the notes receivable that we hold related to the Gaylord National construction, consisting of other-than-temporary impairment losses of $35.4 million, which is net of $6.5 million recognized in other comprehensive income. See further disclosure regarding this impairment in Note 3 to the consolidated financial statements included herein. Impairment charges in 2015 include costs associated with our decision to move forward with an expansion of the guest rooms and convention space at Gaylord Texan, which was ultimately completed in 2018. This capital project replaced a previously contemplated expansion that we began incurring design costs for during 2007 and had been subsequently put on hold. As the Gaylord Texan project was substantially different from the previously contemplated project, we incurred an impairment charge of $16.3 million in 2015. In addition, during 2015, we incurred $2.9 million in impairment charges related to assets previously used in special events programming that was discontinued.</w:t>
      </w:r>
    </w:p>
    <w:p>
      <w:pPr>
        <w:spacing w:after="0" w:line="185" w:lineRule="exact"/>
        <w:rPr>
          <w:sz w:val="20"/>
          <w:szCs w:val="20"/>
          <w:color w:val="auto"/>
        </w:rPr>
      </w:pPr>
    </w:p>
    <w:p>
      <w:pPr>
        <w:ind w:left="340" w:right="60" w:hanging="331"/>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Income from unconsolidated joint ventures for 2018 includes a $131.4 million gain related to the re-measurement of the pre-existing equity method investment in the Gaylord Rockies joint venture prior to consolidation.</w:t>
      </w:r>
    </w:p>
    <w:p>
      <w:pPr>
        <w:spacing w:after="0" w:line="146" w:lineRule="exact"/>
        <w:rPr>
          <w:rFonts w:ascii="Arial" w:cs="Arial" w:eastAsia="Arial" w:hAnsi="Arial"/>
          <w:sz w:val="17"/>
          <w:szCs w:val="17"/>
          <w:color w:val="auto"/>
        </w:rPr>
      </w:pPr>
    </w:p>
    <w:p>
      <w:pPr>
        <w:ind w:left="340" w:right="140" w:hanging="331"/>
        <w:spacing w:after="0" w:line="272"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gains and (losses) for 2015 includes a $20.2 million loss on the repurchase of a portion of the common stock warrants associated with our previous convertible notes. Other gains and (losses) for 2015 also includes a $6.9 million gain associated with the reimbursement by the current developer of costs that were previously incurred related to a proposed development in Aurora, Colorado. These costs were impaired in 2012 as part of our strategic shift away from long-term development. Other gains and (losses) for 2019, 2018, 2017, 2016 and 2015 includes $2.8 million, $2.7 million, $2.6 million, $2.5 million and $2.5 million in income, respectively, received from the marketing and maintenance fund associated with the Gaylord National bonds.</w:t>
      </w:r>
    </w:p>
    <w:p>
      <w:pPr>
        <w:spacing w:after="0" w:line="177" w:lineRule="exact"/>
        <w:rPr>
          <w:rFonts w:ascii="Arial" w:cs="Arial" w:eastAsia="Arial" w:hAnsi="Arial"/>
          <w:sz w:val="17"/>
          <w:szCs w:val="17"/>
          <w:color w:val="auto"/>
        </w:rPr>
      </w:pPr>
    </w:p>
    <w:p>
      <w:pPr>
        <w:ind w:left="340" w:hanging="331"/>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Benefit for income taxes for 2017 includes a benefit of $53.4 million related to the release of valuation allowance.</w:t>
      </w:r>
    </w:p>
    <w:p>
      <w:pPr>
        <w:spacing w:after="0" w:line="236" w:lineRule="exact"/>
        <w:rPr>
          <w:rFonts w:ascii="Arial" w:cs="Arial" w:eastAsia="Arial" w:hAnsi="Arial"/>
          <w:sz w:val="17"/>
          <w:szCs w:val="17"/>
          <w:color w:val="auto"/>
        </w:rPr>
      </w:pPr>
    </w:p>
    <w:p>
      <w:pPr>
        <w:jc w:val="both"/>
        <w:ind w:left="340" w:right="60" w:hanging="331"/>
        <w:spacing w:after="0" w:line="31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a result of the Company’s purchase of an additional interest in the Gaylord Rockies joint venture as of December 31, 2018, the Company began consolidating the joint venture’s balance sheet at December 31, 2018 and its operating results January 1, 2019. At December 31, 2019, the Company owns a 62.1% interest in the Gaylord Rockies joint venture.</w:t>
      </w:r>
    </w:p>
    <w:p>
      <w:pPr>
        <w:spacing w:after="0" w:line="146" w:lineRule="exact"/>
        <w:rPr>
          <w:rFonts w:ascii="Arial" w:cs="Arial" w:eastAsia="Arial" w:hAnsi="Arial"/>
          <w:sz w:val="16"/>
          <w:szCs w:val="16"/>
          <w:color w:val="auto"/>
        </w:rPr>
      </w:pPr>
    </w:p>
    <w:p>
      <w:pPr>
        <w:ind w:left="340" w:right="80" w:hanging="331"/>
        <w:spacing w:after="0" w:line="255"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Dividends declared for 2019 represent quarterly dividends totaling $3.60 per share, or an aggregate of $188.3 million in cash. Dividends declared for 2018 represent quarterly dividends totaling $3.40 per share, or an aggregate of $174.5 million in cash. Dividends declared for 2017 represent quarterly dividends totaling $3.20 per share, or an aggregate of $163.7 million in cash. Dividends declared for 2016 represent quarterly dividends totaling $3.00 per share, or an aggregate of $153.0 million in cash. Dividends declared for 2015 represent quarterly dividends totaling $2.70 per share, or an aggregate of $138.4 million in cash.</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section of this Annual Report on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the Company’s Annual Report on Form 10-K for the fiscal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owned assets include a network of four upscale, meetings-focused resorts totaling 8,114 rooms that are managed by Marriott International, Inc. (“Marriott”)</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an overflow hotel adjacent to Gaylord Opryland, and the AC Hotel at National Harbor, Washington D.C. (“AC Hotel”), an overflow hotel adjacent to Gaylord National that opened in April 2015. We also own a 62.1% interest in a joint venture (the “Gaylord Rockies joint venture”) that owns Gaylord Rockies Resort &amp; Convention Center near Denver, Colorado (“Gaylord Rockies”), which opened in December 2018 and is managed by Marriott.</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intended to create and distribute a linear multicast and over-the-top channel dedicated to the country music lifestyle (“Circle”).</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“Forward-Looking Statements” and “Risk Factors” under Part I of this annual report for important information regarding forward-looking statements made in this report and risks and uncertainties we 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more fully discussed in Note 4, “Investment in Gaylord Rockies Joint Venture,” to the consolidated financial statements included herein, on December 31, 2018, we completed our purchase of additional interests in the Gaylord Rockies joint venture, increasing our ownership to 61.2%. In addition, on July 31, 2019, we increased our ownership in the Gaylord Rockies joint venture to 62.1%. Our management has concluded that the Company is the primary beneficiary of this variable interest entity (“VIE”) and the financial position and results of operations of the VIE have been consolidated in the accompanying consolidated financial statements included herein, beginning on December 31, 2018 with respect to the balance sheet and January 1, 2019 with respect to statements of operations and comprehensive income and statements of cash flows. Gaylord Rockies opened on a limited basis in December 2018 and on a fully operational basis in first quarter 2019 and is managed by Marriott.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Expansion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2020, we and our joint venture partner in the Gaylord Rockies joint venture announced an $80 million expansion of Gaylord Rockies, which will include an additional 317 guest rooms. The expansion is expected to begin in the second quarter of 2020 and to be completed in early 2022.</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SoundWaves at Gaylord Opryland</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opened in second quarter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Circle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2019, we acquired a 50% equity interest in Circle for an initial capital contribution of $2.0 million, and we contributed an additional $2.0 million in December 2019. The joint venture agreement requires us to contribute up to an additional $11.0 million through December 31, 2021. Circle launched its broadcast network on January 1, 2020, with sixteen original shows and two major distribution partnerships that broadcast Circle in markets accessible to more than 50% of U.S. television households.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Acquisition of Block 21</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2019, we entered into an agreement (the “Block 21 Agreement”) to purchase Block 21, a mixed-use entertainment, lodging, office and retail complex located in Austin, Texas, for $275 million, which includes the assumption of approximately $141 million of existing mortgage debt. Block 21 is the home of the ACL Live at the Moody Theater, a 2,750-seat entertainment venue that serves as the filming location for the Austin City Limits television series. The Block 21 complex also includes the 251-room W Austin Hotel, the 350-seat 3TEN at ACL Live club and approximately 53,000 square feet of Class A commercial space. We paid a nonrefundable deposit of $15 million upon entry into the Block 21 Agreement, and the acquisition is expected to close at the end of the first quarter or in early second quarter 2020, subject to customary closing conditions including, but not limited to, consent to our assumption of the existing mortgage loan by the loan servicer and the consent of the hotel property manager, an affiliate of Marriott, to our assignment and assumption of the existing hotel management agreement. We intend to fund the acquisition with a portion of the proceeds from the equity offering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we completed an underwritten public offering of approximately 3.5 million shares of our common stock, par value $0.01 per share, at a price to the public of $85.60 per share. Our net proceeds, after deducting underwriting discounts and commissions and other expenses paid by us, were approximately $283 million. We intend to use a portion of the net proceeds to fund the approximately $134 million cash portion of the consideration for the acquisition of Block 21 and the related fees and expenses of the acquisition. We intend to use the remaining net proceeds, or all of the net proceeds if the Block 21 acquisition is not consummated, for general corporate purposes, including future acquisitions or investments and the repayment of any indebtedness outstanding under our revolving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Activity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2019, the Gaylord Rockies joint venture refinanced its previous $500 million construction loan and $39 million mezzanine loan, which were scheduled to mature in December 2019, by entering into an $800 million secured term loan facility, with an option for an additional $80 million of borrowing capacity should the Gaylord Rockies joint venture pursue a future expansion of Gaylord Rockies, which the joint venture announced in February 2020 that it intends to pursue. The new term loan facility matures in 2023. Net proceeds, after repayment of the construction and mezzanine loans and the payment of expenses, were distributed to the owners of the Gaylord Rockies joint venture pro rata in proportion to their interests therein. We received a distribution of approximately $153 million, which we used to repay a portion of the outstanding indebtedness under our revolving credit facility.</w:t>
      </w:r>
    </w:p>
    <w:p>
      <w:pPr>
        <w:spacing w:after="0" w:line="15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September 2019, we refinanced our previous $350 million 5% senior notes due 2021 by issuing $500 million in 4.75% senior notes due 2027 through a private placement. Net proceeds of the $500 million 4.75% senior notes, after</w:t>
      </w:r>
    </w:p>
    <w:p>
      <w:pPr>
        <w:sectPr>
          <w:pgSz w:w="11900" w:h="16838" w:orient="portrait"/>
          <w:cols w:equalWidth="0" w:num="1">
            <w:col w:w="9040"/>
          </w:cols>
          <w:pgMar w:left="1420" w:top="517" w:right="14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9"/>
        <w:spacing w:after="0" w:line="279" w:lineRule="auto"/>
        <w:rPr>
          <w:sz w:val="20"/>
          <w:szCs w:val="20"/>
          <w:color w:val="auto"/>
        </w:rPr>
      </w:pPr>
      <w:r>
        <w:rPr>
          <w:rFonts w:ascii="Arial" w:cs="Arial" w:eastAsia="Arial" w:hAnsi="Arial"/>
          <w:sz w:val="17"/>
          <w:szCs w:val="17"/>
          <w:color w:val="auto"/>
        </w:rPr>
        <w:t>deducting the initial purchasers’ discounts, commissions and offering expenses, were approximately $493 million, and were used to repurchase a portion of the $350 million 5% senior notes due 2021 validly tendered and accepted for purchase pursuant to our previously announced cash tender offer, redeem the remaining portion of the $350 million 5% senior notes, and to repay a portion of the outstanding indebtedness under our revolving credit facility.</w:t>
      </w:r>
    </w:p>
    <w:p>
      <w:pPr>
        <w:spacing w:after="0" w:line="144"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In October 2019, we completed a tack-on private placement of $200 million in additional 4.75% senior notes due 2027 at an issue price of 101.250% of their aggregate principal amount plus accrued interest from the issuance date of the original $500 million 4.75% senior notes. Net proceeds, after deducting the initial purchasers’ discounts, commissions and offering expenses, were approximately $199 million, and were used to repay a portion of the outstanding indebtedness under our revolving credit facility.</w:t>
      </w:r>
    </w:p>
    <w:p>
      <w:pPr>
        <w:spacing w:after="0" w:line="148" w:lineRule="exact"/>
        <w:rPr>
          <w:sz w:val="20"/>
          <w:szCs w:val="20"/>
          <w:color w:val="auto"/>
        </w:rPr>
      </w:pPr>
    </w:p>
    <w:p>
      <w:pPr>
        <w:ind w:right="79"/>
        <w:spacing w:after="0" w:line="254" w:lineRule="auto"/>
        <w:rPr>
          <w:sz w:val="20"/>
          <w:szCs w:val="20"/>
          <w:color w:val="auto"/>
        </w:rPr>
      </w:pPr>
      <w:r>
        <w:rPr>
          <w:rFonts w:ascii="Arial" w:cs="Arial" w:eastAsia="Arial" w:hAnsi="Arial"/>
          <w:sz w:val="18"/>
          <w:szCs w:val="18"/>
          <w:color w:val="auto"/>
        </w:rPr>
        <w:t>In October 2019, we completed the refinancing of our existing credit facility by extending the maturity of our $700 million revolving credit facility and $200 million term loan A to 2024 and 2025, respectively. In addition, we increased the outstanding portion of the term loan A to $300 million and the accordion feature of the facility from $500 million to $600 million. Further, the applicable margin on the interest rate for the revolving credit facility and the term loan A portion of the facility was decreased. There were no changes to the terms of the $500 million term loan B portion of the credit facility. The net proceeds of the increase in the term loan A, after deducting initial transaction expenses payable at closing, were approximately $94 million and, along with cash on hand, were used to repay $100 million of the outstanding indebtedness under our $500 million term loan B.</w:t>
      </w:r>
    </w:p>
    <w:p>
      <w:pPr>
        <w:spacing w:after="0" w:line="152" w:lineRule="exact"/>
        <w:rPr>
          <w:sz w:val="20"/>
          <w:szCs w:val="20"/>
          <w:color w:val="auto"/>
        </w:rPr>
      </w:pPr>
    </w:p>
    <w:p>
      <w:pPr>
        <w:ind w:right="379"/>
        <w:spacing w:after="0" w:line="277" w:lineRule="auto"/>
        <w:rPr>
          <w:sz w:val="20"/>
          <w:szCs w:val="20"/>
          <w:color w:val="auto"/>
        </w:rPr>
      </w:pPr>
      <w:r>
        <w:rPr>
          <w:rFonts w:ascii="Arial" w:cs="Arial" w:eastAsia="Arial" w:hAnsi="Arial"/>
          <w:sz w:val="18"/>
          <w:szCs w:val="18"/>
          <w:color w:val="auto"/>
        </w:rPr>
        <w:t>For further discussion of the agreements governing each of these debt instruments, see the “Principal Debt Agreements” section of “Liquidity and Capital Resources”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right="39"/>
        <w:spacing w:after="0" w:line="253" w:lineRule="auto"/>
        <w:rPr>
          <w:sz w:val="20"/>
          <w:szCs w:val="20"/>
          <w:color w:val="auto"/>
        </w:rPr>
      </w:pPr>
      <w:r>
        <w:rPr>
          <w:rFonts w:ascii="Arial" w:cs="Arial" w:eastAsia="Arial" w:hAnsi="Arial"/>
          <w:sz w:val="18"/>
          <w:szCs w:val="18"/>
          <w:color w:val="auto"/>
        </w:rPr>
        <w:t>Pursuant to our current dividend policy, we plan to continue to pay a quarterly cash dividend to stockholders in an amount equal to an annualized payment of at least 50% of adjusted funds from operations (as defined by us) less maintenance capital expenditures, or 100% of REIT taxable income, whichever is greater. During 2019, the Company’s board of directors declared quarterly dividends totaling $3.60 per share of common stock, or an aggregate of $188.3 million in cash. During 2018, the Company’s board of directors declared quarterly dividends totaling $3.40 per share of common stock, or an aggregate of $174.5 million in cash. During 2017, the Company’s board of directors declared quarterly dividends totaling $3.20 per share of common stock, or an aggregate of $163.7 million in cash. The declaration, timing and amount of dividends will be determined by future action of our board of directors. Our dividend policy may be altered at any time by our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225" w:lineRule="exact"/>
        <w:rPr>
          <w:sz w:val="20"/>
          <w:szCs w:val="20"/>
          <w:color w:val="auto"/>
        </w:rPr>
      </w:pPr>
    </w:p>
    <w:p>
      <w:pPr>
        <w:ind w:left="680" w:right="159" w:hanging="320"/>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 each of which is managed by Marriott.</w:t>
      </w:r>
    </w:p>
    <w:p>
      <w:pPr>
        <w:spacing w:after="0" w:line="170" w:lineRule="exact"/>
        <w:rPr>
          <w:rFonts w:ascii="Arial" w:cs="Arial" w:eastAsia="Arial" w:hAnsi="Arial"/>
          <w:sz w:val="18"/>
          <w:szCs w:val="18"/>
          <w:color w:val="auto"/>
        </w:rPr>
      </w:pPr>
    </w:p>
    <w:p>
      <w:pPr>
        <w:ind w:left="680" w:right="499" w:hanging="320"/>
        <w:spacing w:after="0" w:line="312"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Entertainment, consisting of the Grand Ole Opry, the Ryman Auditorium, WSM-AM, Ole Red, and our other Nashville-based attractions, as well as our investment in the Circle joint venture. We own our Entertainment businesses in TRSs, and Marriott manages the General Jackson, Wildhorse Saloon and Gaylord Springs.</w:t>
      </w:r>
    </w:p>
    <w:p>
      <w:pPr>
        <w:spacing w:after="0" w:line="146" w:lineRule="exact"/>
        <w:rPr>
          <w:rFonts w:ascii="Arial" w:cs="Arial" w:eastAsia="Arial" w:hAnsi="Arial"/>
          <w:sz w:val="16"/>
          <w:szCs w:val="16"/>
          <w:color w:val="auto"/>
        </w:rPr>
      </w:pPr>
    </w:p>
    <w:p>
      <w:pPr>
        <w:ind w:left="680" w:hanging="32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years ended December 31, 2019, 2018 and 2017, our total revenues were divided among these business segments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11 %</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8" w:lineRule="exact"/>
        <w:rPr>
          <w:sz w:val="20"/>
          <w:szCs w:val="20"/>
          <w:color w:val="auto"/>
        </w:rPr>
      </w:pPr>
    </w:p>
    <w:p>
      <w:pPr>
        <w:ind w:left="680" w:hanging="3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hotel occupancy (a volume indicator);</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rooms revenue by the number of rooms sold;</w:t>
      </w:r>
    </w:p>
    <w:p>
      <w:pPr>
        <w:spacing w:after="0" w:line="248" w:lineRule="exact"/>
        <w:rPr>
          <w:rFonts w:ascii="Arial" w:cs="Arial" w:eastAsia="Arial" w:hAnsi="Arial"/>
          <w:sz w:val="16"/>
          <w:szCs w:val="16"/>
          <w:color w:val="auto"/>
        </w:rPr>
      </w:pPr>
    </w:p>
    <w:p>
      <w:pPr>
        <w:ind w:left="680" w:right="420" w:hanging="320"/>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rooms revenue by room nights available to guests for the period;</w:t>
      </w:r>
    </w:p>
    <w:p>
      <w:pPr>
        <w:spacing w:after="0" w:line="170" w:lineRule="exact"/>
        <w:rPr>
          <w:rFonts w:ascii="Arial" w:cs="Arial" w:eastAsia="Arial" w:hAnsi="Arial"/>
          <w:sz w:val="18"/>
          <w:szCs w:val="18"/>
          <w:color w:val="auto"/>
        </w:rPr>
      </w:pPr>
    </w:p>
    <w:p>
      <w:pPr>
        <w:ind w:left="680" w:right="80" w:hanging="320"/>
        <w:spacing w:after="0" w:line="26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81" w:lineRule="exact"/>
        <w:rPr>
          <w:rFonts w:ascii="Arial" w:cs="Arial" w:eastAsia="Arial" w:hAnsi="Arial"/>
          <w:sz w:val="18"/>
          <w:szCs w:val="18"/>
          <w:color w:val="auto"/>
        </w:rPr>
      </w:pPr>
    </w:p>
    <w:p>
      <w:pPr>
        <w:ind w:left="680" w:right="80" w:hanging="320"/>
        <w:spacing w:after="0" w:line="308"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Definite Room Nights Booked – a volume indicator which represents the total number of definite bookings for future room nights at our hotels confirmed during the applicable period, net of cancellations.</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Almost all of our Hospitality segment revenues are either cash-based or, for meeting and convention groups that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our financial results for the years ended December 31, 2019, 2018 and 2017 (in thousands, except percentages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$ 1,604,566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$ 1,275,118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$ 1,184,719</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1,337,035</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26.0 %</w:t>
            </w:r>
          </w:p>
        </w:tc>
        <w:tc>
          <w:tcPr>
            <w:tcW w:w="960" w:type="dxa"/>
            <w:vAlign w:val="bottom"/>
          </w:tcPr>
          <w:p>
            <w:pPr>
              <w:jc w:val="right"/>
              <w:spacing w:after="0"/>
              <w:rPr>
                <w:sz w:val="20"/>
                <w:szCs w:val="20"/>
                <w:color w:val="auto"/>
              </w:rPr>
            </w:pPr>
            <w:r>
              <w:rPr>
                <w:rFonts w:ascii="Arial" w:cs="Arial" w:eastAsia="Arial" w:hAnsi="Arial"/>
                <w:sz w:val="18"/>
                <w:szCs w:val="18"/>
                <w:color w:val="auto"/>
              </w:rPr>
              <w:t>1,060,849</w:t>
            </w:r>
          </w:p>
        </w:tc>
        <w:tc>
          <w:tcPr>
            <w:tcW w:w="14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6.2 %</w:t>
            </w:r>
          </w:p>
        </w:tc>
        <w:tc>
          <w:tcPr>
            <w:tcW w:w="940" w:type="dxa"/>
            <w:vAlign w:val="bottom"/>
          </w:tcPr>
          <w:p>
            <w:pPr>
              <w:jc w:val="right"/>
              <w:spacing w:after="0"/>
              <w:rPr>
                <w:sz w:val="20"/>
                <w:szCs w:val="20"/>
                <w:color w:val="auto"/>
              </w:rPr>
            </w:pPr>
            <w:r>
              <w:rPr>
                <w:rFonts w:ascii="Arial" w:cs="Arial" w:eastAsia="Arial" w:hAnsi="Arial"/>
                <w:sz w:val="18"/>
                <w:szCs w:val="18"/>
                <w:color w:val="auto"/>
              </w:rPr>
              <w:t>998,802</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24.9 %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128,294</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(51.5)%</w:t>
            </w:r>
          </w:p>
        </w:tc>
        <w:tc>
          <w:tcPr>
            <w:tcW w:w="960" w:type="dxa"/>
            <w:vAlign w:val="bottom"/>
          </w:tcPr>
          <w:p>
            <w:pPr>
              <w:jc w:val="right"/>
              <w:spacing w:after="0"/>
              <w:rPr>
                <w:sz w:val="20"/>
                <w:szCs w:val="20"/>
                <w:color w:val="auto"/>
              </w:rPr>
            </w:pPr>
            <w:r>
              <w:rPr>
                <w:rFonts w:ascii="Arial" w:cs="Arial" w:eastAsia="Arial" w:hAnsi="Arial"/>
                <w:sz w:val="18"/>
                <w:szCs w:val="18"/>
                <w:color w:val="auto"/>
              </w:rPr>
              <w:t>264,670</w:t>
            </w:r>
          </w:p>
        </w:tc>
        <w:tc>
          <w:tcPr>
            <w:tcW w:w="14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50.3 %</w:t>
            </w:r>
          </w:p>
        </w:tc>
        <w:tc>
          <w:tcPr>
            <w:tcW w:w="940" w:type="dxa"/>
            <w:vAlign w:val="bottom"/>
          </w:tcPr>
          <w:p>
            <w:pPr>
              <w:jc w:val="right"/>
              <w:spacing w:after="0"/>
              <w:rPr>
                <w:sz w:val="20"/>
                <w:szCs w:val="20"/>
                <w:color w:val="auto"/>
              </w:rPr>
            </w:pPr>
            <w:r>
              <w:rPr>
                <w:rFonts w:ascii="Arial" w:cs="Arial" w:eastAsia="Arial" w:hAnsi="Arial"/>
                <w:sz w:val="18"/>
                <w:szCs w:val="18"/>
                <w:color w:val="auto"/>
              </w:rPr>
              <w:t>176,100</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145,794</w:t>
            </w: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176,100</w:t>
            </w: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5"/>
              </w:rPr>
              <w:t>Net income available to common shareholders per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share - diluted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(45.3)%</w:t>
            </w: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49.9 %</w:t>
            </w: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Results as Compared to 2018 Results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our total revenues during 2019, as compared to 2018, is attributable to increases in our Hospitality segment and Entertainment segment revenues of $293.5 million and $35.9 million, respectively, as discussed more fully below.</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total operating expenses during 2019, as compared to 2018, is primarily the result of increases in Hospitality segment and Entertainment segment expenses of $185.9 million and $17.4 million, respectively, as well as an increase in depreciation and amortization expense of $93.0 million. These increases were partially offset by $23.8 million in impairment charges for 2018 that did not recur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above factors resulted in a $53.3 million increase in operating income for 2019, as compared to 2018.</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$136.4 million decrease in our net income in 2019, as compared to 2018, was due to the change in our operating income described above, offset by the following factors, each as described more fully below:</w:t>
      </w:r>
    </w:p>
    <w:p>
      <w:pPr>
        <w:spacing w:after="0" w:line="170" w:lineRule="exact"/>
        <w:rPr>
          <w:sz w:val="20"/>
          <w:szCs w:val="20"/>
          <w:color w:val="auto"/>
        </w:rPr>
      </w:pPr>
    </w:p>
    <w:p>
      <w:pPr>
        <w:ind w:left="680" w:right="160" w:hanging="320"/>
        <w:spacing w:after="0" w:line="259"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loss from unconsolidated joint ventures of $1.1 million in 2019 compared to income from unconsolidated joint ventures of $125.0 million in 2018. Income from unconsolidated joint ventures for 2018 includes a $131.4 million gain related to the re-measurement of the pre-existing equity method investment in the Gaylord Rockies joint venture prior to consolidation.</w:t>
      </w:r>
    </w:p>
    <w:p>
      <w:pPr>
        <w:spacing w:after="0" w:line="186" w:lineRule="exact"/>
        <w:rPr>
          <w:rFonts w:ascii="Arial" w:cs="Arial" w:eastAsia="Arial" w:hAnsi="Arial"/>
          <w:sz w:val="18"/>
          <w:szCs w:val="18"/>
          <w:color w:val="auto"/>
        </w:rPr>
      </w:pPr>
    </w:p>
    <w:p>
      <w:pPr>
        <w:ind w:left="680" w:right="240" w:hanging="320"/>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$56.7 million increase in interest expense for 2019, driven by outstanding debt from the Gaylord Rockies joint venture, which we began consolidating December 31, 2018.</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$6.7 million increase in the provision for income taxes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Operating Performance in 2019 Compared to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most important factors and trends contributing to our operating performance in 2019 as compared to 2018 were:</w:t>
      </w:r>
    </w:p>
    <w:p>
      <w:pPr>
        <w:spacing w:after="0" w:line="237" w:lineRule="exact"/>
        <w:rPr>
          <w:sz w:val="20"/>
          <w:szCs w:val="20"/>
          <w:color w:val="auto"/>
        </w:rPr>
      </w:pPr>
    </w:p>
    <w:p>
      <w:pPr>
        <w:ind w:left="680" w:right="240" w:hanging="320"/>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opening of Gaylord Rockies on a limited basis in December 2018 and on a fully-operational basis in the first quarter of 2019, and the resulting impact on our financial results.</w:t>
      </w:r>
    </w:p>
    <w:p>
      <w:pPr>
        <w:spacing w:after="0" w:line="170" w:lineRule="exact"/>
        <w:rPr>
          <w:rFonts w:ascii="Arial" w:cs="Arial" w:eastAsia="Arial" w:hAnsi="Arial"/>
          <w:sz w:val="18"/>
          <w:szCs w:val="18"/>
          <w:color w:val="auto"/>
        </w:rPr>
      </w:pPr>
    </w:p>
    <w:p>
      <w:pPr>
        <w:ind w:left="680" w:right="20" w:hanging="320"/>
        <w:spacing w:after="0" w:line="286"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occupied rooms (an increase of 11.3%), and outside-the-room spending (an increase of 13.1%) at Gaylord Texan during 2019, as compared to 2018, primarily due to increases in group business partially attributable to the recent rooms and meeting space expansion, which opened in the second quarter of 2018.</w:t>
      </w:r>
    </w:p>
    <w:p>
      <w:pPr>
        <w:spacing w:after="0" w:line="165" w:lineRule="exact"/>
        <w:rPr>
          <w:rFonts w:ascii="Arial" w:cs="Arial" w:eastAsia="Arial" w:hAnsi="Arial"/>
          <w:sz w:val="17"/>
          <w:szCs w:val="17"/>
          <w:color w:val="auto"/>
        </w:rPr>
      </w:pPr>
    </w:p>
    <w:p>
      <w:pPr>
        <w:ind w:left="680" w:right="280" w:hanging="320"/>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ADR (an increase of 2.8%) and outside-the-room spending (an increase of 6.0%) at Gaylord Opryland during 2019, as compared to 2018. The increase in ADR is due to increases in both group and</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259"/>
        <w:spacing w:after="0" w:line="277" w:lineRule="auto"/>
        <w:rPr>
          <w:sz w:val="20"/>
          <w:szCs w:val="20"/>
          <w:color w:val="auto"/>
        </w:rPr>
      </w:pPr>
      <w:r>
        <w:rPr>
          <w:rFonts w:ascii="Arial" w:cs="Arial" w:eastAsia="Arial" w:hAnsi="Arial"/>
          <w:sz w:val="18"/>
          <w:szCs w:val="18"/>
          <w:color w:val="auto"/>
        </w:rPr>
        <w:t>transient rates. The increase in outside-the-room spending is primarily due to increased food and beverage outlet revenue, as well as the opening of SoundWaves.</w:t>
      </w:r>
    </w:p>
    <w:p>
      <w:pPr>
        <w:spacing w:after="0" w:line="170" w:lineRule="exact"/>
        <w:rPr>
          <w:sz w:val="20"/>
          <w:szCs w:val="20"/>
          <w:color w:val="auto"/>
        </w:rPr>
      </w:pPr>
    </w:p>
    <w:p>
      <w:pPr>
        <w:ind w:left="680" w:right="159" w:hanging="320"/>
        <w:spacing w:after="0" w:line="25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net definite room nights booked during 2019, as compared to 2018 (a decrease of 10.1% and 12.8% for total Hospitality and same-store, which excludes Gaylord Rockies, respectively), primarily due to the fourth quarter 2018 being an all-time record booking quarter for the Company. In addition, we have the highest level of room nights on-the-books in the Company’s history, which has limited the availability of additional bookings into high demand periods for group business.</w:t>
      </w:r>
    </w:p>
    <w:p>
      <w:pPr>
        <w:spacing w:after="0" w:line="188" w:lineRule="exact"/>
        <w:rPr>
          <w:rFonts w:ascii="Arial" w:cs="Arial" w:eastAsia="Arial" w:hAnsi="Arial"/>
          <w:sz w:val="18"/>
          <w:szCs w:val="18"/>
          <w:color w:val="auto"/>
        </w:rPr>
      </w:pPr>
    </w:p>
    <w:p>
      <w:pPr>
        <w:ind w:left="680" w:right="79" w:hanging="320"/>
        <w:spacing w:after="0" w:line="259"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2019, as compared to 2018 (an increase of 24.4%), due primarily to increased shows, attendance and retail revenue at the Grand Ole Opry and Ryman Auditorium, as well as the operation of Ole Red Gatlinburg, which opened in March 2019, and increased revenue at Ole Red Nashville, which opened in May 2018.</w:t>
      </w:r>
    </w:p>
    <w:p>
      <w:pPr>
        <w:spacing w:after="0" w:line="186" w:lineRule="exact"/>
        <w:rPr>
          <w:rFonts w:ascii="Arial" w:cs="Arial" w:eastAsia="Arial" w:hAnsi="Arial"/>
          <w:sz w:val="18"/>
          <w:szCs w:val="18"/>
          <w:color w:val="auto"/>
        </w:rPr>
      </w:pPr>
    </w:p>
    <w:p>
      <w:pPr>
        <w:ind w:left="680" w:right="199" w:hanging="320"/>
        <w:spacing w:after="0" w:line="297"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expenses for our Entertainment segment during 2019, as compared to 2018 (an increase of 15.9%), due primarily to the operations of Ole Red Gatlinburg, as well as increased expenses at the Ryman Auditorium, primarily due to the increase in variable expenses associated with the increase in revenue. In addition, 2019 was impacted by the full year of operations of Ole Red Nashville. The 2019 year also benefitted from 2018 including losses from operations of Opry City Stage, which the Company closed in late 2018.</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Hospitality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Hospitality segment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(in thousands, except percentages and performance metrics):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8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40" w:type="dxa"/>
            <w:vAlign w:val="bottom"/>
            <w:gridSpan w:val="3"/>
          </w:tcPr>
          <w:p>
            <w:pPr>
              <w:jc w:val="right"/>
              <w:ind w:right="305"/>
              <w:spacing w:after="0"/>
              <w:rPr>
                <w:sz w:val="20"/>
                <w:szCs w:val="20"/>
                <w:color w:val="auto"/>
              </w:rPr>
            </w:pPr>
            <w:r>
              <w:rPr>
                <w:rFonts w:ascii="Arial" w:cs="Arial" w:eastAsia="Arial" w:hAnsi="Arial"/>
                <w:sz w:val="14"/>
                <w:szCs w:val="14"/>
                <w:b w:val="1"/>
                <w:bCs w:val="1"/>
                <w:color w:val="auto"/>
                <w:w w:val="94"/>
              </w:rPr>
              <w:t>% Change</w:t>
            </w: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Rooms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557,562</w:t>
            </w: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22.7 % $</w:t>
            </w:r>
          </w:p>
        </w:tc>
        <w:tc>
          <w:tcPr>
            <w:tcW w:w="820" w:type="dxa"/>
            <w:vAlign w:val="bottom"/>
          </w:tcPr>
          <w:p>
            <w:pPr>
              <w:jc w:val="right"/>
              <w:spacing w:after="0"/>
              <w:rPr>
                <w:sz w:val="20"/>
                <w:szCs w:val="20"/>
                <w:color w:val="auto"/>
              </w:rPr>
            </w:pPr>
            <w:r>
              <w:rPr>
                <w:rFonts w:ascii="Arial" w:cs="Arial" w:eastAsia="Arial" w:hAnsi="Arial"/>
                <w:sz w:val="18"/>
                <w:szCs w:val="18"/>
                <w:color w:val="auto"/>
              </w:rPr>
              <w:t>454,370</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5.2 % $</w:t>
            </w:r>
          </w:p>
        </w:tc>
        <w:tc>
          <w:tcPr>
            <w:tcW w:w="820" w:type="dxa"/>
            <w:vAlign w:val="bottom"/>
          </w:tcPr>
          <w:p>
            <w:pPr>
              <w:jc w:val="right"/>
              <w:spacing w:after="0"/>
              <w:rPr>
                <w:sz w:val="20"/>
                <w:szCs w:val="20"/>
                <w:color w:val="auto"/>
              </w:rPr>
            </w:pPr>
            <w:r>
              <w:rPr>
                <w:rFonts w:ascii="Arial" w:cs="Arial" w:eastAsia="Arial" w:hAnsi="Arial"/>
                <w:sz w:val="18"/>
                <w:szCs w:val="18"/>
                <w:color w:val="auto"/>
              </w:rPr>
              <w:t>431,768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519,843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Other hotel revenue</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32.2 %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153,690</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143,947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hospitality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1,421,446</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1,127,903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Arial" w:cs="Arial" w:eastAsia="Arial" w:hAnsi="Arial"/>
                <w:sz w:val="15"/>
                <w:szCs w:val="15"/>
                <w:color w:val="auto"/>
              </w:rPr>
              <w:t>Hospitality 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144,834</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Food and beverage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362,850</w:t>
            </w: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28.3 %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282,906</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269,824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409,883</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Management fees,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39,608</w:t>
            </w: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28.8 %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30,744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28.9 %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201,068</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84.8 %</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 Hospitality operating expenses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1,158,243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31.6 %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880,018</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5.2 %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Hospitality operating income (1)</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247,885</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223,302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5"/>
                <w:szCs w:val="15"/>
                <w:color w:val="auto"/>
              </w:rPr>
              <w:t>Hospitality performance metrics:</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 (2)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75.8 %</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0.5 pts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75.3 %</w:t>
            </w:r>
          </w:p>
        </w:tc>
        <w:tc>
          <w:tcPr>
            <w:tcW w:w="10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(0.2)pts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199.26</w:t>
            </w: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2.4 % $</w:t>
            </w:r>
          </w:p>
        </w:tc>
        <w:tc>
          <w:tcPr>
            <w:tcW w:w="820" w:type="dxa"/>
            <w:vAlign w:val="bottom"/>
          </w:tcPr>
          <w:p>
            <w:pPr>
              <w:jc w:val="right"/>
              <w:spacing w:after="0"/>
              <w:rPr>
                <w:sz w:val="20"/>
                <w:szCs w:val="20"/>
                <w:color w:val="auto"/>
              </w:rPr>
            </w:pPr>
            <w:r>
              <w:rPr>
                <w:rFonts w:ascii="Arial" w:cs="Arial" w:eastAsia="Arial" w:hAnsi="Arial"/>
                <w:sz w:val="18"/>
                <w:szCs w:val="18"/>
                <w:color w:val="auto"/>
              </w:rPr>
              <w:t>194.64</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3.2 % $</w:t>
            </w:r>
          </w:p>
        </w:tc>
        <w:tc>
          <w:tcPr>
            <w:tcW w:w="820" w:type="dxa"/>
            <w:vAlign w:val="bottom"/>
          </w:tcPr>
          <w:p>
            <w:pPr>
              <w:jc w:val="right"/>
              <w:spacing w:after="0"/>
              <w:rPr>
                <w:sz w:val="20"/>
                <w:szCs w:val="20"/>
                <w:color w:val="auto"/>
              </w:rPr>
            </w:pPr>
            <w:r>
              <w:rPr>
                <w:rFonts w:ascii="Arial" w:cs="Arial" w:eastAsia="Arial" w:hAnsi="Arial"/>
                <w:sz w:val="18"/>
                <w:szCs w:val="18"/>
                <w:color w:val="auto"/>
              </w:rPr>
              <w:t>188.67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w:t>
            </w: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385.20</w:t>
            </w: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5.9 % $</w:t>
            </w:r>
          </w:p>
        </w:tc>
        <w:tc>
          <w:tcPr>
            <w:tcW w:w="820" w:type="dxa"/>
            <w:vAlign w:val="bottom"/>
          </w:tcPr>
          <w:p>
            <w:pPr>
              <w:jc w:val="right"/>
              <w:spacing w:after="0"/>
              <w:rPr>
                <w:sz w:val="20"/>
                <w:szCs w:val="20"/>
                <w:color w:val="auto"/>
              </w:rPr>
            </w:pPr>
            <w:r>
              <w:rPr>
                <w:rFonts w:ascii="Arial" w:cs="Arial" w:eastAsia="Arial" w:hAnsi="Arial"/>
                <w:sz w:val="18"/>
                <w:szCs w:val="18"/>
                <w:color w:val="auto"/>
              </w:rPr>
              <w:t>363.66</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4.0 % $</w:t>
            </w:r>
          </w:p>
        </w:tc>
        <w:tc>
          <w:tcPr>
            <w:tcW w:w="820" w:type="dxa"/>
            <w:vAlign w:val="bottom"/>
          </w:tcPr>
          <w:p>
            <w:pPr>
              <w:jc w:val="right"/>
              <w:spacing w:after="0"/>
              <w:rPr>
                <w:sz w:val="20"/>
                <w:szCs w:val="20"/>
                <w:color w:val="auto"/>
              </w:rPr>
            </w:pPr>
            <w:r>
              <w:rPr>
                <w:rFonts w:ascii="Arial" w:cs="Arial" w:eastAsia="Arial" w:hAnsi="Arial"/>
                <w:sz w:val="18"/>
                <w:szCs w:val="18"/>
                <w:color w:val="auto"/>
              </w:rPr>
              <w:t>349.53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2,216,000</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2,465,000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2,457,000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Arial" w:cs="Arial" w:eastAsia="Arial" w:hAnsi="Arial"/>
                <w:sz w:val="15"/>
                <w:szCs w:val="15"/>
                <w:color w:val="auto"/>
              </w:rPr>
              <w:t>Same-store Hospitality performance metrics (5):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 (2)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77.0 %</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1.7 pts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75.3 %</w:t>
            </w:r>
          </w:p>
        </w:tc>
        <w:tc>
          <w:tcPr>
            <w:tcW w:w="104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(0.2)pts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199.31</w:t>
            </w: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2.4 % $</w:t>
            </w:r>
          </w:p>
        </w:tc>
        <w:tc>
          <w:tcPr>
            <w:tcW w:w="820" w:type="dxa"/>
            <w:vAlign w:val="bottom"/>
          </w:tcPr>
          <w:p>
            <w:pPr>
              <w:jc w:val="right"/>
              <w:spacing w:after="0"/>
              <w:rPr>
                <w:sz w:val="20"/>
                <w:szCs w:val="20"/>
                <w:color w:val="auto"/>
              </w:rPr>
            </w:pPr>
            <w:r>
              <w:rPr>
                <w:rFonts w:ascii="Arial" w:cs="Arial" w:eastAsia="Arial" w:hAnsi="Arial"/>
                <w:sz w:val="18"/>
                <w:szCs w:val="18"/>
                <w:color w:val="auto"/>
              </w:rPr>
              <w:t>194.64</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3.2 % $</w:t>
            </w:r>
          </w:p>
        </w:tc>
        <w:tc>
          <w:tcPr>
            <w:tcW w:w="820" w:type="dxa"/>
            <w:vAlign w:val="bottom"/>
          </w:tcPr>
          <w:p>
            <w:pPr>
              <w:jc w:val="right"/>
              <w:spacing w:after="0"/>
              <w:rPr>
                <w:sz w:val="20"/>
                <w:szCs w:val="20"/>
                <w:color w:val="auto"/>
              </w:rPr>
            </w:pPr>
            <w:r>
              <w:rPr>
                <w:rFonts w:ascii="Arial" w:cs="Arial" w:eastAsia="Arial" w:hAnsi="Arial"/>
                <w:sz w:val="18"/>
                <w:szCs w:val="18"/>
                <w:color w:val="auto"/>
              </w:rPr>
              <w:t>188.67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380.26</w:t>
            </w:r>
          </w:p>
        </w:tc>
        <w:tc>
          <w:tcPr>
            <w:tcW w:w="2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4.6 % $</w:t>
            </w:r>
          </w:p>
        </w:tc>
        <w:tc>
          <w:tcPr>
            <w:tcW w:w="820" w:type="dxa"/>
            <w:vAlign w:val="bottom"/>
          </w:tcPr>
          <w:p>
            <w:pPr>
              <w:jc w:val="right"/>
              <w:spacing w:after="0"/>
              <w:rPr>
                <w:sz w:val="20"/>
                <w:szCs w:val="20"/>
                <w:color w:val="auto"/>
              </w:rPr>
            </w:pPr>
            <w:r>
              <w:rPr>
                <w:rFonts w:ascii="Arial" w:cs="Arial" w:eastAsia="Arial" w:hAnsi="Arial"/>
                <w:sz w:val="18"/>
                <w:szCs w:val="18"/>
                <w:color w:val="auto"/>
              </w:rPr>
              <w:t>363.66</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4.0 % $</w:t>
            </w:r>
          </w:p>
        </w:tc>
        <w:tc>
          <w:tcPr>
            <w:tcW w:w="820" w:type="dxa"/>
            <w:vAlign w:val="bottom"/>
          </w:tcPr>
          <w:p>
            <w:pPr>
              <w:jc w:val="right"/>
              <w:spacing w:after="0"/>
              <w:rPr>
                <w:sz w:val="20"/>
                <w:szCs w:val="20"/>
                <w:color w:val="auto"/>
              </w:rPr>
            </w:pPr>
            <w:r>
              <w:rPr>
                <w:rFonts w:ascii="Arial" w:cs="Arial" w:eastAsia="Arial" w:hAnsi="Arial"/>
                <w:sz w:val="18"/>
                <w:szCs w:val="18"/>
                <w:color w:val="auto"/>
              </w:rPr>
              <w:t>349.53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1,836,000</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2,106,000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1"/>
        <w:spacing w:after="0" w:line="279"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Hospitality segment operating income does not include preopening costs of $1.3 million, $2.9 million and $0.3 million in 2019, 2018 and 2017, respectively. Hospitality segment operating income also does not include impairment charges of $35.4 million during 2017 or income (loss) from unconsolidated joint ventures of $124.4 million and $(1.9) million in 2018 and 2017, respectively. See the discussion of these items set forth below.</w:t>
      </w:r>
    </w:p>
    <w:p>
      <w:pPr>
        <w:spacing w:after="0" w:line="171" w:lineRule="exact"/>
        <w:rPr>
          <w:rFonts w:ascii="Arial" w:cs="Arial" w:eastAsia="Arial" w:hAnsi="Arial"/>
          <w:sz w:val="17"/>
          <w:szCs w:val="17"/>
          <w:color w:val="auto"/>
        </w:rPr>
      </w:pPr>
    </w:p>
    <w:p>
      <w:pPr>
        <w:ind w:left="340" w:right="140" w:hanging="331"/>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Hospitality segment occupancy percentage was impacted in 2019 and 2018 due to the addition of 303 rooms associated with the 2018 Texan expansion and the related additional rooms available. Hospitality segment occupancy percentage was also impacted in 2019 due to the addition of Gaylord Rockies. Actual occupied rooms increased 19.9% on a consolidated basis and 3.6% on a same-store basis, which excludes Gaylord Rockies, for 2019, as compared to 2018.</w:t>
      </w:r>
    </w:p>
    <w:p>
      <w:pPr>
        <w:spacing w:after="0" w:line="154" w:lineRule="exact"/>
        <w:rPr>
          <w:rFonts w:ascii="Arial" w:cs="Arial" w:eastAsia="Arial" w:hAnsi="Arial"/>
          <w:sz w:val="16"/>
          <w:szCs w:val="16"/>
          <w:color w:val="auto"/>
        </w:rPr>
      </w:pPr>
    </w:p>
    <w:p>
      <w:pPr>
        <w:ind w:left="340" w:right="80" w:hanging="331"/>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calculate Hospitality segment RevPAR by dividing rooms revenue by room nights available to guests for the period. Hospitality segment RevPAR is not comparable to similarly titled measures such as revenues.</w:t>
      </w:r>
    </w:p>
    <w:p>
      <w:pPr>
        <w:spacing w:after="0" w:line="170" w:lineRule="exact"/>
        <w:rPr>
          <w:rFonts w:ascii="Arial" w:cs="Arial" w:eastAsia="Arial" w:hAnsi="Arial"/>
          <w:sz w:val="18"/>
          <w:szCs w:val="18"/>
          <w:color w:val="auto"/>
        </w:rPr>
      </w:pPr>
    </w:p>
    <w:p>
      <w:pPr>
        <w:ind w:left="340" w:right="280" w:hanging="331"/>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calculate Hospitality segment Total RevPAR by dividing the sum of room, food and beverage, and other ancillary services revenue (which equals Hospitality segment revenue) by room nights available to guests for the period. Hospitality segment Total RevPAR is not comparable to similarly titled measures such as revenues.</w:t>
      </w:r>
    </w:p>
    <w:p>
      <w:pPr>
        <w:spacing w:after="0" w:line="165" w:lineRule="exact"/>
        <w:rPr>
          <w:rFonts w:ascii="Arial" w:cs="Arial" w:eastAsia="Arial" w:hAnsi="Arial"/>
          <w:sz w:val="17"/>
          <w:szCs w:val="17"/>
          <w:color w:val="auto"/>
        </w:rPr>
      </w:pPr>
    </w:p>
    <w:p>
      <w:pPr>
        <w:ind w:left="340" w:hanging="331"/>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Same-store Hospitality segment performance metrics do not include Gaylord Rockies, which opened in December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total Hospitality segment revenue in 2019, as compared to 2018, is primarily due to increases in revenue of $32.1 million, $19.6 million, $7.5 million and $7.1 million at Gaylord Texan, Gaylord Opryland, Gaylord Palms and Gaylord National, respectively, as well as revenue from Gaylord Rockies of $226.6 million. See below for further discussion. Total Hospitality revenues in 2019 include $18.3 million in attrition and cancellation fee collections, a $6.5 million increase from 2018.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percentage of group versus transient business based on rooms sold for our Hospitality segment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was approximately as follows:</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Transient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28 %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29 %</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type of group based on rooms sold for our Hospitality segment for the years ended December 31 was approximately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Corporate Groups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Associations</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32 %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Groups</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Rooms operating expenses increased in 2019, as compared to 2018, due primarily to the addition of Gaylord Rockies, as well as increased variable costs at Gaylord Texan, as described below. Food and beverage operating expenses increased in 2019, as compared to 2018, due primarily to the addition of Gaylord Rockies, as well as increased variable costs for Gaylord Texan and Gaylord Opryland,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hotel expenses for the following years ended December 31 included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8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Administrative employment costs</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$ 147,302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top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$ 117,311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111,207</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31,624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16.9 %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27,060</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27,596</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35,736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33,872</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195,221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161,286</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155,249</w:t>
            </w:r>
          </w:p>
        </w:tc>
      </w:tr>
      <w:tr>
        <w:trPr>
          <w:trHeight w:val="210"/>
        </w:trPr>
        <w:tc>
          <w:tcPr>
            <w:tcW w:w="2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$ 409,883</w:t>
            </w:r>
          </w:p>
        </w:tc>
        <w:tc>
          <w:tcPr>
            <w:tcW w:w="10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$ 339,529</w:t>
            </w:r>
          </w:p>
        </w:tc>
        <w:tc>
          <w:tcPr>
            <w:tcW w:w="108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327,283</w:t>
            </w: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2019, as compared to 2018, primarily due to increases related to Gaylord Rockies, as well as slight increases at each of our other Gaylord Hotels properties. Utility costs increased during 2019, as compared to 2018, primarily due to utility costs for Gaylord Rockies, as well as an increase at Gaylord Opryland primarily attributable to SoundWaves. Property taxes increased during 2019, as compared to 2018, primarily due to an increase at Gaylord National as a result of a 2018 refund from a prior period tax settlement. Note that property taxes did not increase significantly related to Gaylord Rockies as a result of the tax rebate incentive agreement discussed in Note 1 to the accompanying consolidated financial statements included herein. Other expenses, which include supplies, advertising, maintenance costs and consulting costs, increased during 2019, as compared to 2018, primarily as a result of expenses at Gaylord Rockies, as well as various increases at each of our other Gaylord Hotels properties.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discussed above, each of our management agreements with Marriott for our four owned Gaylord Hotels properties requires us to pay Marriott a base management fee of approximately 2% of gross revenues from the applicable property for each fiscal year or portion thereof. Additionally, an incentive fee is based on the profitability of our Gaylord Hotels properties calculated on a pooled basis. The Gaylord Rockies’ management agreement with Marriott requires Gaylord Rockies to pay a base management fee of 3% of gross revenues for each fiscal year or portion thereof, as well as an incentive management fee based on the profitability of the hotel. We incurred $30.9 million, $22.7 million and $21.4 million in total base management fees to Marriott related to our Hospitality segment during 2019, 2018 and 2017,</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respectively. We also incurred $11.8 million, $11.3 million and $5.5 million related to incentive management fees for our Hospitality segment during 2019, 2018 and 2017, respectively. Management fees are presented throughout this Annual Report on Form 10-K net of the amortization of the deferred management rights proceeds discussed in Note 6, “Deferred Management Rights Proceeds,” to the consolidated financial statements included herein.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Hospitality segment depreciation and amortization expense increased in 2019, as compared to 2018, primarily due to depreciation and amortization at Gaylord Rockies, which is significantly higher than our other Gaylord Hotels properties due to amortization related to intangible assets that were recognized as part of our increased ownership as of December 31, 2018, as well as higher fixed asset balances than the other hotels.</w:t>
      </w:r>
    </w:p>
    <w:p>
      <w:pPr>
        <w:spacing w:after="0" w:line="187"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property-level financial results for our Gaylord Hotels properties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years ended December 31, 2019, 2018 and 2017 and for Gaylord Rockies for the year ended December 31, 2019:</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years ended December 31, 2019, 2018 and 2017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162,577</w:t>
            </w:r>
          </w:p>
        </w:tc>
        <w:tc>
          <w:tcPr>
            <w:tcW w:w="20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4.6 % $</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155,501</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7.6 % $</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144,453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157,933</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155,417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139,478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53,833</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385,610</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365,999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337,764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37,203</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84,351</w:t>
            </w: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81,408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114,716</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104,405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103,369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12,024</w:t>
            </w: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12,016</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34,794</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 (1)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283,088</w:t>
            </w:r>
          </w:p>
        </w:tc>
        <w:tc>
          <w:tcPr>
            <w:tcW w:w="2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269,041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253,669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78.5 %</w:t>
            </w:r>
          </w:p>
        </w:tc>
        <w:tc>
          <w:tcPr>
            <w:tcW w:w="4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 pts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77.2 %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2.1 pts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75.1 %</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154.23</w:t>
            </w:r>
          </w:p>
        </w:tc>
        <w:tc>
          <w:tcPr>
            <w:tcW w:w="20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4.5 % $</w:t>
            </w:r>
          </w:p>
        </w:tc>
        <w:tc>
          <w:tcPr>
            <w:tcW w:w="680" w:type="dxa"/>
            <w:vAlign w:val="bottom"/>
          </w:tcPr>
          <w:p>
            <w:pPr>
              <w:jc w:val="right"/>
              <w:spacing w:after="0"/>
              <w:rPr>
                <w:sz w:val="20"/>
                <w:szCs w:val="20"/>
                <w:color w:val="auto"/>
              </w:rPr>
            </w:pPr>
            <w:r>
              <w:rPr>
                <w:rFonts w:ascii="Arial" w:cs="Arial" w:eastAsia="Arial" w:hAnsi="Arial"/>
                <w:sz w:val="18"/>
                <w:szCs w:val="18"/>
                <w:color w:val="auto"/>
              </w:rPr>
              <w:t>147.52</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7.6 % $</w:t>
            </w:r>
          </w:p>
        </w:tc>
        <w:tc>
          <w:tcPr>
            <w:tcW w:w="680" w:type="dxa"/>
            <w:vAlign w:val="bottom"/>
          </w:tcPr>
          <w:p>
            <w:pPr>
              <w:jc w:val="right"/>
              <w:spacing w:after="0"/>
              <w:rPr>
                <w:sz w:val="20"/>
                <w:szCs w:val="20"/>
                <w:color w:val="auto"/>
              </w:rPr>
            </w:pPr>
            <w:r>
              <w:rPr>
                <w:rFonts w:ascii="Arial" w:cs="Arial" w:eastAsia="Arial" w:hAnsi="Arial"/>
                <w:sz w:val="18"/>
                <w:szCs w:val="18"/>
                <w:color w:val="auto"/>
              </w:rPr>
              <w:t>137.04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365.81</w:t>
            </w:r>
          </w:p>
        </w:tc>
        <w:tc>
          <w:tcPr>
            <w:tcW w:w="2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347.21</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320.42</w:t>
            </w:r>
          </w:p>
        </w:tc>
        <w:tc>
          <w:tcPr>
            <w:tcW w:w="16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680" w:right="60" w:hanging="320"/>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and $0.9 million in 2019 and 2018, respectively. See the discussion of preopening costs below.</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Rooms revenue and RevPAR increased at Gaylord Opryland during 2019, as compared to 2018, as a result of an increase in transient occupancy and an increase in ADR for both group and transient rates. Rooms revenue and RevPAR were negatively impacted in 2019 by a rooms renovation project, which resulted in approximately 31,500 room nights out of service during 2019. The rooms renovation project was completed in the fourth quarter of 2019. Rooms expenses increased during 2019, as compared to 2018, primarily due to increased variable costs associated with the increase in occupancy.</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food and beverage revenue at Gaylord Opryland during 2019, as compared to 2018, was primarily due to increased food and beverage outlet revenue, including new food and beverage outlets associated with SoundWaves. Food and beverage expenses increased in 2019, as compared to 2018, primarily due to increased employment costs and increased variable costs associated with the increase in revenue.</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Other hotel revenue increased at Gaylord Opryland during 2019, as compared to 2018, due primarily to revenues from SoundWaves, as well as an increase in attrition and cancellation fee collections. Other hotel expenses increased in 2019, as compared to 2018, due primarily to additional operating expense for SoundWaves.</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Management fees, net and depreciation and amortization remained stable at Gaylord Opryland during 2019, as compared to 2018.</w:t>
      </w:r>
    </w:p>
    <w:p>
      <w:pPr>
        <w:spacing w:after="0" w:line="170"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years ended December 31, 2019, 2018 and 2017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 Change</w:t>
            </w: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78,392</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1.9 % $</w:t>
            </w:r>
          </w:p>
        </w:tc>
        <w:tc>
          <w:tcPr>
            <w:tcW w:w="660" w:type="dxa"/>
            <w:vAlign w:val="bottom"/>
          </w:tcPr>
          <w:p>
            <w:pPr>
              <w:jc w:val="right"/>
              <w:spacing w:after="0"/>
              <w:rPr>
                <w:sz w:val="20"/>
                <w:szCs w:val="20"/>
                <w:color w:val="auto"/>
              </w:rPr>
            </w:pPr>
            <w:r>
              <w:rPr>
                <w:rFonts w:ascii="Arial" w:cs="Arial" w:eastAsia="Arial" w:hAnsi="Arial"/>
                <w:sz w:val="18"/>
                <w:szCs w:val="18"/>
                <w:color w:val="auto"/>
              </w:rPr>
              <w:t>76,901</w:t>
            </w: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2.5 % $</w:t>
            </w:r>
          </w:p>
        </w:tc>
        <w:tc>
          <w:tcPr>
            <w:tcW w:w="680" w:type="dxa"/>
            <w:vAlign w:val="bottom"/>
          </w:tcPr>
          <w:p>
            <w:pPr>
              <w:jc w:val="right"/>
              <w:spacing w:after="0"/>
              <w:rPr>
                <w:sz w:val="20"/>
                <w:szCs w:val="20"/>
                <w:color w:val="auto"/>
              </w:rPr>
            </w:pPr>
            <w:r>
              <w:rPr>
                <w:rFonts w:ascii="Arial" w:cs="Arial" w:eastAsia="Arial" w:hAnsi="Arial"/>
                <w:sz w:val="18"/>
                <w:szCs w:val="18"/>
                <w:color w:val="auto"/>
              </w:rPr>
              <w:t>75,001</w:t>
            </w: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94,179</w:t>
            </w: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31,075</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11.4 %</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26,555</w:t>
            </w:r>
          </w:p>
        </w:tc>
        <w:tc>
          <w:tcPr>
            <w:tcW w:w="180" w:type="dxa"/>
            <w:vAlign w:val="bottom"/>
            <w:tcBorders>
              <w:bottom w:val="single" w:sz="8" w:color="CCEEFF"/>
            </w:tcBorders>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3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208,298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200,763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195,735</w:t>
            </w: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51,865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50,538</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51,444</w:t>
            </w: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68,197</w:t>
            </w: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5,275</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4,572</w:t>
            </w: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180" w:type="dxa"/>
            <w:vAlign w:val="bottom"/>
            <w:shd w:val="clear" w:color="auto" w:fill="CCEEFF"/>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312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167,625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163,635</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159,770</w:t>
            </w: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77.4 %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(0.1)pts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77.5 %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(0.8)pts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78.3 %</w:t>
            </w: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w:t>
            </w:r>
          </w:p>
        </w:tc>
        <w:tc>
          <w:tcPr>
            <w:tcW w:w="1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151.68</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1.9 % $</w:t>
            </w:r>
          </w:p>
        </w:tc>
        <w:tc>
          <w:tcPr>
            <w:tcW w:w="660" w:type="dxa"/>
            <w:vAlign w:val="bottom"/>
          </w:tcPr>
          <w:p>
            <w:pPr>
              <w:jc w:val="right"/>
              <w:spacing w:after="0"/>
              <w:rPr>
                <w:sz w:val="20"/>
                <w:szCs w:val="20"/>
                <w:color w:val="auto"/>
              </w:rPr>
            </w:pPr>
            <w:r>
              <w:rPr>
                <w:rFonts w:ascii="Arial" w:cs="Arial" w:eastAsia="Arial" w:hAnsi="Arial"/>
                <w:sz w:val="18"/>
                <w:szCs w:val="18"/>
                <w:color w:val="auto"/>
              </w:rPr>
              <w:t>148.79</w:t>
            </w:r>
          </w:p>
        </w:tc>
        <w:tc>
          <w:tcPr>
            <w:tcW w:w="2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2.5 % $</w:t>
            </w:r>
          </w:p>
        </w:tc>
        <w:tc>
          <w:tcPr>
            <w:tcW w:w="680" w:type="dxa"/>
            <w:vAlign w:val="bottom"/>
          </w:tcPr>
          <w:p>
            <w:pPr>
              <w:jc w:val="right"/>
              <w:spacing w:after="0"/>
              <w:rPr>
                <w:sz w:val="20"/>
                <w:szCs w:val="20"/>
                <w:color w:val="auto"/>
              </w:rPr>
            </w:pPr>
            <w:r>
              <w:rPr>
                <w:rFonts w:ascii="Arial" w:cs="Arial" w:eastAsia="Arial" w:hAnsi="Arial"/>
                <w:sz w:val="18"/>
                <w:szCs w:val="18"/>
                <w:color w:val="auto"/>
              </w:rPr>
              <w:t>145.12</w:t>
            </w: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388.44</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w:t>
            </w:r>
          </w:p>
        </w:tc>
        <w:tc>
          <w:tcPr>
            <w:tcW w:w="180" w:type="dxa"/>
            <w:vAlign w:val="bottom"/>
            <w:shd w:val="clear" w:color="auto" w:fill="CCEEFF"/>
          </w:tcPr>
          <w:p>
            <w:pPr>
              <w:spacing w:after="0"/>
              <w:rPr>
                <w:sz w:val="18"/>
                <w:szCs w:val="18"/>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680" w:right="219" w:hanging="320"/>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$0.6 million in 2019. See the discussion of preopening costs below.</w:t>
      </w:r>
    </w:p>
    <w:p>
      <w:pPr>
        <w:spacing w:after="0" w:line="170" w:lineRule="exact"/>
        <w:rPr>
          <w:sz w:val="20"/>
          <w:szCs w:val="20"/>
          <w:color w:val="auto"/>
        </w:rPr>
      </w:pPr>
    </w:p>
    <w:p>
      <w:pPr>
        <w:ind w:right="119"/>
        <w:spacing w:after="0" w:line="264" w:lineRule="auto"/>
        <w:rPr>
          <w:sz w:val="20"/>
          <w:szCs w:val="20"/>
          <w:color w:val="auto"/>
        </w:rPr>
      </w:pPr>
      <w:r>
        <w:rPr>
          <w:rFonts w:ascii="Arial" w:cs="Arial" w:eastAsia="Arial" w:hAnsi="Arial"/>
          <w:sz w:val="18"/>
          <w:szCs w:val="18"/>
          <w:color w:val="auto"/>
        </w:rPr>
        <w:t>Rooms revenue and RevPAR increased at Gaylord Palms during 2019, as compared to 2018, due primarily to an increase in ADR for both group and transient rates. Rooms expenses decreased during 2019, as compared to 2018, due primarily to a decrease in group commissions.</w:t>
      </w:r>
    </w:p>
    <w:p>
      <w:pPr>
        <w:spacing w:after="0" w:line="181" w:lineRule="exact"/>
        <w:rPr>
          <w:sz w:val="20"/>
          <w:szCs w:val="20"/>
          <w:color w:val="auto"/>
        </w:rPr>
      </w:pPr>
    </w:p>
    <w:p>
      <w:pPr>
        <w:ind w:right="359"/>
        <w:spacing w:after="0" w:line="264" w:lineRule="auto"/>
        <w:rPr>
          <w:sz w:val="20"/>
          <w:szCs w:val="20"/>
          <w:color w:val="auto"/>
        </w:rPr>
      </w:pPr>
      <w:r>
        <w:rPr>
          <w:rFonts w:ascii="Arial" w:cs="Arial" w:eastAsia="Arial" w:hAnsi="Arial"/>
          <w:sz w:val="18"/>
          <w:szCs w:val="18"/>
          <w:color w:val="auto"/>
        </w:rPr>
        <w:t>The increase in food and beverage revenue at Gaylord Palms during 2019, as compared to 2018, was primarily due to an increase in catering revenue. Food and beverage expenses increased in 2019, as compared to 2018, due primarily to an increase in variable expenses related to the increase in revenue.</w:t>
      </w:r>
    </w:p>
    <w:p>
      <w:pPr>
        <w:spacing w:after="0" w:line="181" w:lineRule="exact"/>
        <w:rPr>
          <w:sz w:val="20"/>
          <w:szCs w:val="20"/>
          <w:color w:val="auto"/>
        </w:rPr>
      </w:pPr>
    </w:p>
    <w:p>
      <w:pPr>
        <w:ind w:right="179"/>
        <w:spacing w:after="0" w:line="312" w:lineRule="auto"/>
        <w:rPr>
          <w:sz w:val="20"/>
          <w:szCs w:val="20"/>
          <w:color w:val="auto"/>
        </w:rPr>
      </w:pPr>
      <w:r>
        <w:rPr>
          <w:rFonts w:ascii="Arial" w:cs="Arial" w:eastAsia="Arial" w:hAnsi="Arial"/>
          <w:sz w:val="16"/>
          <w:szCs w:val="16"/>
          <w:color w:val="auto"/>
        </w:rPr>
        <w:t>Other hotel revenue at Gaylord Palms increased during 2019, as compared to 2018, primarily due to increased attrition and cancellation fee collections, as well as an increase in resort fees driven by an increase in the resort fee rate. Other hotel expenses increased during 2019, as compared to 2018, due primarily to an increase in sales and marketing costs.</w:t>
      </w:r>
    </w:p>
    <w:p>
      <w:pPr>
        <w:spacing w:after="0" w:line="147" w:lineRule="exact"/>
        <w:rPr>
          <w:sz w:val="20"/>
          <w:szCs w:val="20"/>
          <w:color w:val="auto"/>
        </w:rPr>
      </w:pPr>
    </w:p>
    <w:p>
      <w:pPr>
        <w:ind w:right="639"/>
        <w:spacing w:after="0" w:line="277" w:lineRule="auto"/>
        <w:rPr>
          <w:sz w:val="20"/>
          <w:szCs w:val="20"/>
          <w:color w:val="auto"/>
        </w:rPr>
      </w:pPr>
      <w:r>
        <w:rPr>
          <w:rFonts w:ascii="Arial" w:cs="Arial" w:eastAsia="Arial" w:hAnsi="Arial"/>
          <w:sz w:val="18"/>
          <w:szCs w:val="18"/>
          <w:color w:val="auto"/>
        </w:rPr>
        <w:t>Management fees, net increased at Gaylord Palms during 2019, as compared to 2018, due primarily to an increase in incentive management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remained stable during 2019, as compared to 2018.</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years ended December 31, 2019, 2018 and 2017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3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101,604</w:t>
            </w:r>
          </w:p>
        </w:tc>
        <w:tc>
          <w:tcPr>
            <w:tcW w:w="2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11.0 % $</w:t>
            </w:r>
          </w:p>
        </w:tc>
        <w:tc>
          <w:tcPr>
            <w:tcW w:w="680" w:type="dxa"/>
            <w:vAlign w:val="bottom"/>
          </w:tcPr>
          <w:p>
            <w:pPr>
              <w:jc w:val="right"/>
              <w:spacing w:after="0"/>
              <w:rPr>
                <w:sz w:val="20"/>
                <w:szCs w:val="20"/>
                <w:color w:val="auto"/>
              </w:rPr>
            </w:pPr>
            <w:r>
              <w:rPr>
                <w:rFonts w:ascii="Arial" w:cs="Arial" w:eastAsia="Arial" w:hAnsi="Arial"/>
                <w:sz w:val="18"/>
                <w:szCs w:val="18"/>
                <w:color w:val="auto"/>
              </w:rPr>
              <w:t>91,558</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13.5 % $</w:t>
            </w:r>
          </w:p>
        </w:tc>
        <w:tc>
          <w:tcPr>
            <w:tcW w:w="680" w:type="dxa"/>
            <w:vAlign w:val="bottom"/>
          </w:tcPr>
          <w:p>
            <w:pPr>
              <w:jc w:val="right"/>
              <w:spacing w:after="0"/>
              <w:rPr>
                <w:sz w:val="20"/>
                <w:szCs w:val="20"/>
                <w:color w:val="auto"/>
              </w:rPr>
            </w:pPr>
            <w:r>
              <w:rPr>
                <w:rFonts w:ascii="Arial" w:cs="Arial" w:eastAsia="Arial" w:hAnsi="Arial"/>
                <w:sz w:val="18"/>
                <w:szCs w:val="18"/>
                <w:color w:val="auto"/>
              </w:rPr>
              <w:t>80,691</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148,154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128,676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115,158</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42,790</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6.5 %</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40,184</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17.4 %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34,236</w:t>
            </w:r>
          </w:p>
        </w:tc>
        <w:tc>
          <w:tcPr>
            <w:tcW w:w="180" w:type="dxa"/>
            <w:vAlign w:val="bottom"/>
            <w:tcBorders>
              <w:bottom w:val="single" w:sz="8" w:color="CCEEFF"/>
            </w:tcBorders>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3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260,418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230,085</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72,008</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13.0 %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63,739</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59,334</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67,328</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9,189</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4,867</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8.4 %</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20,575</w:t>
            </w:r>
          </w:p>
        </w:tc>
        <w:tc>
          <w:tcPr>
            <w:tcW w:w="180" w:type="dxa"/>
            <w:vAlign w:val="bottom"/>
            <w:shd w:val="clear" w:color="auto" w:fill="CCEEFF"/>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207,017</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187,544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169,599</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78.2 %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 pts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74.9 %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(1.3)pts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76.2 %</w:t>
            </w: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153.45</w:t>
            </w:r>
          </w:p>
        </w:tc>
        <w:tc>
          <w:tcPr>
            <w:tcW w:w="24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4.1 % $</w:t>
            </w:r>
          </w:p>
        </w:tc>
        <w:tc>
          <w:tcPr>
            <w:tcW w:w="680" w:type="dxa"/>
            <w:vAlign w:val="bottom"/>
          </w:tcPr>
          <w:p>
            <w:pPr>
              <w:jc w:val="right"/>
              <w:spacing w:after="0"/>
              <w:rPr>
                <w:sz w:val="20"/>
                <w:szCs w:val="20"/>
                <w:color w:val="auto"/>
              </w:rPr>
            </w:pPr>
            <w:r>
              <w:rPr>
                <w:rFonts w:ascii="Arial" w:cs="Arial" w:eastAsia="Arial" w:hAnsi="Arial"/>
                <w:sz w:val="18"/>
                <w:szCs w:val="18"/>
                <w:color w:val="auto"/>
              </w:rPr>
              <w:t>147.35</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0.7 % $</w:t>
            </w:r>
          </w:p>
        </w:tc>
        <w:tc>
          <w:tcPr>
            <w:tcW w:w="680" w:type="dxa"/>
            <w:vAlign w:val="bottom"/>
          </w:tcPr>
          <w:p>
            <w:pPr>
              <w:jc w:val="right"/>
              <w:spacing w:after="0"/>
              <w:rPr>
                <w:sz w:val="20"/>
                <w:szCs w:val="20"/>
                <w:color w:val="auto"/>
              </w:rPr>
            </w:pPr>
            <w:r>
              <w:rPr>
                <w:rFonts w:ascii="Arial" w:cs="Arial" w:eastAsia="Arial" w:hAnsi="Arial"/>
                <w:sz w:val="18"/>
                <w:szCs w:val="18"/>
                <w:color w:val="auto"/>
              </w:rPr>
              <w:t>146.31</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441.84</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180" w:type="dxa"/>
            <w:vAlign w:val="bottom"/>
            <w:shd w:val="clear" w:color="auto" w:fill="CCEEFF"/>
          </w:tcPr>
          <w:p>
            <w:pPr>
              <w:spacing w:after="0"/>
              <w:rPr>
                <w:sz w:val="18"/>
                <w:szCs w:val="18"/>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7" w:lineRule="exact"/>
        <w:rPr>
          <w:sz w:val="20"/>
          <w:szCs w:val="20"/>
          <w:color w:val="auto"/>
        </w:rPr>
      </w:pPr>
    </w:p>
    <w:p>
      <w:pPr>
        <w:ind w:left="680" w:right="279" w:hanging="320"/>
        <w:spacing w:after="0" w:line="264"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Gaylord Texan operating expenses do not include preopening costs of $2.0 million and $0.1 million in 2018 and 2017, respectively related to an expansion of the guest rooms and convention space at Gaylord Texan, which opened in the second quarter of 2018.</w:t>
      </w:r>
    </w:p>
    <w:p>
      <w:pPr>
        <w:spacing w:after="0" w:line="181"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Rooms revenue and RevPAR increased at Gaylord Texan during 2019, as compared to 2018, due primarily to an increase in occupancy for both group and transient business. The 2019 year was also positively impacted by additional room availability from the 2018 rooms expansion, which resulted in an increase in actual rooms sold of 11.3%, compared to 2018. Rooms expenses increased during 2019, as compared to 2018, primarily due to an increase in variable costs associated with the increase in rooms sold and increased capacity.</w:t>
      </w:r>
    </w:p>
    <w:p>
      <w:pPr>
        <w:spacing w:after="0" w:line="188" w:lineRule="exact"/>
        <w:rPr>
          <w:sz w:val="20"/>
          <w:szCs w:val="20"/>
          <w:color w:val="auto"/>
        </w:rPr>
      </w:pPr>
    </w:p>
    <w:p>
      <w:pPr>
        <w:jc w:val="both"/>
        <w:ind w:right="599"/>
        <w:spacing w:after="0" w:line="286" w:lineRule="auto"/>
        <w:rPr>
          <w:sz w:val="20"/>
          <w:szCs w:val="20"/>
          <w:color w:val="auto"/>
        </w:rPr>
      </w:pPr>
      <w:r>
        <w:rPr>
          <w:rFonts w:ascii="Arial" w:cs="Arial" w:eastAsia="Arial" w:hAnsi="Arial"/>
          <w:sz w:val="17"/>
          <w:szCs w:val="17"/>
          <w:color w:val="auto"/>
        </w:rPr>
        <w:t>Food and beverage revenue increased at Gaylord Texan during 2019, as compared to 2018, due to an increase in both catering and food and beverage outlet revenue. Food and beverage expenses increased in 2019, as compared to 2018, primarily due to an increase in variable expenses related to the increase in revenue.</w:t>
      </w:r>
    </w:p>
    <w:p>
      <w:pPr>
        <w:spacing w:after="0" w:line="166"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Other revenue at Gaylord Texan increased during 2019, as compared to 2018, primarily as a result of an increase in parking and resort fees associated with the increase in total room nights sold, partially offset by a decrease in attrition and cancellation fee collections. Other hotel expenses increased in 2019, as compared to 2018, due primarily to increased marketing, maintenance and credit card expenses.</w:t>
      </w:r>
    </w:p>
    <w:p>
      <w:pPr>
        <w:spacing w:after="0" w:line="18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Management fees, net increased at Gaylord Texan during 2019, as compared to 2018, due to an increase in both base and incentive management fees.</w:t>
      </w:r>
    </w:p>
    <w:p>
      <w:pPr>
        <w:spacing w:after="0" w:line="170"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Depreciation and amortization increased during 2019, as compared to 2018, primarily as a result of the 2018 rooms and meeting space expansion that resulted in increased depreciable asset levels.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years ended December 31, 2019, 2018 and 2017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8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117,977</w:t>
            </w:r>
          </w:p>
        </w:tc>
        <w:tc>
          <w:tcPr>
            <w:tcW w:w="2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7.7 % $</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109,511</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109,542</w:t>
            </w: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130,210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134,645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129,812</w:t>
            </w: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33,180</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10.1 %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30,143</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4.1 %</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28,959</w:t>
            </w:r>
          </w:p>
        </w:tc>
        <w:tc>
          <w:tcPr>
            <w:tcW w:w="160" w:type="dxa"/>
            <w:vAlign w:val="bottom"/>
            <w:tcBorders>
              <w:bottom w:val="single" w:sz="8" w:color="CCEEFF"/>
            </w:tcBorders>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3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281,367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274,299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268,313</w:t>
            </w: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39,654</w:t>
            </w: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83,101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83,249</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80,895</w:t>
            </w: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81,027</w:t>
            </w: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4,736</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4,595</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4,478</w:t>
            </w: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3.9 %</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26,524</w:t>
            </w:r>
          </w:p>
        </w:tc>
        <w:tc>
          <w:tcPr>
            <w:tcW w:w="160" w:type="dxa"/>
            <w:vAlign w:val="bottom"/>
            <w:shd w:val="clear" w:color="auto" w:fill="CCEEFF"/>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245,812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237,800</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232,578</w:t>
            </w: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75.1 %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2.8 pts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72.3 %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(1.2)pts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73.5 %</w:t>
            </w: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204.50</w:t>
            </w:r>
          </w:p>
        </w:tc>
        <w:tc>
          <w:tcPr>
            <w:tcW w:w="16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161.94</w:t>
            </w:r>
          </w:p>
        </w:tc>
        <w:tc>
          <w:tcPr>
            <w:tcW w:w="2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7.7 % $</w:t>
            </w:r>
          </w:p>
        </w:tc>
        <w:tc>
          <w:tcPr>
            <w:tcW w:w="680" w:type="dxa"/>
            <w:vAlign w:val="bottom"/>
          </w:tcPr>
          <w:p>
            <w:pPr>
              <w:jc w:val="right"/>
              <w:spacing w:after="0"/>
              <w:rPr>
                <w:sz w:val="20"/>
                <w:szCs w:val="20"/>
                <w:color w:val="auto"/>
              </w:rPr>
            </w:pPr>
            <w:r>
              <w:rPr>
                <w:rFonts w:ascii="Arial" w:cs="Arial" w:eastAsia="Arial" w:hAnsi="Arial"/>
                <w:sz w:val="18"/>
                <w:szCs w:val="18"/>
                <w:color w:val="auto"/>
              </w:rPr>
              <w:t>150.31</w:t>
            </w:r>
          </w:p>
        </w:tc>
        <w:tc>
          <w:tcPr>
            <w:tcW w:w="2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150.36</w:t>
            </w: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386.21</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376.50</w:t>
            </w: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368.29</w:t>
            </w:r>
          </w:p>
        </w:tc>
        <w:tc>
          <w:tcPr>
            <w:tcW w:w="160" w:type="dxa"/>
            <w:vAlign w:val="bottom"/>
            <w:shd w:val="clear" w:color="auto" w:fill="CCEEFF"/>
          </w:tcPr>
          <w:p>
            <w:pPr>
              <w:spacing w:after="0"/>
              <w:rPr>
                <w:sz w:val="18"/>
                <w:szCs w:val="18"/>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680" w:right="60" w:hanging="320"/>
        <w:spacing w:after="0" w:line="259"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Gaylord National operating expenses for 2017 do not include impairment charges of $35.4 million, as further discussed in Note 3, “Notes Receivable,” to the accompanying consolidated financial statements. Gaylord National operating expenses for 2017 also do not include preopening costs of $0.2 million associated with a riverfront ballroom at Gaylord National, which opened in the second quarter of 2017.</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Rooms revenue and RevPAR increased at Gaylord National during 2019, as compared to 2018, primarily as a result of an increase in ADR for both group and transient business, as well as an increase in group occupancy. The 2018 year was negatively impacted by Hurricane Florence in September 2018. Rooms expenses increased during 2019, as compared to 2018, primarily due to increased group commissions.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decrease in food and beverage revenue at Gaylord National during 2019, as compared to 2018, was primarily due to a decrease in banquet revenue due to a mix shift from corporate groups to other groups. Food and beverage expenses decreased in 2019, as compared to 2018, primarily due to decreased variable costs associated with the decrease in revenue.</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revenue increased at Gaylord National during 2019, as compared to 2018, primarily due to an increase in ancillary fees, such as parking and spa revenue. Other hotel expenses increased in 2019, as compared to 2018, primarily as a result of an increase in credit card expense, as well as an increase in property tax expense due to 2018 including a refund from a previous property tax settlement.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fees, net and depreciation and amortization increased slightly at Gaylord National during 2019, as compared to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Gaylord Rockies Results. </w:t>
      </w:r>
      <w:r>
        <w:rPr>
          <w:rFonts w:ascii="Arial" w:cs="Arial" w:eastAsia="Arial" w:hAnsi="Arial"/>
          <w:sz w:val="18"/>
          <w:szCs w:val="18"/>
          <w:color w:val="auto"/>
        </w:rPr>
        <w:t>The results of Gaylord Rockies for the year ended December 31, 2019 are as follows (in thousands,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percentages and performance metrics):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r>
      <w:tr>
        <w:trPr>
          <w:trHeight w:val="210"/>
        </w:trPr>
        <w:tc>
          <w:tcPr>
            <w:tcW w:w="60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75,475</w:t>
            </w: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120,634</w:t>
            </w: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hotel revenue</w:t>
            </w:r>
          </w:p>
        </w:tc>
        <w:tc>
          <w:tcPr>
            <w:tcW w:w="2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30,467</w:t>
            </w:r>
          </w:p>
        </w:tc>
        <w:tc>
          <w:tcPr>
            <w:tcW w:w="260" w:type="dxa"/>
            <w:vAlign w:val="bottom"/>
            <w:tcBorders>
              <w:bottom w:val="single" w:sz="8" w:color="CCEEFF"/>
            </w:tcBorders>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226,576</w:t>
            </w: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67,565</w:t>
            </w: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46,930</w:t>
            </w: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8,987</w:t>
            </w: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90,038</w:t>
            </w:r>
          </w:p>
        </w:tc>
        <w:tc>
          <w:tcPr>
            <w:tcW w:w="260" w:type="dxa"/>
            <w:vAlign w:val="bottom"/>
            <w:shd w:val="clear" w:color="auto" w:fill="CCEEFF"/>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235,647</w:t>
            </w: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69.2 %</w:t>
            </w: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198.94</w:t>
            </w:r>
          </w:p>
        </w:tc>
        <w:tc>
          <w:tcPr>
            <w:tcW w:w="2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137.76</w:t>
            </w:r>
          </w:p>
        </w:tc>
        <w:tc>
          <w:tcPr>
            <w:tcW w:w="2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413.56</w:t>
            </w:r>
          </w:p>
        </w:tc>
        <w:tc>
          <w:tcPr>
            <w:tcW w:w="260" w:type="dxa"/>
            <w:vAlign w:val="bottom"/>
            <w:shd w:val="clear" w:color="auto" w:fill="CCEEFF"/>
          </w:tcPr>
          <w:p>
            <w:pPr>
              <w:spacing w:after="0"/>
              <w:rPr>
                <w:sz w:val="18"/>
                <w:szCs w:val="18"/>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67" w:lineRule="exact"/>
        <w:rPr>
          <w:sz w:val="20"/>
          <w:szCs w:val="20"/>
          <w:color w:val="auto"/>
        </w:rPr>
      </w:pPr>
    </w:p>
    <w:p>
      <w:pPr>
        <w:ind w:left="680" w:right="20" w:hanging="320"/>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$0.6 million for 2019. See the discussion of preopening costs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presents the financial results of our Entertainment segment for the years ended December 31, 2019, 2018 and 2017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40" w:type="dxa"/>
            <w:vAlign w:val="bottom"/>
            <w:gridSpan w:val="3"/>
          </w:tcPr>
          <w:p>
            <w:pPr>
              <w:jc w:val="right"/>
              <w:ind w:right="305"/>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10"/>
        </w:trPr>
        <w:tc>
          <w:tcPr>
            <w:tcW w:w="3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183,120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147,215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125,059</w:t>
            </w:r>
          </w:p>
        </w:tc>
      </w:tr>
      <w:tr>
        <w:trPr>
          <w:trHeight w:val="216"/>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126,609</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109,249</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29.3 %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84,513</w:t>
            </w:r>
          </w:p>
        </w:tc>
      </w:tr>
      <w:tr>
        <w:trPr>
          <w:trHeight w:val="216"/>
        </w:trPr>
        <w:tc>
          <w:tcPr>
            <w:tcW w:w="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45.3 %</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r>
      <w:tr>
        <w:trPr>
          <w:trHeight w:val="210"/>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income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45,361</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63.8 %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33,472</w:t>
            </w:r>
          </w:p>
        </w:tc>
      </w:tr>
      <w:tr>
        <w:trPr>
          <w:trHeight w:val="20"/>
        </w:trPr>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6"/>
        </w:trPr>
        <w:tc>
          <w:tcPr>
            <w:tcW w:w="3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67" w:lineRule="exact"/>
        <w:rPr>
          <w:sz w:val="20"/>
          <w:szCs w:val="20"/>
          <w:color w:val="auto"/>
        </w:rPr>
      </w:pPr>
    </w:p>
    <w:p>
      <w:pPr>
        <w:ind w:left="680" w:hanging="320"/>
        <w:spacing w:after="0" w:line="293"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Entertainment segment operating income does not include preopening costs of $1.9 million, $1.9 million and $1.6 million in 2019, 2018 and 2017, respectively, primarily associated with our Ole Red locations. Entertainment segment operating income also does not include impairment charges of $23.8 million in 2018 related to Opry City Stage or income (loss) from unconsolidated joint ventures of $(1.1) million, $0.6 million and $(2.5) million in 2019, 2018 and 2017, respectively. The loss from unconsolidated joint ventures in 2019 relates to Circle, and the income (loss) from unconsolidated joint ventures in 2018 and 2017 relates to Opry City Stage.</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Entertainment segment revenues increased during 2019, as compared to 2018, primarily due to increased shows, attendance and retail revenue at the Grand Ole Opry and Ryman Auditorium, as well as the opening of Ole Red Gatlinburg in March 2019. In addition, the 2019 year benefitted from the full year of operations of Ole Red Nashville, which opened in May 2018.</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Entertainment segment operating expenses increased during 2019, as compared to 2018, primarily due to the operations of Ole Red Gatlinburg, as well as increased expenses at the Ryman Auditorium primarily due to the increase in variable expenses associated with the increase in revenue. In addition, the 2019 year includes the full year of operations of Ole Red Nashville. Further, the 2018 year includes expenses from operations of Opry City Stage, which we closed in 2018.</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Entertainment segment depreciation and amortization expense increased in 2019, as compared to 2018, primarily as a result of Ole Red Gatlinburg and capital improvements at the Grand Ole Opry to improve the customer experience, each resulting in increased depreciable asset levels.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presents the financial results of our Corporate and Other segment for the years ended December 31, 2019, 2018 and 2017 (in thousands, except percentages):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31,387</w:t>
            </w: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(37,911)</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(32,650)</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(33,513)</w:t>
            </w: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and other administrative costs, increased in 2019, as compared to 2018, due primarily to an increase in administrative and employment costs associated with supporting our growth initiatives within our Hospitality and Entertainment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expense the costs associated with start-up activities and organization costs as incurred. Our preopening costs for 2019 include costs associated with Ole Red Gatlinburg, which opened in March 2019, Gaylord Rockies, which opened on a fully operational basis in first quarter 2019, and Gaylord Palms, the expansion of which is scheduled to be complete in summer 2021. Our preopening costs for 2018 include costs associated with an expansion of the guest rooms and convention space at Gaylord Texan, which opened in the second quarter of 2018, costs associated with Ole Red Nashville, which opened in May 2018, and costs at Gaylord Opryland associated with SoundWaves, the indoor portion of which opened in December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Impairment Charges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Impairment charges in 2018 primarily include costs associated with our previous investment in Opry City Stage. Subsequent to our purchase of the remaining 50% joint venture interest in the second quarter of 2018, we determined that current ongoing operations were not meeting our revenue expectations from the time of purchase, and we temporarily suspended operations at Opry City Stage to appropriately reposition the venue and its operations. An impairment assessment at that time warranted an impairment charge of $4.5 million. In December 2018, we determined that we would permanently close Opry City Stage and recorded an additional impairment charge of $18.0 million. In addition, during 2018, we incurred $1.2 million in impairment charges related to an entertainment concept that has been abandoned.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years ended December 31, 2019, 2018 and 2017 (in thousands, except percentages):</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8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94"/>
              </w:rPr>
              <w:t>% Change</w:t>
            </w: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4"/>
              </w:rPr>
              <w:t>% Change</w:t>
            </w: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2017</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$ 131,620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$ 66,051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10,469</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(11.4)%</w:t>
            </w:r>
          </w:p>
        </w:tc>
        <w:tc>
          <w:tcPr>
            <w:tcW w:w="720" w:type="dxa"/>
            <w:vAlign w:val="bottom"/>
          </w:tcPr>
          <w:p>
            <w:pPr>
              <w:jc w:val="right"/>
              <w:spacing w:after="0"/>
              <w:rPr>
                <w:sz w:val="20"/>
                <w:szCs w:val="20"/>
                <w:color w:val="auto"/>
              </w:rPr>
            </w:pPr>
            <w:r>
              <w:rPr>
                <w:rFonts w:ascii="Arial" w:cs="Arial" w:eastAsia="Arial" w:hAnsi="Arial"/>
                <w:sz w:val="18"/>
                <w:szCs w:val="18"/>
                <w:color w:val="auto"/>
              </w:rPr>
              <w:t>11,818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9"/>
              </w:rPr>
              <w:t>Income (loss) from unconsolidated joint ventures</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125,005</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2,939.7 %</w:t>
            </w:r>
          </w:p>
        </w:tc>
        <w:tc>
          <w:tcPr>
            <w:tcW w:w="720" w:type="dxa"/>
            <w:vAlign w:val="bottom"/>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584.6 %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(18,475)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(11,745)</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(123.9)%</w:t>
            </w:r>
          </w:p>
        </w:tc>
        <w:tc>
          <w:tcPr>
            <w:tcW w:w="720" w:type="dxa"/>
            <w:vAlign w:val="bottom"/>
          </w:tcPr>
          <w:p>
            <w:pPr>
              <w:jc w:val="right"/>
              <w:spacing w:after="0"/>
              <w:rPr>
                <w:sz w:val="20"/>
                <w:szCs w:val="20"/>
                <w:color w:val="auto"/>
              </w:rPr>
            </w:pPr>
            <w:r>
              <w:rPr>
                <w:rFonts w:ascii="Arial" w:cs="Arial" w:eastAsia="Arial" w:hAnsi="Arial"/>
                <w:sz w:val="18"/>
                <w:szCs w:val="18"/>
                <w:color w:val="auto"/>
              </w:rPr>
              <w:t>49,155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Interest expense increased $56.7 million in 2019, as compared to 2018, due primarily to increased interest expense related to debt held by the Gaylord Rockies joint venture, which we began consolidating for statement of operations purposes in 2019, as well as increased interest expense related to our revolving credit facility due to increased average borrowings and interest rate, increased interest expense related to our senior notes due to increased borrowings, and a decrease in capitalized interest in 2019. Our weighted average interest rate on our borrowings, excluding the write-off of deferred financing costs and capitalized interest, was 5.0% in 2019 as compared to 4.8% in 2018. Cash interest expense increased $45.0 million to $122.4 million in 2019, as compared to 2018, and noncash interest expense, which includes amortization and write-off of deferred financing costs, the effects of interest rate swaps, and is offset by capitalized interest, increased $11.6 million to $9.2 million in 2019, as compared to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Interest income for 2019 and 2018 primarily includes amounts earned on the bonds that we received in April 2008 in connection with the development of Gaylord National, which we hold as notes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2019, we commenced a cash tender offer for any and all outstanding $350 million 5% senior notes due 2021 at a redemption price of $1,002.50 per $1,000 principal amount. Pursuant to the tender offer, $197.5 million aggregate principal amount of these notes were validly tendered. As a result of our purchase of these tendered notes, we recognized a loss on extinguishment of debt of $0.5 million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Unconsolidated Joint Ventures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loss from unconsolidated joint ventures for 2019 represents our equity method share of the preopening losses associated with Circle. Income from unconsolidated joint ventures in 2018 primarily includes a $131.4 million gain related to the re-measurement of our pre-existing equity method investment in the Gaylord Rockies joint venture prior to consolidation, as well as our equity method share of the operating losses incurred by Gaylord Rockies, primarily pre-opening expenses. In addition, 2018 includes a gain of $2.8 million recognized from the re-measurement of the pre-existing Opry City Stage equity method investment, as well as our equity method share of the operating losses incurred by Opry City Stage, prior to consolidation. As discussed above, we permanently closed Opry City Stage in December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Other gains and (losses) for 2019 and 2018 includes gains of $2.8 million and $2.7 million, respectively, from a fund associated with the Gaylord National bonds to reimburse us for certain marketing and maintenance expenses. These</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color w:val="auto"/>
        </w:rPr>
        <w:t>gains were partially offset by pension settlement losses associated with our defined benefit pension plan of $1.9 million and $1.6 million for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81"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During 2019 and 2018, we recorded an income tax provision of $18.5 million and $11.7 million, respectively. These results differ from the statutory rate primarily due to the REIT dividends paid deduction for both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39"/>
        <w:spacing w:after="0" w:line="255"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flow from operating activities is the principal source of cash used to fund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interest payments on debt, maintenance capital expenditures, and dividends to stockholders. During 2019, our net cash flows provided by our operating activities were $354.7 million, reflecting primarily our income before depreciation expense, amortization expense and other non-cash charges of approximately $376.2 million, partially offset by unfavorable changes in working capital of approximately $21.6 million. The unfavorable changes in working capital primarily resulted from a decrease in accounts payable and accrued liabilities primarily attributable to the timing of payments.</w:t>
      </w:r>
    </w:p>
    <w:p>
      <w:pPr>
        <w:spacing w:after="0" w:line="189" w:lineRule="exact"/>
        <w:rPr>
          <w:sz w:val="20"/>
          <w:szCs w:val="20"/>
          <w:color w:val="auto"/>
        </w:rPr>
      </w:pPr>
    </w:p>
    <w:p>
      <w:pPr>
        <w:ind w:right="239"/>
        <w:spacing w:after="0" w:line="255" w:lineRule="auto"/>
        <w:rPr>
          <w:sz w:val="20"/>
          <w:szCs w:val="20"/>
          <w:color w:val="auto"/>
        </w:rPr>
      </w:pPr>
      <w:r>
        <w:rPr>
          <w:rFonts w:ascii="Arial" w:cs="Arial" w:eastAsia="Arial" w:hAnsi="Arial"/>
          <w:sz w:val="18"/>
          <w:szCs w:val="18"/>
          <w:color w:val="auto"/>
        </w:rPr>
        <w:t>During 2018, our net cash flows provided by our operating activities were $321.9 million, reflecting primarily our income before depreciation expense, amortization expense, impairment charges, income from unconsolidated joint ventures and other non-cash charges of approximately $309.8 million and favorable changes in working capital of approximately $12.2 million. The favorable changes in working capital primarily resulted from an increase in accounts payable and accrued liabilities due to the timing of payments, partially offset by an increase in accounts receivable due to the timing of collections.</w:t>
      </w:r>
    </w:p>
    <w:p>
      <w:pPr>
        <w:spacing w:after="0" w:line="193" w:lineRule="exact"/>
        <w:rPr>
          <w:sz w:val="20"/>
          <w:szCs w:val="20"/>
          <w:color w:val="auto"/>
        </w:rPr>
      </w:pPr>
    </w:p>
    <w:p>
      <w:pPr>
        <w:ind w:right="19"/>
        <w:spacing w:after="0" w:line="291" w:lineRule="auto"/>
        <w:rPr>
          <w:sz w:val="20"/>
          <w:szCs w:val="20"/>
          <w:color w:val="auto"/>
        </w:rPr>
      </w:pPr>
      <w:r>
        <w:rPr>
          <w:rFonts w:ascii="Arial" w:cs="Arial" w:eastAsia="Arial" w:hAnsi="Arial"/>
          <w:sz w:val="16"/>
          <w:szCs w:val="16"/>
          <w:i w:val="1"/>
          <w:iCs w:val="1"/>
          <w:color w:val="auto"/>
        </w:rPr>
        <w:t>Cash Flows from Investing Activities</w:t>
      </w:r>
      <w:r>
        <w:rPr>
          <w:rFonts w:ascii="Arial" w:cs="Arial" w:eastAsia="Arial" w:hAnsi="Arial"/>
          <w:sz w:val="16"/>
          <w:szCs w:val="16"/>
          <w:color w:val="auto"/>
        </w:rPr>
        <w:t>. During 2019, our primary use of funds for investing activities was the 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of $152.5 million and consisted primarily of the expansion of Gaylord Palms, a rooms renovation at Gaylord Opryland, construction of Ole Red Orlando, construction of SoundWaves, and ongoing maintenance for our existing properties. We also paid a $15.0 million earnest money deposit for the potential acquisition of Block 21. These uses of cash were partially offset by the receipt of $13.2 million of principal received from the governmental bonds held by Gaylord National and the redemption of the governmental bonds previously held by the Gaylord Rockies joint venture, as further described in Note 3, “Notes Receivable,” to the consolidated financial statements included herein.</w:t>
      </w:r>
    </w:p>
    <w:p>
      <w:pPr>
        <w:spacing w:after="0" w:line="167"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During 2018, our primary uses of funds for investing activities were the purchase of an additional interest in the Gaylord Rockies joint venture of $223.6 million, net of cash acquired, and purchases of property and equipment of $188.2 million. Purchase of property and equipment consisted primarily of construction of SoundWaves, the expansion of the guest rooms and convention space at Gaylord Texan, an expansion of the retail, ticketing and parking areas at the Grand Ole Opry House, construction of Ole Red Nashville, and ongoing maintenance for our existing properties.</w:t>
      </w:r>
    </w:p>
    <w:p>
      <w:pPr>
        <w:spacing w:after="0" w:line="173" w:lineRule="exact"/>
        <w:rPr>
          <w:sz w:val="20"/>
          <w:szCs w:val="20"/>
          <w:color w:val="auto"/>
        </w:rPr>
      </w:pPr>
    </w:p>
    <w:p>
      <w:pPr>
        <w:ind w:right="39"/>
        <w:spacing w:after="0" w:line="25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Our cash flows from financing activities reflect primarily the incurrence of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long-term debt and the payment of dividends. During 2019, our net cash flows provided by financing activities were $79.7 million, primarily reflecting the net issuance of $352.5 million in senior notes, increased borrowings under the Gaylord Rockies loans of $303.4 million, and the issuance of $282.9 million in our common stock, net of discounts, commissions and other offering expenses. These sources of cash were partially offset by the net repayment of $530.0 million under our credit facility, the payment of $183.3 million in cash dividends, the distribution by the Gaylord Rockies joint venture of $113.9 million to the noncontrolling interest partners in that joint venture, and the payment of $27.7 million in deferred financing costs.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During 2018, our net cash flows provided by financing activities were approximately $171.8 million, primarily reflecting</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$354.0 million in net borrowings under our revolving credit facility, partially offset by the payment of $172.4 million in cash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December 31, 2019, we had $362.4 million in unrestricted cash and $699.1 million available for borrowing under our revolving credit facility. During 2019, we net repaid $177.5 million in borrowings under our credit facility and senior notes, paid cash dividends of $183.3 million, incurred capital expenditures of $152.5 million, increased the borrowings under the Gaylord Rockies loans by $303.4 million, and issued, net of discounts, commissions and other offering expenses, $282.9 million in our common stock. In addition, the Gaylord Rockies joint venture distributed $113.9 million to the noncontrolling interest partners in that joint venture. These net outflows were offset by cash flows from operating activities discussed above, resulting in the increase in our cash balance from 2018 to 2019.</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plan to declare dividends of $3.80 per share in 2020, payable in equal quarterly amounts, subject to future determinations as to the timing and amount by our board of directors. We anticipate investing in our operations during 2020 by spending between approximately $260 million and $290 million in capital expenditures, which primarily includes ongoing maintenance capital of our current facilities, an expansion of the guest rooms and convention space at Gaylord Palms, an expansion of the guest rooms at Gaylord Rockies, and a rooms renovation at Gaylord National. In addition, we anticipate spending $275 million at closing, including the assumption of existing mortgage debt and the earnest money deposit, as part of the Block 21 acquisition.</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financing lease and operating lease obligations, and (iv) declared dividends. If our existing cash and cash from operations were inadequate to fund such commitments, as well as capital expenditures, we could draw on our credit facility, subject to the satisfaction of covenants in the credit facility.</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outstanding principal debt agreements are described below. Based on current projections for compliance under our financial covenants contained in these agreements, we do not foresee a maturity issue prior to their scheduled maturity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were in compliance with all covenants related to our outstanding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October 31, 2019, we entered into a Sixth Amended and Restated Credit Agreement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The Credit Agreement also increased the accordion feature of the previous credit agreement from $500 million to $600 million and includes a $50.0 million letter of credit sublimit.</w:t>
      </w:r>
    </w:p>
    <w:p>
      <w:pPr>
        <w:spacing w:after="0" w:line="1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four owned Gaylord Hotels properties, and certain of our other subsidiaries. Each is secured by (i) a first mortgage lien on the real property of each of our four owned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 properties is sold). Assets of the Gaylord Rockies joint venture are not subject to the liens of our credit facility.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71" w:lineRule="exact"/>
        <w:rPr>
          <w:sz w:val="20"/>
          <w:szCs w:val="20"/>
          <w:color w:val="auto"/>
        </w:rPr>
      </w:pPr>
    </w:p>
    <w:p>
      <w:pPr>
        <w:ind w:left="680" w:right="540" w:hanging="320"/>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70" w:lineRule="exact"/>
        <w:rPr>
          <w:rFonts w:ascii="Arial" w:cs="Arial" w:eastAsia="Arial" w:hAnsi="Arial"/>
          <w:sz w:val="18"/>
          <w:szCs w:val="18"/>
          <w:color w:val="auto"/>
        </w:rPr>
      </w:pPr>
    </w:p>
    <w:p>
      <w:pPr>
        <w:ind w:left="680" w:right="180" w:hanging="320"/>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70" w:lineRule="exact"/>
        <w:rPr>
          <w:rFonts w:ascii="Arial" w:cs="Arial" w:eastAsia="Arial" w:hAnsi="Arial"/>
          <w:sz w:val="18"/>
          <w:szCs w:val="18"/>
          <w:color w:val="auto"/>
        </w:rPr>
      </w:pPr>
    </w:p>
    <w:p>
      <w:pPr>
        <w:ind w:left="680" w:right="60" w:hanging="320"/>
        <w:spacing w:after="0" w:line="264"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6"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Pursuant to the Credit Agreement, we extended the maturity of the Revolver to March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in the Credit Agreement. At December 31, 2019, the interest rate on the Revolver was LIBOR plus 1.55%. Principal is payable in full at maturity.</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December 31, 2019, no borrowings were outstanding under the Revolver, and the lending banks had issued $0.9 million of letters of credit under the Credit Agreement, which left $699.1 million of availability under the Revolver (subject to the satisfaction of debt incurrence tests under the indentures governing our $400 million in aggregate principal amount of senior notes due 2023 (the “$400 Million 5% Senior Notes”) and our $700 million in aggregate principal amount of senior notes due 2027 (the “$700 Million 4.75% Senior Notes”), which we met at December 31, 2019).</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the Term Loan A was increased from $200 million to $300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in the Credit Agreement. At December 31, 2019, the interest rate on the Term Loan A was LIBOR plus 1.50%. Amounts borrowed under the Term Loan A that are repaid or prepaid may not be reborrowed. At closing in 2017, we drew down on the Term Loan A in full and proceeds were used to pay down a portion of the Revolver. Net proceeds from the increase in the Term Loan A pursuant to the Credit Agreement were approximately $94 million and, along with cash on hand, were used to repay $100 million of the outstanding indebtedness under the Term Loan B.</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Term Loan B Facility. </w:t>
      </w:r>
      <w:r>
        <w:rPr>
          <w:rFonts w:ascii="Arial" w:cs="Arial" w:eastAsia="Arial" w:hAnsi="Arial"/>
          <w:sz w:val="17"/>
          <w:szCs w:val="17"/>
          <w:color w:val="auto"/>
        </w:rPr>
        <w:t>The Term Loan B has a maturity date of May 11, 2024. The applicable interest rate margins on</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under the Term Loan B are, at our option, either (i) LIBOR plus 2.00% or (ii) a base rate as set in the Credit Agreement. At December 31, 2019,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closing in 2017, we drew down on the Term Loan B in full. The Credit Agreement did not change the maturity date or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margin on interest rates for the Term Loan B. At December 31, 2019, $386.3 million in borrowings were outstanding under the Term Loan B.</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w:t>
      </w:r>
    </w:p>
    <w:p>
      <w:pPr>
        <w:spacing w:after="0" w:line="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as discussed below, and to repay a portion of the amounts outstanding under the Revolver.</w:t>
      </w:r>
    </w:p>
    <w:p>
      <w:pPr>
        <w:spacing w:after="0" w:line="1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100.00% beginning on October 15 of 2022, 2023, 2024, and 2025, respectively, plus accrued and unpaid interest thereon to, but not including, the redemption date.</w:t>
      </w:r>
    </w:p>
    <w:p>
      <w:pPr>
        <w:spacing w:after="0" w:line="1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issuance of the $700 Million 4.75% Senior Notes, we entered into a registration rights agreement that requires us to complete a registered offer to exchange the $700 Million 4.75% Senior Notes for registered notes with substantially identical terms as the $700 Million 4.75% Senior Notes on or before September 18,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$400 Million 5% Senior Notes</w:t>
      </w:r>
      <w:r>
        <w:rPr>
          <w:rFonts w:ascii="Arial" w:cs="Arial" w:eastAsia="Arial" w:hAnsi="Arial"/>
          <w:sz w:val="18"/>
          <w:szCs w:val="18"/>
          <w:color w:val="auto"/>
        </w:rPr>
        <w:t>. In 2015, the Operating Partnership and Finco completed the private placement of</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$400.0 million in aggregate principal amount of senior notes due 2023. The $400 Million 5% Senior Notes are general unsecured senior obligations of the Company’s issuing subsidiaries and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payment with such subsidiaries’ existing and future senior unsecured indebtedness, including the $700 Million 4.75%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$400 Million 5% Senior Notes are redeemable, in whole or in part, at a redemption price expressed as a percentage of the principal amount thereof, which percentage is 102.50%, 101.25%, and 100.00% beginning on April 15 of 2019, 2020, and 2021, respectively, plus accrued and unpaid interest thereon to, but not including, the redemption date.</w:t>
      </w:r>
    </w:p>
    <w:p>
      <w:pPr>
        <w:spacing w:after="0" w:line="14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connection with the issuance of the $400 Million 5% Senior Notes, we completed a registered offer to exchange the $400 Million 5% Senior Notes for registered notes with substantially identical terms as the $400 Million 5% Senior Notes.</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$350 Million 5% Senior Notes. </w:t>
      </w:r>
      <w:r>
        <w:rPr>
          <w:rFonts w:ascii="Arial" w:cs="Arial" w:eastAsia="Arial" w:hAnsi="Arial"/>
          <w:sz w:val="18"/>
          <w:szCs w:val="18"/>
          <w:color w:val="auto"/>
        </w:rPr>
        <w:t>In 2013, the Operating Partnership and Finco completed the private placement of $350.0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aggregate principal amount of senior notes due 2021, which were guaranteed by the Company and its subsidiaries that guarantee the Credit Agreement.</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September 2019, we commenced a cash tender offer for any and all outstanding $350 Million 5% Senior Notes at a redemption price of $1,002.50 per $1,000 principal amount. Pursuant to the tender offer, $197.5 million aggregate principal amount of the $350 Million 5% Senior Notes were validly tendered. As a result of this tender offer, we recognized a loss on extinguishment of debt of $0.5 million in 2019. We used a portion of the proceeds from the issuance of the $500 Million 4.75% Senior Notes to fund the tender offer.</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accordance with the indenture governing the $350 Million 5% Senior Notes, subsequent to expiration of the tender offer, in September 2019, we gave irrevocable notice of the redemption of all remaining $350 Million 5% Senior Notes not tendered in the tender offer and irrevocably deposited with the trustee for the $350 Million 5% Senior Notes an amount sufficient to pay the redemption price of the $350 Million 5% Senior Notes called for redemption at that date, including interest. We used a portion of the proceeds from the issuance of the $500 Million 4.75% Senior Notes to fund the redemption.</w:t>
      </w:r>
    </w:p>
    <w:p>
      <w:pPr>
        <w:spacing w:after="0" w:line="15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$800 Million Term Loan (Gaylord Rockies Joint Venture)</w:t>
      </w:r>
      <w:r>
        <w:rPr>
          <w:rFonts w:ascii="Arial" w:cs="Arial" w:eastAsia="Arial" w:hAnsi="Arial"/>
          <w:sz w:val="17"/>
          <w:szCs w:val="17"/>
          <w:color w:val="auto"/>
        </w:rPr>
        <w:t>. On July 2, 2019, Aurora Convention Center Hotel, LLC and</w:t>
      </w:r>
      <w:r>
        <w:rPr>
          <w:rFonts w:ascii="Arial" w:cs="Arial" w:eastAsia="Arial" w:hAnsi="Arial"/>
          <w:sz w:val="17"/>
          <w:szCs w:val="17"/>
          <w:i w:val="1"/>
          <w:iCs w:val="1"/>
          <w:color w:val="auto"/>
        </w:rPr>
        <w:t xml:space="preserve"> </w:t>
      </w:r>
      <w:r>
        <w:rPr>
          <w:rFonts w:ascii="Arial" w:cs="Arial" w:eastAsia="Arial" w:hAnsi="Arial"/>
          <w:sz w:val="17"/>
          <w:szCs w:val="17"/>
          <w:color w:val="auto"/>
        </w:rPr>
        <w:t>Aurora Convention Center Hotel Lessee, LLC,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 future expansion of Gaylord Rockies, which it announced in February 2020 that it intends to pursue.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80"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Construction Loan (Gaylord Rockies Joint Venture)</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The Construction Loan bore interest at an annual rate equal to LIBOR plus 3.25% and had an original maturity date of December 18, 2019. The Construction Loan was secured by substantially all of the assets of Hotel Owner and an assignment of the hotel’s management agreement. As discussed above, the Construction Loan was paid off in July 2019 with proceeds from the Gaylord Rockies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 Million Mezzanine Loan (Gaylord Rockies Joint Venture)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2015, Aurora Convention Hotel Mezz, LLC (“Mezz”) and Aurora Convention Center Hotel Lessee Midco Member, LLC (collectively, “Mezz Borrower”), subsidiaries of the entities comprising the Gaylord Rockies joint venture, entered into a Mezzanine Loan Agreement (the “Mezzanine Loan”) with Marriott International Capital Corporation, for a mezzanine loan with available borrowings, as amended, of up to $39.0 million. The Mezzanine Loan bore interest at an annual rate of LIBOR plus 7.00% and had an original maturity date of December 18, 2019. The Mezzanine Loan was secured by Mezz Borrower’s interests in the joint venture. As discussed above, the Mezzanine Loan was paid off in July 2019 with proceeds from the Gaylord Rockies Loan.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four owned Gaylord Hotels management agreements and pooling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Marriott, we are subject to certain debt limitations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680" w:right="80" w:hanging="320"/>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70" w:lineRule="exact"/>
        <w:rPr>
          <w:rFonts w:ascii="Arial" w:cs="Arial" w:eastAsia="Arial" w:hAnsi="Arial"/>
          <w:sz w:val="18"/>
          <w:szCs w:val="18"/>
          <w:color w:val="auto"/>
        </w:rPr>
      </w:pPr>
    </w:p>
    <w:p>
      <w:pPr>
        <w:ind w:left="680" w:right="20" w:hanging="320"/>
        <w:spacing w:after="0" w:line="264"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225" w:lineRule="exact"/>
        <w:rPr>
          <w:sz w:val="20"/>
          <w:szCs w:val="20"/>
          <w:color w:val="auto"/>
        </w:rPr>
      </w:pPr>
    </w:p>
    <w:p>
      <w:pPr>
        <w:ind w:left="680" w:right="280" w:hanging="320"/>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70" w:lineRule="exact"/>
        <w:rPr>
          <w:rFonts w:ascii="Arial" w:cs="Arial" w:eastAsia="Arial" w:hAnsi="Arial"/>
          <w:sz w:val="18"/>
          <w:szCs w:val="18"/>
          <w:color w:val="auto"/>
        </w:rPr>
      </w:pPr>
    </w:p>
    <w:p>
      <w:pPr>
        <w:jc w:val="both"/>
        <w:ind w:left="680" w:right="80" w:hanging="320"/>
        <w:spacing w:after="0" w:line="26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Gaylord Rockies is not a Pooled Hotel for this purpose.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enter into commitments under letters of credit, primarily for the purpose of securing our deductible obligations with our insurers, and lending banks under our credit facility had issued $0.9 million of letters of credit at December 31, 2019. Except as set forth in this paragraph, we do not have any off-balance sheet arrangements that have or are reasonable likely to have a current or future effect on our financial condition, changes in financial condition, revenues or expenses, results of operations, liquidity, capital expenditures or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December 31, 2019, including long-term debt and operating and capital lease commitments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amounts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 due by Period</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80" w:type="dxa"/>
            <w:vAlign w:val="bottom"/>
            <w:gridSpan w:val="2"/>
            <w:vMerge w:val="continue"/>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1-3 years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8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900" w:type="dxa"/>
            <w:vAlign w:val="bottom"/>
            <w:gridSpan w:val="3"/>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committed</w:t>
            </w:r>
          </w:p>
        </w:tc>
        <w:tc>
          <w:tcPr>
            <w:tcW w:w="14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$ 2,586,250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1,571,250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Finance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574,244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Construction commitments (4)</w:t>
            </w:r>
          </w:p>
        </w:tc>
        <w:tc>
          <w:tcPr>
            <w:tcW w:w="940" w:type="dxa"/>
            <w:vAlign w:val="bottom"/>
          </w:tcPr>
          <w:p>
            <w:pPr>
              <w:jc w:val="right"/>
              <w:spacing w:after="0"/>
              <w:rPr>
                <w:sz w:val="20"/>
                <w:szCs w:val="20"/>
                <w:color w:val="auto"/>
              </w:rPr>
            </w:pPr>
            <w:r>
              <w:rPr>
                <w:rFonts w:ascii="Arial" w:cs="Arial" w:eastAsia="Arial" w:hAnsi="Arial"/>
                <w:sz w:val="18"/>
                <w:szCs w:val="18"/>
                <w:color w:val="auto"/>
              </w:rPr>
              <w:t>53,505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53,505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$ 3,258,780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66,126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$ 24,806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1,585,510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1,582,338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0" w:hanging="331"/>
        <w:spacing w:after="0" w:line="29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$543.0 million in interest payments projected to be due in future years (less than 1 year – $108.8 million; 1-3 years – $217.3 million; 3-5 years – $121.6 million; more than</w:t>
      </w:r>
    </w:p>
    <w:p>
      <w:pPr>
        <w:ind w:left="340" w:right="80"/>
        <w:spacing w:after="0" w:line="292" w:lineRule="auto"/>
        <w:rPr>
          <w:rFonts w:ascii="Arial" w:cs="Arial" w:eastAsia="Arial" w:hAnsi="Arial"/>
          <w:sz w:val="16"/>
          <w:szCs w:val="16"/>
          <w:color w:val="auto"/>
        </w:rPr>
      </w:pPr>
      <w:r>
        <w:rPr>
          <w:rFonts w:ascii="Arial" w:cs="Arial" w:eastAsia="Arial" w:hAnsi="Arial"/>
          <w:sz w:val="16"/>
          <w:szCs w:val="16"/>
          <w:color w:val="auto"/>
        </w:rPr>
        <w:t>5 years – $95.3 million) based on the stated interest rates on our fixed-rate debt and the rates in effect at December 31, 2019 for our variable-rate debt after considering interest rate swaps, as applicable.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2019, 2018 and 2017.</w:t>
      </w:r>
    </w:p>
    <w:p>
      <w:pPr>
        <w:spacing w:after="0" w:line="162" w:lineRule="exact"/>
        <w:rPr>
          <w:rFonts w:ascii="Arial" w:cs="Arial" w:eastAsia="Arial" w:hAnsi="Arial"/>
          <w:sz w:val="16"/>
          <w:szCs w:val="16"/>
          <w:color w:val="auto"/>
        </w:rPr>
      </w:pPr>
    </w:p>
    <w:p>
      <w:pPr>
        <w:ind w:left="340" w:right="100" w:hanging="331"/>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commitments due in 3-5 years includes $800.0 million of the Gaylord Rockies Loan for the Gaylord Rockies joint venture.</w:t>
      </w:r>
    </w:p>
    <w:p>
      <w:pPr>
        <w:spacing w:after="0" w:line="170" w:lineRule="exact"/>
        <w:rPr>
          <w:rFonts w:ascii="Arial" w:cs="Arial" w:eastAsia="Arial" w:hAnsi="Arial"/>
          <w:sz w:val="18"/>
          <w:szCs w:val="18"/>
          <w:color w:val="auto"/>
        </w:rPr>
      </w:pPr>
    </w:p>
    <w:p>
      <w:pPr>
        <w:ind w:left="340" w:right="240" w:hanging="331"/>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operating lease commitments of $604.4 million include the 75-year operating lease agreement we entered into during 1999 for 65.3 acres of land located in Osceola County, Florida where Gaylord Palms is located, which we may extend until January 2101.</w:t>
      </w:r>
    </w:p>
    <w:p>
      <w:pPr>
        <w:spacing w:after="0" w:line="181" w:lineRule="exact"/>
        <w:rPr>
          <w:rFonts w:ascii="Arial" w:cs="Arial" w:eastAsia="Arial" w:hAnsi="Arial"/>
          <w:sz w:val="18"/>
          <w:szCs w:val="18"/>
          <w:color w:val="auto"/>
        </w:rPr>
      </w:pPr>
    </w:p>
    <w:p>
      <w:pPr>
        <w:ind w:left="340" w:hanging="331"/>
        <w:spacing w:after="0" w:line="271"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properties’ total annual revenue. At December 31, 2019, $53.5 million was held in FF&amp;E reserve accounts for future capital expenditures at our properties. According to the terms of each management agreement with Marriott, the reserve funds are to be held by the properties in a restricted cash account. Although it is not required that such funds be expended in a given year, each management agreement provides any excess funds will carry over for use in future years.</w:t>
      </w:r>
    </w:p>
    <w:p>
      <w:pPr>
        <w:spacing w:after="0" w:line="179"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During 2020, we expect to contribute approximately $1.7 million, $1.0 million and $0.3 million, respectively, to our defined benefit pension plan, our non-</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qualified retirement plan and our defined benefit postretirement health care and life insurance plan. See Note 9 and Note 10 to our consolidated financial statements included herein for further discussion related to these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may involve a higher degree of judgment and complexity.</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Revenues from occupied hotel rooms are recognized over time as the daily hotel stay is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 groups and guests. Revenues from concessions, food and beverage sales, and group meeting services are recognized over the period or at the time those goods or services are delivered to the hotel group or guest. Revenues from ancillary services at our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We generally recognize revenues from the Entertainment segment at the point in time that services are provided or goods are delivered or shipped to the customer, as applicable.</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Impairment of long-lived and other assets. </w:t>
      </w:r>
      <w:r>
        <w:rPr>
          <w:rFonts w:ascii="Arial" w:cs="Arial" w:eastAsia="Arial" w:hAnsi="Arial"/>
          <w:sz w:val="17"/>
          <w:szCs w:val="17"/>
          <w:color w:val="auto"/>
        </w:rPr>
        <w:t>In accounting for our long-lived and other assets (including our property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notes receivable associated with the development of Gaylord National and intangible assets acquired as part of a business combination), we assess our long-lived assets for impairment whenever events or changes in circumstances indicate that the carrying value of the assets or asset group may not be recoverable.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Recoverability of the notes receivable associated with Gaylord National is measured by comparing the carrying amount of the notes to the fair value of the notes. If the carrying value is greater than the fair value, we then assess if the decline in fair value is other-than-temporary, because of our intent and ability to hold the notes receivable to maturity. If the decline in fair value is deemed to be other-than-temporary, which is based on whether we expect to receive debt service payments in excess of the carrying value under the notes, then the notes are impaired. Subsequent to the recognition of an other-than-temporary impairment, we account for the notes receivable as if it had been purchased on the measurement date of the other-than-temporary impairment at an amortized cost basis equal to the previous amortized cost basis less the other-than-temporary impairment previously recognized in earnings. The difference between the new amortized cost basis and the cash flows expected to be collected is accreted into interest income.</w:t>
      </w:r>
    </w:p>
    <w:p>
      <w:pPr>
        <w:sectPr>
          <w:pgSz w:w="11900" w:h="16838" w:orient="portrait"/>
          <w:cols w:equalWidth="0" w:num="1">
            <w:col w:w="9060"/>
          </w:cols>
          <w:pgMar w:left="1420" w:top="517"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For awards of restricted stock and restricted stock units, we measure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fair value of the awards on the date of grant. The fair value of time-based awards is determined based on the closing trading price of our common shares on the measurement date, which is generally the date of grant. The fair value of performance-based awards based on a market condition is determined using a Monte Carlo simulation. A Monte Carlo simulation requires the use of a number of assumptions, including historical volatility and correlation of the price of our common shares and the price of the common shares of a peer group, a risk-free rate of return, and an expected term. For each award, compensation expense is recognized on a straight-line basis over the vesting period. For both time-based awards and performance-based awards, once the total amount of compensation expense is determined on the date of the grant, no adjustments are made to the amount recognized each period, unless there is a change to a non-market condition assumption. No compensation expense is recognized for awards for which employees do not render the requisite service.</w:t>
      </w:r>
    </w:p>
    <w:p>
      <w:pPr>
        <w:spacing w:after="0" w:line="165"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i w:val="1"/>
          <w:iCs w:val="1"/>
          <w:color w:val="auto"/>
        </w:rPr>
        <w:t>Derivative financial instruments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entered into and may in the future enter into additional interest rate swap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to hedge against interest rate fluctuations. Neither the Company nor the Gaylord Rockies joint venture use derivatives for trading or speculative purposes and currently do not hold any derivatives that are not designated as hedges.</w:t>
      </w:r>
    </w:p>
    <w:p>
      <w:pPr>
        <w:spacing w:after="0" w:line="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w:t>
      </w:r>
    </w:p>
    <w:p>
      <w:pPr>
        <w:spacing w:after="0" w:line="13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or the Gaylord Rockies joint venture, as applicable, determine the fair values of our interest rate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We believe it is unlikely that materially different estimates for the fair value of financial derivative instruments would be made or reported based on other reasonable assumptions or conditions suggested by actual historical experience and other data available at the time the estimates were made.</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expense is based on the estimated useful life of our fixed assets. Amortization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for leasehold improvements is based on the shorter of the lease term or the estimated useful life of the related assets, and amortization expense for intangibles acquired as part of a business combination is based on the specific circumstances of each intangible asset.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a REIT, generally we will not be subject to federal corporate income taxes on ordinary taxable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gains income from real estate investments that we distribute to our stockholders. We will continue to be required to pay federal and state corporate income taxes on earnings of our TRSs.</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The technical merits of a tax position derive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both statutory and judicial authority (legislation and statutes, legislative intent, regulations, rulings, and case law) and their applicability to the facts and circumstances of the tax position. If a tax position does not meet the more likely than not recognition threshold, the benefit of that position is not recognized in the financial statements and a liability for unrecognized tax benefits is established. A tax position that meets the more likely than not recognition threshold is measured to determine the amount of benefit to recognize in the financial statements. The tax benefit recognized is measured as the largest amount of benefit that is greater than 50 percent likely of being realized upon ultimate resolution with a taxing authority. To the extent that we prevail in matters for which a liability for an unrecognized tax benefit is established or are required to pay amounts in excess of the liability established, our effective tax rate in a given financial statement period may be affected. At December 31, 2019 and 2018, we had no accruals for unrecognized tax benefits. We recognize interest and penalties related to uncertain tax positions, if any, in income tax expense. At December 31, 2019 and 2018, we have accrued no interest or penalties related to uncertain tax positions.</w:t>
      </w:r>
    </w:p>
    <w:p>
      <w:pPr>
        <w:spacing w:after="0" w:line="183"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b w:val="1"/>
          <w:bCs w:val="1"/>
          <w:i w:val="1"/>
          <w:iCs w:val="1"/>
          <w:color w:val="auto"/>
        </w:rPr>
        <w:t xml:space="preserve">Pension and postretirement benefits other than pension plans. </w:t>
      </w:r>
      <w:r>
        <w:rPr>
          <w:rFonts w:ascii="Arial" w:cs="Arial" w:eastAsia="Arial" w:hAnsi="Arial"/>
          <w:sz w:val="15"/>
          <w:szCs w:val="15"/>
          <w:color w:val="auto"/>
        </w:rPr>
        <w:t>The costs and obligations of our pension and postretirement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benefits other than pension plans recognized in our consolidated financial statements are 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discount rate utilized for determining future benefit obligations is based on the market rate of a broad-based index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high-quality bonds receiving an AA- or better rating from a recognized rating agency on our annual measurement date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matched to the future expected cash flows of the benefit plans by annual periods. The resulting discount rate decreased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3.95% for the pension plan and 3.83% for the postretirement benefits other than pension plans at December 31, 2018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2.85% and 2.70%, respectively, at December 31, 2019.</w:t>
      </w:r>
    </w:p>
    <w:p>
      <w:pPr>
        <w:spacing w:after="0" w:line="21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 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 return on plan assets assumption used for determining net periodic pension expense for 2019 and 2018 was 6.5%. Actual return on plan assets for 2019 and 2018 was 22.1% and (6.0)%, respectively. Our historical actual return averaged 8.7% for the ten-year period ended December 31, 2019. In the future, we may make additional discretionary contributions to the plan or we could be required to make mandatory cash funding payments.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mortality rate assumption used for determining future benefit obligations as of December 31, 2019 and 2018 was based on the Pri-2012 Total Dataset Mortality Table and the RP 2014 Adjusted to 2006 Total Dataset Mortality Table, respectively. In estimating the health care cost trend rate, we consider our actual health care cost experience, industry trends, and advice from our third-party actuary.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management believes that the assumptions used are appropriate, differences in actual experience or changes in assumptions may affect our pension and postretirement benefit obligations and expense. For example, holding all other assumptions constant, a 1% increase or decrease in the assumed discount rate related to the retirement plan would increase or decrease 2019 net periodic pension expense by approximately $0.1 million. Likewise, a 1% increase or decrease in the assumed rate of return on plan assets would decrease or increase 2019 net periodic pension expense by approximately $0.6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Acquisitions and Purchase Price Allocations. </w:t>
      </w:r>
      <w:r>
        <w:rPr>
          <w:rFonts w:ascii="Arial" w:cs="Arial" w:eastAsia="Arial" w:hAnsi="Arial"/>
          <w:sz w:val="16"/>
          <w:szCs w:val="16"/>
          <w:color w:val="auto"/>
        </w:rPr>
        <w:t>Accounting for the acquisition of a hotel property or other entity as a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or becoming the primary beneficiary of a previously unconsolidated variable interest entity, requires an allocation of the purchase price to the assets acquired and the liabilities assumed in the transaction at their respective estimated fair values. The most difficult estimations of individual fair values are those involving long-lived assets, such as property, equipment, and intangible assets, that are assumed as part of the transaction, as well as any noncontrolling interests. We use all available information to make these fair value determinations, including market data for similar assets, expected cash flows discounted at risk-adjusted rates, and replacement cost for assets, among others. We may engage third parties to provide valuation services to assist in the fair value determinations of the long-lived assets acquired and the liabilities assumed. Acquisition-related costs, such as due diligence, legal and accounting fees, are expensed as incurred.</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Legal Contingencies. </w:t>
      </w:r>
      <w:r>
        <w:rPr>
          <w:rFonts w:ascii="Arial" w:cs="Arial" w:eastAsia="Arial" w:hAnsi="Arial"/>
          <w:sz w:val="18"/>
          <w:szCs w:val="18"/>
          <w:color w:val="auto"/>
        </w:rPr>
        <w:t>We are subject to various legal proceedings and claims, the outcomes of which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uncertainty. We record an accrual for loss contingencies when a loss is probable and the amount of the loss can be reasonably estimated. We review these accruals each reporting period and make revisions based on changes in facts and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1 to our consolidated financial statements included herein.</w:t>
      </w:r>
    </w:p>
    <w:p>
      <w:pPr>
        <w:spacing w:after="0" w:line="24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Changes in Interest Rates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defined in the agreement. If LIBOR were to increase by 100 basis points, our annual interest cost on the $300.0 million in borrowings outstanding under the Term Loan A at December 31, 2019 would increase by approximately $3.0 million.</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Borrowings outstanding under our Term Loan B currently bear interest at an annual rate of LIBOR plus 2.00%, subject to adjustment as defined in the agreement. We have hedged our interest rate exposure on $350.0 million of borrowings under the Term Loan B with interest rate swaps that fix the LIBOR portion of interest payments through May 2023. If LIBOR were to increase by 100 basis points, our annual interest cost on the $36.3 million in borrowings outstanding under the Term Loan B that are not hedged at December 31, 2019 would increase by approximately $0.4 million.</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Borrowings outstanding under the Gaylord Rockies Loan currently bear interest at an annual rate of LIBOR plus 2.50%. The Gaylord Rockies joint venture has hedged its interest rate exposure with an interest rate swap that fixes the LIBOR portion of interest payments through August 2022. If the Gaylord Rockies joint venture does not enter into an additional interest rate swap, the joint venture will be subject to interest rate risk from August 2022 through the maturity date of July 2023.</w:t>
      </w:r>
    </w:p>
    <w:p>
      <w:pPr>
        <w:spacing w:after="0" w:line="15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of our outstanding cash balances are occasionally invested overnight with high credit quality financial institutions. We do not have significant exposure to changing interest rates on invested cash at December 31, 2019. As a result, the interest rate market risk implicit in these investments at December 31, 2019, if any, is 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Changes in Asset Values that Fund our Pension Plans</w:t>
      </w:r>
    </w:p>
    <w:p>
      <w:pPr>
        <w:spacing w:after="0" w:line="229" w:lineRule="exact"/>
        <w:rPr>
          <w:sz w:val="20"/>
          <w:szCs w:val="20"/>
          <w:color w:val="auto"/>
        </w:rPr>
      </w:pPr>
    </w:p>
    <w:p>
      <w:pPr>
        <w:ind w:right="139"/>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2019, the value of the investments in the pension fund was $66.0 million, and an immediate ten percent decrease in the value of the investments in the fund would have reduced the value of the fund by approximately $6.6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Based upon our overall market risk exposures at December 31, 2019, we believe that the effects of changes in interest rates related to our borrowings and asset values of investments that fund our pension plan could be material to our consolidated financial position, results of operations or cash flows.</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Information with respect to this Item is contained in the Company’s consolidated financial statements included in the Index beginning on page 74 of this Annual Report on Form 10-K and incorporated by reference herein.</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73" w:lineRule="exact"/>
        <w:rPr>
          <w:sz w:val="20"/>
          <w:szCs w:val="20"/>
          <w:color w:val="auto"/>
        </w:rPr>
      </w:pPr>
    </w:p>
    <w:p>
      <w:pPr>
        <w:ind w:left="680" w:right="319" w:hanging="320"/>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680" w:right="219" w:hanging="320"/>
        <w:spacing w:after="0" w:line="259"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680" w:right="759" w:hanging="320"/>
        <w:spacing w:after="0" w:line="342"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2019. In making this assessment, management used the criteria set forth by the Committee of Sponsoring Organizations of the Treadway Commission (2013 framework) in Internal Control - Integrated Framework.</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management’s assessment and those criteria, management believes that, as of December 31, 2019, the Company’s internal control over financial reporting was effective.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2019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Information about our Board of Directors required by Item 401 of Regulation S-K is incorporated herein by reference to the discussion under the heading “Election of the Eight Nominees for Director Identified in this Proxy Statement” in our Proxy Statement for the 2020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2021 Annual Meeting” in our Proxy Statement for the 2020 Annual Meeting of Stockholders to be filed with the SEC.</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other information concerning executive officers and certain other officers of the Company is included in Item 1 of Part I of this Annual Report on Form 10-K under the caption “Executive Officers of the Registrant.”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a separately designated audit committee of the Board of Directors established in accordance with the Exchange Act. Alvin Bowles, Fazal Merchant, Christine Pantoya and Robert S. Prather, Jr. currently serve as members of the Audit Committee, and Mr. Prather serves as its chairman. Our Board of Directors has determined that Mr. Prather and Mr. Merchant are “audit committee financial experts” as defined by the SEC and are independent, as that term is defined in the Exchange Act and the listing standards of the New York Stock Exchange.</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w:t>
      </w:r>
    </w:p>
    <w:p>
      <w:pPr>
        <w:sectPr>
          <w:pgSz w:w="11900" w:h="16838" w:orient="portrait"/>
          <w:cols w:equalWidth="0" w:num="1">
            <w:col w:w="9040"/>
          </w:cols>
          <w:pgMar w:left="1420" w:top="517" w:right="14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website. In accordance with the corporate governance listing standards of the New York Stock Exchange, the Company has designated Mr. Michael I.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discussions under the headings “Director Compensation,” “Compensation Discussion and Analysis,” “Executive Compensation – 2019 Summary Compensation Table,” “2019 Grants of Plan-Based Awards,” “Outstanding Equity Awards at 2019 Fiscal Year End,” “2019 Option Exercises and Stock Vested,” “Other Compensation Information – Pension Benefits,” “Other Compensation Information – Nonqualified Deferred Compensation,” “Other Compensation Information – 2019 Nonqualified Deferred Compensation Table,” “Potential Payments on Termination or Change of Control,” “Committees of the Board – Compensation Committee Interlocks and Insider Participation,” and “Human Resources Committee Report” in our Proxy Statement for the 2020 Annual Meeting of Stockholders, to be filed with the SEC.</w:t>
      </w:r>
    </w:p>
    <w:p>
      <w:pPr>
        <w:spacing w:after="0" w:line="1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“Stock Ownership” and “Equity Compensation Plan Information” in our Proxy Statement for the 2020 Annual Meeting of Stockholders, to be filed with the SEC.</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2020 Annual Meeting of Stockholders, to be filed with the SEC.</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discussion under the heading “Our Independent Registered Public Accounting Firm” in our Proxy Statement for the 2020 Annual Meeting of Stockholders, to be filed with the SEC.</w:t>
      </w:r>
    </w:p>
    <w:p>
      <w:pPr>
        <w:spacing w:after="0" w:line="1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index to financial statements on page 74 of this Annual Report on Form 10-K is provided in response to this Item.</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financial statement schedule is filed as a part of this report and is included herein on page 126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Schedule III – Real Estate and Accumulated Depreciation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40" w:type="dxa"/>
            <w:vAlign w:val="bottom"/>
            <w:gridSpan w:val="2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4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40" w:type="dxa"/>
            <w:vAlign w:val="bottom"/>
            <w:tcBorders>
              <w:top w:val="single" w:sz="8" w:color="auto"/>
            </w:tcBorders>
            <w:gridSpan w:val="30"/>
          </w:tcPr>
          <w:p>
            <w:pPr>
              <w:spacing w:after="0" w:line="170"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Purchase Agreement, dated as of September 13, 2018, by and among Ryman Hospitality Properties,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Aurora Convention Center Hotel Partners, LLC, AREG Aurora CCH LLC, and RIDA Aurora LLC</w:t>
              </w:r>
            </w:hyperlink>
          </w:p>
        </w:tc>
        <w:tc>
          <w:tcPr>
            <w:tcW w:w="400" w:type="dxa"/>
            <w:vAlign w:val="bottom"/>
            <w:tcBorders>
              <w:top w:val="single" w:sz="8" w:color="0000EE"/>
            </w:tcBorders>
            <w:gridSpan w:val="6"/>
          </w:tcPr>
          <w:p>
            <w:pPr>
              <w:spacing w:after="0"/>
              <w:rPr>
                <w:sz w:val="17"/>
                <w:szCs w:val="17"/>
                <w:color w:val="auto"/>
              </w:rPr>
            </w:pPr>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(incorporated by reference to Exhibit 2.1 to the Company’s Current Report on Form 8-K filed September 14,</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3"/>
          </w:tcPr>
          <w:p>
            <w:pPr>
              <w:ind w:left="340"/>
              <w:spacing w:after="0" w:line="196"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2018).</w:t>
              </w:r>
            </w:hyperlink>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7"/>
                <w:szCs w:val="17"/>
                <w:color w:val="auto"/>
              </w:rPr>
            </w:pPr>
          </w:p>
        </w:tc>
        <w:tc>
          <w:tcPr>
            <w:tcW w:w="7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First Amendment to Purchase Agreement, dated December 31, 2018, by and among Ryman Hospitality</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Properties, Inc., Aurora Convention Center Hotel Partners, LLC, AREG Aurora CCH LLC, and RIDA Aurora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LLC (incorporated by reference to Exhibit 2.1 to the Company’s Current Report on Form 8-K filed January 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3"/>
          </w:tcPr>
          <w:p>
            <w:pPr>
              <w:ind w:left="340"/>
              <w:spacing w:after="0" w:line="196" w:lineRule="exact"/>
              <w:rPr>
                <w:rFonts w:ascii="Arial" w:cs="Arial" w:eastAsia="Arial" w:hAnsi="Arial"/>
                <w:sz w:val="18"/>
                <w:szCs w:val="18"/>
                <w:color w:val="0000EE"/>
                <w:w w:val="86"/>
              </w:rPr>
            </w:pPr>
            <w:hyperlink r:id="rId83">
              <w:r>
                <w:rPr>
                  <w:rFonts w:ascii="Arial" w:cs="Arial" w:eastAsia="Arial" w:hAnsi="Arial"/>
                  <w:sz w:val="18"/>
                  <w:szCs w:val="18"/>
                  <w:color w:val="0000EE"/>
                  <w:w w:val="86"/>
                </w:rPr>
                <w:t>2019).</w:t>
              </w:r>
            </w:hyperlink>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7"/>
                <w:szCs w:val="17"/>
                <w:color w:val="auto"/>
              </w:rPr>
            </w:pPr>
          </w:p>
        </w:tc>
        <w:tc>
          <w:tcPr>
            <w:tcW w:w="78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Amended and Restated Certificate of Incorporation of the Company (incorporated by reference to Exhibit 3.1</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to the Company’s Current Report on Form 8-K filed October 1, 2012).</w:t>
              </w:r>
            </w:hyperlink>
          </w:p>
        </w:tc>
        <w:tc>
          <w:tcPr>
            <w:tcW w:w="2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77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Bylaws of the Company (incorporated by reference to Exhibit 3.2 to the Company’s</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Current Report on Form 8-K filed October 1, 2012).</w:t>
              </w:r>
            </w:hyperlink>
          </w:p>
        </w:tc>
        <w:tc>
          <w:tcPr>
            <w:tcW w:w="4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7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Specimen of Common Stock certificate of the Company (incorporated by reference to Exhibit 4.1 to the</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Company’s Current Report on Form 8-K filed September 24,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 w:type="dxa"/>
            <w:vAlign w:val="bottom"/>
            <w:gridSpan w:val="2"/>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7960" w:type="dxa"/>
            <w:vAlign w:val="bottom"/>
            <w:gridSpan w:val="31"/>
          </w:tcPr>
          <w:p>
            <w:pPr>
              <w:spacing w:after="0"/>
              <w:rPr>
                <w:sz w:val="20"/>
                <w:szCs w:val="20"/>
                <w:color w:val="auto"/>
              </w:rPr>
            </w:pPr>
            <w:r>
              <w:rPr>
                <w:rFonts w:ascii="Arial" w:cs="Arial" w:eastAsia="Arial" w:hAnsi="Arial"/>
                <w:sz w:val="18"/>
                <w:szCs w:val="18"/>
                <w:color w:val="auto"/>
                <w:w w:val="92"/>
              </w:rPr>
              <w:t>Reference is made to Exhibits 3.1 and 3.2 hereof for instruments defining the rights of common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60" w:type="dxa"/>
            <w:vAlign w:val="bottom"/>
            <w:gridSpan w:val="31"/>
          </w:tcPr>
          <w:p>
            <w:pPr>
              <w:spacing w:after="0"/>
              <w:rPr>
                <w:sz w:val="20"/>
                <w:szCs w:val="20"/>
                <w:color w:val="auto"/>
              </w:rPr>
            </w:pPr>
            <w:r>
              <w:rPr>
                <w:rFonts w:ascii="Arial" w:cs="Arial" w:eastAsia="Arial" w:hAnsi="Arial"/>
                <w:sz w:val="18"/>
                <w:szCs w:val="18"/>
                <w:color w:val="auto"/>
              </w:rPr>
              <w:t>of the Company.</w:t>
            </w:r>
          </w:p>
        </w:tc>
        <w:tc>
          <w:tcPr>
            <w:tcW w:w="0" w:type="dxa"/>
            <w:vAlign w:val="bottom"/>
          </w:tcPr>
          <w:p>
            <w:pPr>
              <w:spacing w:after="0"/>
              <w:rPr>
                <w:sz w:val="1"/>
                <w:szCs w:val="1"/>
                <w:color w:val="auto"/>
              </w:rPr>
            </w:pPr>
          </w:p>
        </w:tc>
      </w:tr>
      <w:tr>
        <w:trPr>
          <w:trHeight w:val="190"/>
        </w:trPr>
        <w:tc>
          <w:tcPr>
            <w:tcW w:w="740" w:type="dxa"/>
            <w:vAlign w:val="bottom"/>
            <w:gridSpan w:val="2"/>
          </w:tcPr>
          <w:p>
            <w:pPr>
              <w:spacing w:after="0" w:line="190" w:lineRule="exact"/>
              <w:rPr>
                <w:sz w:val="20"/>
                <w:szCs w:val="20"/>
                <w:color w:val="auto"/>
              </w:rPr>
            </w:pPr>
            <w:r>
              <w:rPr>
                <w:rFonts w:ascii="Arial" w:cs="Arial" w:eastAsia="Arial" w:hAnsi="Arial"/>
                <w:sz w:val="18"/>
                <w:szCs w:val="18"/>
                <w:color w:val="auto"/>
              </w:rPr>
              <w:t>4.3*</w:t>
            </w:r>
          </w:p>
        </w:tc>
        <w:tc>
          <w:tcPr>
            <w:tcW w:w="360" w:type="dxa"/>
            <w:vAlign w:val="bottom"/>
          </w:tcPr>
          <w:p>
            <w:pPr>
              <w:spacing w:after="0"/>
              <w:rPr>
                <w:sz w:val="16"/>
                <w:szCs w:val="16"/>
                <w:color w:val="auto"/>
              </w:rPr>
            </w:pPr>
          </w:p>
        </w:tc>
        <w:tc>
          <w:tcPr>
            <w:tcW w:w="1820" w:type="dxa"/>
            <w:vAlign w:val="bottom"/>
            <w:tcBorders>
              <w:bottom w:val="single" w:sz="8" w:color="0000EE"/>
            </w:tcBorders>
            <w:gridSpan w:val="4"/>
          </w:tcPr>
          <w:p>
            <w:pPr>
              <w:spacing w:after="0" w:line="190"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Description of Securities.</w:t>
              </w:r>
            </w:hyperlink>
          </w:p>
        </w:tc>
        <w:tc>
          <w:tcPr>
            <w:tcW w:w="614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77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Indenture, dated as of April 14, 2015, among RHP Hotel Properties, LP, RHP Finance Corporation, Ryman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Hospitality Properties, Inc., each of the guarantors named therein and U.S. Bank National Association,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trustee, relating to the 5.00% Senior Notes due 2023 (incorporated by reference to Exhibit 4.1 to the</w:t>
              </w:r>
            </w:hyperlink>
          </w:p>
        </w:tc>
        <w:tc>
          <w:tcPr>
            <w:tcW w:w="380" w:type="dxa"/>
            <w:vAlign w:val="bottom"/>
            <w:tcBorders>
              <w:top w:val="single" w:sz="8" w:color="0000EE"/>
            </w:tcBorders>
            <w:gridSpan w:val="6"/>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Company’s Current Report on Form 8-K filed April 14, 2015).</w:t>
              </w:r>
            </w:hyperlink>
          </w:p>
        </w:tc>
        <w:tc>
          <w:tcPr>
            <w:tcW w:w="34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76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Form of 5.00% Senior Note due 2023 (incorporated by reference to Exhibit 4.2 to the Company’s Current</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Report on Form 8-K filed April 14, 2015).</w:t>
              </w:r>
            </w:hyperlink>
          </w:p>
        </w:tc>
        <w:tc>
          <w:tcPr>
            <w:tcW w:w="49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4.6</w:t>
            </w:r>
          </w:p>
        </w:tc>
        <w:tc>
          <w:tcPr>
            <w:tcW w:w="360" w:type="dxa"/>
            <w:vAlign w:val="bottom"/>
          </w:tcPr>
          <w:p>
            <w:pPr>
              <w:spacing w:after="0"/>
              <w:rPr>
                <w:sz w:val="17"/>
                <w:szCs w:val="17"/>
                <w:color w:val="auto"/>
              </w:rPr>
            </w:pPr>
          </w:p>
        </w:tc>
        <w:tc>
          <w:tcPr>
            <w:tcW w:w="78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Indenture, dated as of September 19, 2019, among RHP Hotel Properties, LP and RHP Finance Corporation,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as the issuers, Ryman Hospitality Properties, Inc., as a guarantor, each of the subsidiary guarantors named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therein and U.S. Bank National Association, as trustee, relating to the 4.750% Senior Notes due 2027</w:t>
              </w:r>
            </w:hyperlink>
          </w:p>
        </w:tc>
        <w:tc>
          <w:tcPr>
            <w:tcW w:w="320" w:type="dxa"/>
            <w:vAlign w:val="bottom"/>
            <w:tcBorders>
              <w:top w:val="single" w:sz="8" w:color="0000EE"/>
            </w:tcBorders>
            <w:gridSpan w:val="7"/>
          </w:tcPr>
          <w:p>
            <w:pPr>
              <w:spacing w:after="0"/>
              <w:rPr>
                <w:sz w:val="17"/>
                <w:szCs w:val="17"/>
                <w:color w:val="auto"/>
              </w:rPr>
            </w:pPr>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(incorporated by reference to Exhibit 4.1 to the Company’s Current Report on Form 8-K filed September 19,</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3"/>
          </w:tcPr>
          <w:p>
            <w:pPr>
              <w:ind w:left="340"/>
              <w:spacing w:after="0" w:line="196" w:lineRule="exact"/>
              <w:rPr>
                <w:rFonts w:ascii="Arial" w:cs="Arial" w:eastAsia="Arial" w:hAnsi="Arial"/>
                <w:sz w:val="18"/>
                <w:szCs w:val="18"/>
                <w:color w:val="0000EE"/>
                <w:w w:val="86"/>
              </w:rPr>
            </w:pPr>
            <w:hyperlink r:id="rId88">
              <w:r>
                <w:rPr>
                  <w:rFonts w:ascii="Arial" w:cs="Arial" w:eastAsia="Arial" w:hAnsi="Arial"/>
                  <w:sz w:val="18"/>
                  <w:szCs w:val="18"/>
                  <w:color w:val="0000EE"/>
                  <w:w w:val="86"/>
                </w:rPr>
                <w:t>2019).</w:t>
              </w:r>
            </w:hyperlink>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4.7</w:t>
            </w:r>
          </w:p>
        </w:tc>
        <w:tc>
          <w:tcPr>
            <w:tcW w:w="360" w:type="dxa"/>
            <w:vAlign w:val="bottom"/>
          </w:tcPr>
          <w:p>
            <w:pPr>
              <w:spacing w:after="0"/>
              <w:rPr>
                <w:sz w:val="17"/>
                <w:szCs w:val="17"/>
                <w:color w:val="auto"/>
              </w:rPr>
            </w:pPr>
          </w:p>
        </w:tc>
        <w:tc>
          <w:tcPr>
            <w:tcW w:w="76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Form of 4.750% Senior Note due 2027 (incorporated by reference to Exhibit 4.2 to the Company’s Current</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Report on Form 8-K filed September 19, 2019).</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4.8</w:t>
            </w: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Registration Rights Agreement, dated as of September 19, 2019, among RHP Properties, LP, RHP Finance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7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Corporation, Ryman Hospitality Properties, Inc., each of the guarantors named therein, and Deutsche Bank</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6"/>
              </w:rPr>
            </w:pPr>
            <w:hyperlink r:id="rId89">
              <w:r>
                <w:rPr>
                  <w:rFonts w:ascii="Arial" w:cs="Arial" w:eastAsia="Arial" w:hAnsi="Arial"/>
                  <w:sz w:val="18"/>
                  <w:szCs w:val="18"/>
                  <w:color w:val="0000EE"/>
                  <w:w w:val="96"/>
                </w:rPr>
                <w:t>Securities Inc. as representative of the initial purchasers (incorporated by reference to Exhibit 4.3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Company’s Current Report on Form 8-K filed September 19, 2019).</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4.9</w:t>
            </w: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Supplemental Indenture No. 1, dated as of October 8, 2019, by and among RHP Hotel Properties, LP,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RHP Finance Corporation, as the issuers, Ryman Hospitality Properties, Inc., as a guarantor, each of the</w:t>
              </w:r>
            </w:hyperlink>
          </w:p>
        </w:tc>
        <w:tc>
          <w:tcPr>
            <w:tcW w:w="120" w:type="dxa"/>
            <w:vAlign w:val="bottom"/>
            <w:tcBorders>
              <w:top w:val="single" w:sz="8" w:color="0000EE"/>
            </w:tcBorders>
            <w:gridSpan w:val="3"/>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subsidiary guarantors named therein and U.S. Bank National Association, as trustee, relating to the 4.750%</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Senior Notes due 2027 (incorporated by reference to Exhibit 4.3 to the Company’s Current Report on Form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K filed October 8, 2019).</w:t>
              </w:r>
            </w:hyperlink>
          </w:p>
        </w:tc>
        <w:tc>
          <w:tcPr>
            <w:tcW w:w="6100" w:type="dxa"/>
            <w:vAlign w:val="bottom"/>
            <w:tcBorders>
              <w:top w:val="single" w:sz="8" w:color="0000EE"/>
            </w:tcBorders>
            <w:gridSpan w:val="2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spacing w:after="0" w:line="196" w:lineRule="exact"/>
              <w:rPr>
                <w:sz w:val="20"/>
                <w:szCs w:val="20"/>
                <w:color w:val="auto"/>
              </w:rPr>
            </w:pPr>
            <w:r>
              <w:rPr>
                <w:rFonts w:ascii="Arial" w:cs="Arial" w:eastAsia="Arial" w:hAnsi="Arial"/>
                <w:sz w:val="18"/>
                <w:szCs w:val="18"/>
                <w:color w:val="auto"/>
              </w:rPr>
              <w:t>4.10</w:t>
            </w: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6"/>
              </w:rPr>
            </w:pPr>
            <w:hyperlink r:id="rId91">
              <w:r>
                <w:rPr>
                  <w:rFonts w:ascii="Arial" w:cs="Arial" w:eastAsia="Arial" w:hAnsi="Arial"/>
                  <w:sz w:val="18"/>
                  <w:szCs w:val="18"/>
                  <w:color w:val="0000EE"/>
                  <w:w w:val="96"/>
                </w:rPr>
                <w:t>Registration Rights Agreement, dated as of October 8, 2019, among RHP Properties, LP, RHP Finance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600" w:type="dxa"/>
            <w:vAlign w:val="bottom"/>
            <w:gridSpan w:val="9"/>
            <w:shd w:val="clear" w:color="auto" w:fill="0000EE"/>
          </w:tcPr>
          <w:p>
            <w:pPr>
              <w:spacing w:after="0" w:line="20" w:lineRule="exact"/>
              <w:rPr>
                <w:sz w:val="1"/>
                <w:szCs w:val="1"/>
                <w:color w:val="auto"/>
              </w:rPr>
            </w:pPr>
          </w:p>
        </w:tc>
        <w:tc>
          <w:tcPr>
            <w:tcW w:w="2780" w:type="dxa"/>
            <w:vAlign w:val="bottom"/>
            <w:gridSpan w:val="6"/>
            <w:shd w:val="clear" w:color="auto" w:fill="0000EE"/>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Corporation, Ryman Hospitality Properties, Inc., each of the guarantors named therein, and Deutsche Bank</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60" w:type="dxa"/>
            <w:vAlign w:val="bottom"/>
            <w:gridSpan w:val="31"/>
          </w:tcPr>
          <w:p>
            <w:pPr>
              <w:spacing w:after="0" w:line="196" w:lineRule="exact"/>
              <w:rPr>
                <w:rFonts w:ascii="Arial" w:cs="Arial" w:eastAsia="Arial" w:hAnsi="Arial"/>
                <w:sz w:val="18"/>
                <w:szCs w:val="18"/>
                <w:color w:val="0000EE"/>
                <w:w w:val="96"/>
              </w:rPr>
            </w:pPr>
            <w:hyperlink r:id="rId91">
              <w:r>
                <w:rPr>
                  <w:rFonts w:ascii="Arial" w:cs="Arial" w:eastAsia="Arial" w:hAnsi="Arial"/>
                  <w:sz w:val="18"/>
                  <w:szCs w:val="18"/>
                  <w:color w:val="0000EE"/>
                  <w:w w:val="96"/>
                </w:rPr>
                <w:t>Securities Inc. as representative of the initial purchasers (incorporated by reference to Exhibit 4.4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Company’s Current Report on Form 8-K filed October 8, 2019).</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tcBorders>
              <w:top w:val="single" w:sz="8" w:color="0000EE"/>
            </w:tcBorders>
            <w:gridSpan w:val="7"/>
          </w:tcPr>
          <w:p>
            <w:pPr>
              <w:jc w:val="right"/>
              <w:ind w:right="148"/>
              <w:spacing w:after="0"/>
              <w:rPr>
                <w:sz w:val="20"/>
                <w:szCs w:val="20"/>
                <w:color w:val="auto"/>
              </w:rPr>
            </w:pPr>
            <w:r>
              <w:rPr>
                <w:rFonts w:ascii="Arial" w:cs="Arial" w:eastAsia="Arial" w:hAnsi="Arial"/>
                <w:sz w:val="18"/>
                <w:szCs w:val="18"/>
                <w:color w:val="auto"/>
              </w:rPr>
              <w:t>68</w:t>
            </w: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7540" w:type="dxa"/>
            <w:vAlign w:val="bottom"/>
            <w:tcBorders>
              <w:bottom w:val="single" w:sz="8" w:color="0000EE"/>
            </w:tcBorders>
            <w:gridSpan w:val="22"/>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Sixth Amended and Restated Credit Agreement dated as of October 31, 2019, among Ryman Hospitality</w:t>
              </w:r>
            </w:hyperlink>
          </w:p>
        </w:tc>
        <w:tc>
          <w:tcPr>
            <w:tcW w:w="44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Properties, Inc., as a guarantor, RHP Hotel Properties, LP, as borrower, certain other subsidiaries of Ryman</w:t>
              </w:r>
            </w:hyperlink>
          </w:p>
        </w:tc>
      </w:tr>
      <w:tr>
        <w:trPr>
          <w:trHeight w:val="20"/>
        </w:trPr>
        <w:tc>
          <w:tcPr>
            <w:tcW w:w="10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Hospitality Properties, Inc. party thereto, as guarantors, certain subsidiaries of Ryman Hospitality Properties,</w:t>
              </w:r>
            </w:hyperlink>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Inc. party thereto, as pledgors, the lenders party thereto and Wells Fargo Bank National Association, as</w:t>
              </w:r>
            </w:hyperlink>
          </w:p>
        </w:tc>
        <w:tc>
          <w:tcPr>
            <w:tcW w:w="54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administrative agent (incorporated by reference to Exhibit 10.1 to the Company’s Current Report on Form 8-K</w:t>
              </w:r>
            </w:hyperlink>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filed November 1, 2019).</w:t>
              </w:r>
            </w:hyperlink>
          </w:p>
        </w:tc>
      </w:tr>
      <w:tr>
        <w:trPr>
          <w:trHeight w:val="20"/>
        </w:trPr>
        <w:tc>
          <w:tcPr>
            <w:tcW w:w="10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796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Opryland Hotel-Florida Ground Lease, dated as of March 3, 1999, by and between Xentury City Development</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7"/>
              </w:rPr>
            </w:pPr>
            <w:hyperlink r:id="rId93">
              <w:r>
                <w:rPr>
                  <w:rFonts w:ascii="Arial" w:cs="Arial" w:eastAsia="Arial" w:hAnsi="Arial"/>
                  <w:sz w:val="18"/>
                  <w:szCs w:val="18"/>
                  <w:color w:val="0000EE"/>
                  <w:w w:val="97"/>
                </w:rPr>
                <w:t>Company, L.L.C., and Opryland Hotel-Florida Limited Partnership (incorporated by reference to Exhibit</w:t>
              </w:r>
            </w:hyperlink>
          </w:p>
        </w:tc>
      </w:tr>
      <w:tr>
        <w:trPr>
          <w:trHeight w:val="196"/>
        </w:trPr>
        <w:tc>
          <w:tcPr>
            <w:tcW w:w="1080" w:type="dxa"/>
            <w:vAlign w:val="bottom"/>
          </w:tcPr>
          <w:p>
            <w:pPr>
              <w:spacing w:after="0"/>
              <w:rPr>
                <w:sz w:val="17"/>
                <w:szCs w:val="17"/>
                <w:color w:val="auto"/>
              </w:rPr>
            </w:pPr>
          </w:p>
        </w:tc>
        <w:tc>
          <w:tcPr>
            <w:tcW w:w="7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the Company’s Annual Report on Form 10-K for the year ended December 31, 1999).</w:t>
              </w:r>
            </w:hyperlink>
          </w:p>
        </w:tc>
        <w:tc>
          <w:tcPr>
            <w:tcW w:w="440" w:type="dxa"/>
            <w:vAlign w:val="bottom"/>
            <w:gridSpan w:val="1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73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Hotel/ Convention Center Sublease Agreement, dated as of May 16, 2000, by and between the City of</w:t>
              </w:r>
            </w:hyperlink>
          </w:p>
        </w:tc>
        <w:tc>
          <w:tcPr>
            <w:tcW w:w="64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Grapevine, Texas and Opryland Hotel-Texas Limited Partnership (incorporated by reference to Exhibit 10.21</w:t>
              </w:r>
            </w:hyperlink>
          </w:p>
        </w:tc>
        <w:tc>
          <w:tcPr>
            <w:tcW w:w="10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to the Company’s Annual Report on Form 10-K for the year ended December 31, 2002).</w:t>
              </w:r>
            </w:hyperlink>
          </w:p>
        </w:tc>
      </w:tr>
      <w:tr>
        <w:trPr>
          <w:trHeight w:val="20"/>
        </w:trPr>
        <w:tc>
          <w:tcPr>
            <w:tcW w:w="10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74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Sublease Addendum Number 1, dated July 28, 2000, by and between the City of Grapevine, Texas and</w:t>
              </w:r>
            </w:hyperlink>
          </w:p>
        </w:tc>
        <w:tc>
          <w:tcPr>
            <w:tcW w:w="56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Opryland Hotel-Texas Limited Partnership (incorporated by reference to Exhibit 10.22 to the Company’s</w:t>
              </w:r>
            </w:hyperlink>
          </w:p>
        </w:tc>
        <w:tc>
          <w:tcPr>
            <w:tcW w:w="40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Annual Report on Form 10-K for the year ended December 31, 2002).</w:t>
              </w:r>
            </w:hyperlink>
          </w:p>
        </w:tc>
        <w:tc>
          <w:tcPr>
            <w:tcW w:w="2920" w:type="dxa"/>
            <w:vAlign w:val="bottom"/>
            <w:gridSpan w:val="29"/>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79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First Amended and Restated Agreement of Limited Partnership of RHP Hotel Properties, LP, dated December</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31, 2018 (incorporated by reference to Exhibit 10.1 to the Company’s Current Report on Form 8-K filed</w:t>
              </w:r>
            </w:hyperlink>
          </w:p>
        </w:tc>
      </w:tr>
      <w:tr>
        <w:trPr>
          <w:trHeight w:val="196"/>
        </w:trPr>
        <w:tc>
          <w:tcPr>
            <w:tcW w:w="1080" w:type="dxa"/>
            <w:vAlign w:val="bottom"/>
          </w:tcPr>
          <w:p>
            <w:pPr>
              <w:spacing w:after="0"/>
              <w:rPr>
                <w:sz w:val="17"/>
                <w:szCs w:val="17"/>
                <w:color w:val="auto"/>
              </w:rPr>
            </w:pPr>
          </w:p>
        </w:tc>
        <w:tc>
          <w:tcPr>
            <w:tcW w:w="75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January 7, 2019.</w:t>
              </w:r>
            </w:hyperlink>
          </w:p>
        </w:tc>
        <w:tc>
          <w:tcPr>
            <w:tcW w:w="480" w:type="dxa"/>
            <w:vAlign w:val="bottom"/>
            <w:gridSpan w:val="17"/>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77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Second Amended and Restated Loan Agreement entered into as of July 2, 2019, among Aurora Convention</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Center Hotel, LLC, Aurora Convention Center Hotel Lessee, LLC, Wells Fargo Bank, National Association,</w:t>
              </w:r>
            </w:hyperlink>
          </w:p>
        </w:tc>
      </w:tr>
      <w:tr>
        <w:trPr>
          <w:trHeight w:val="196"/>
        </w:trPr>
        <w:tc>
          <w:tcPr>
            <w:tcW w:w="10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as administrative agent, and the financial institutions from time to time party thereto (incorporated by</w:t>
              </w:r>
            </w:hyperlink>
          </w:p>
        </w:tc>
        <w:tc>
          <w:tcPr>
            <w:tcW w:w="500" w:type="dxa"/>
            <w:vAlign w:val="bottom"/>
            <w:tcBorders>
              <w:top w:val="single" w:sz="8" w:color="0000EE"/>
            </w:tcBorders>
            <w:gridSpan w:val="14"/>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10.1 to the Company’s Current Report on Form 8-K filed July 5, 2019).</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7980" w:type="dxa"/>
            <w:vAlign w:val="bottom"/>
            <w:gridSpan w:val="37"/>
          </w:tcPr>
          <w:p>
            <w:pPr>
              <w:spacing w:after="0"/>
              <w:rPr>
                <w:sz w:val="20"/>
                <w:szCs w:val="20"/>
                <w:color w:val="auto"/>
              </w:rPr>
            </w:pPr>
            <w:r>
              <w:rPr>
                <w:rFonts w:ascii="Arial" w:cs="Arial" w:eastAsia="Arial" w:hAnsi="Arial"/>
                <w:sz w:val="18"/>
                <w:szCs w:val="18"/>
                <w:color w:val="auto"/>
                <w:w w:val="95"/>
              </w:rPr>
              <w:t>The Opryland USA Inc. Supplemental Deferred Compensation Plan (incorporated by reference to Exhibit</w:t>
            </w:r>
          </w:p>
        </w:tc>
      </w:tr>
      <w:tr>
        <w:trPr>
          <w:trHeight w:val="216"/>
        </w:trPr>
        <w:tc>
          <w:tcPr>
            <w:tcW w:w="1080" w:type="dxa"/>
            <w:vAlign w:val="bottom"/>
          </w:tcPr>
          <w:p>
            <w:pPr>
              <w:spacing w:after="0"/>
              <w:rPr>
                <w:sz w:val="18"/>
                <w:szCs w:val="18"/>
                <w:color w:val="auto"/>
              </w:rPr>
            </w:pPr>
          </w:p>
        </w:tc>
        <w:tc>
          <w:tcPr>
            <w:tcW w:w="7980" w:type="dxa"/>
            <w:vAlign w:val="bottom"/>
            <w:gridSpan w:val="37"/>
          </w:tcPr>
          <w:p>
            <w:pPr>
              <w:spacing w:after="0"/>
              <w:rPr>
                <w:sz w:val="20"/>
                <w:szCs w:val="20"/>
                <w:color w:val="auto"/>
              </w:rPr>
            </w:pPr>
            <w:r>
              <w:rPr>
                <w:rFonts w:ascii="Arial" w:cs="Arial" w:eastAsia="Arial" w:hAnsi="Arial"/>
                <w:sz w:val="18"/>
                <w:szCs w:val="18"/>
                <w:color w:val="auto"/>
              </w:rPr>
              <w:t>10.11 to the former Gaylord Entertainment Company’s Registration Statement on Form S-1).</w:t>
            </w: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7980" w:type="dxa"/>
            <w:vAlign w:val="bottom"/>
            <w:gridSpan w:val="37"/>
          </w:tcPr>
          <w:p>
            <w:pPr>
              <w:spacing w:after="0" w:line="190"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Gaylord Entertainment Company Retirement Benefit Restoration Plan (incorporated by reference to Exhibit</w:t>
              </w:r>
            </w:hyperlink>
          </w:p>
        </w:tc>
      </w:tr>
      <w:tr>
        <w:trPr>
          <w:trHeight w:val="196"/>
        </w:trPr>
        <w:tc>
          <w:tcPr>
            <w:tcW w:w="108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19</w:t>
              </w:r>
              <w:r>
                <w:rPr>
                  <w:rFonts w:ascii="Arial" w:cs="Arial" w:eastAsia="Arial" w:hAnsi="Arial"/>
                  <w:sz w:val="18"/>
                  <w:szCs w:val="18"/>
                  <w:color w:val="0000EE"/>
                  <w:w w:val="90"/>
                </w:rPr>
                <w:t xml:space="preserve"> to the Company’s Annual Report on Form 10-K for the year ended December 31, 2000).</w:t>
              </w:r>
            </w:hyperlink>
          </w:p>
        </w:tc>
        <w:tc>
          <w:tcPr>
            <w:tcW w:w="940" w:type="dxa"/>
            <w:vAlign w:val="bottom"/>
            <w:tcBorders>
              <w:top w:val="single" w:sz="8" w:color="0000EE"/>
            </w:tcBorders>
            <w:gridSpan w:val="16"/>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70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Executive Employment Agreement of Colin V. Reed, dated February 25, 2008, with the Company</w:t>
              </w:r>
            </w:hyperlink>
          </w:p>
        </w:tc>
        <w:tc>
          <w:tcPr>
            <w:tcW w:w="920" w:type="dxa"/>
            <w:vAlign w:val="bottom"/>
            <w:gridSpan w:val="2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(incorporated by reference to Exhibit 10.1 to the Company’s Current Report on Form 8-K filed with the SEC</w:t>
              </w:r>
            </w:hyperlink>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on February 27, 2008).</w:t>
              </w:r>
            </w:hyperlink>
          </w:p>
        </w:tc>
        <w:tc>
          <w:tcPr>
            <w:tcW w:w="6320" w:type="dxa"/>
            <w:vAlign w:val="bottom"/>
            <w:gridSpan w:val="3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77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First Amendment to Executive Employment Agreement of Colin V. Reed, dated December 18, 2008, with</w:t>
              </w:r>
            </w:hyperlink>
          </w:p>
        </w:tc>
        <w:tc>
          <w:tcPr>
            <w:tcW w:w="28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6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Company (incorporated by reference to Exhibit 10.3 of the Company’s Current Report on Form 8-K filed with</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 SEC on December 23, 2008).</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760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Second Amendment to Executive Employment Agreement, dated September 3, 2010, by and between the</w:t>
              </w:r>
            </w:hyperlink>
          </w:p>
        </w:tc>
        <w:tc>
          <w:tcPr>
            <w:tcW w:w="3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Company and Colin V. Reed (incorporated by reference to Exhibit 10.2 to the Company’s Quarterly Report on</w:t>
              </w:r>
            </w:hyperlink>
          </w:p>
        </w:tc>
      </w:tr>
      <w:tr>
        <w:trPr>
          <w:trHeight w:val="196"/>
        </w:trPr>
        <w:tc>
          <w:tcPr>
            <w:tcW w:w="1080" w:type="dxa"/>
            <w:vAlign w:val="bottom"/>
          </w:tcPr>
          <w:p>
            <w:pPr>
              <w:spacing w:after="0"/>
              <w:rPr>
                <w:sz w:val="17"/>
                <w:szCs w:val="17"/>
                <w:color w:val="auto"/>
              </w:rPr>
            </w:pPr>
          </w:p>
        </w:tc>
        <w:tc>
          <w:tcPr>
            <w:tcW w:w="79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Form 10-Q for the quarter ended September 30, 2010).</w:t>
              </w:r>
            </w:hyperlink>
          </w:p>
        </w:tc>
        <w:tc>
          <w:tcPr>
            <w:tcW w:w="4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7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Third Amendment to Executive Employment Agreement, dated as of November 5, 2012, by and between the</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Company and Colin V. Reed (incorporated by reference to Exhibit 10.5 to the Company’s Quarterly Report on</w:t>
              </w:r>
            </w:hyperlink>
          </w:p>
        </w:tc>
      </w:tr>
      <w:tr>
        <w:trPr>
          <w:trHeight w:val="196"/>
        </w:trPr>
        <w:tc>
          <w:tcPr>
            <w:tcW w:w="1080" w:type="dxa"/>
            <w:vAlign w:val="bottom"/>
          </w:tcPr>
          <w:p>
            <w:pPr>
              <w:spacing w:after="0"/>
              <w:rPr>
                <w:sz w:val="17"/>
                <w:szCs w:val="17"/>
                <w:color w:val="auto"/>
              </w:rPr>
            </w:pPr>
          </w:p>
        </w:tc>
        <w:tc>
          <w:tcPr>
            <w:tcW w:w="79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Form 10-Q for the quarter ended September 30, 2012).</w:t>
              </w:r>
            </w:hyperlink>
          </w:p>
        </w:tc>
        <w:tc>
          <w:tcPr>
            <w:tcW w:w="4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75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Indemnification Agreement, dated as of April 23, 2001, by and between the Company and Colin V. Reed</w:t>
              </w:r>
            </w:hyperlink>
          </w:p>
        </w:tc>
        <w:tc>
          <w:tcPr>
            <w:tcW w:w="42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(incorporated by reference to Exhibit 10.30 to the Company’s Annual Report on Form 10-K for the year ended</w:t>
              </w:r>
            </w:hyperlink>
          </w:p>
        </w:tc>
      </w:tr>
      <w:tr>
        <w:trPr>
          <w:trHeight w:val="196"/>
        </w:trPr>
        <w:tc>
          <w:tcPr>
            <w:tcW w:w="10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December 31, 2001).</w:t>
              </w:r>
            </w:hyperlink>
          </w:p>
        </w:tc>
        <w:tc>
          <w:tcPr>
            <w:tcW w:w="6440" w:type="dxa"/>
            <w:vAlign w:val="bottom"/>
            <w:tcBorders>
              <w:top w:val="single" w:sz="8" w:color="0000EE"/>
            </w:tcBorders>
            <w:gridSpan w:val="3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7980" w:type="dxa"/>
            <w:vAlign w:val="bottom"/>
            <w:gridSpan w:val="3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Form of Employment Agreement of Mark Fioravanti, dated February 25, 2008, with the Company</w:t>
              </w:r>
            </w:hyperlink>
          </w:p>
        </w:tc>
      </w:tr>
      <w:tr>
        <w:trPr>
          <w:trHeight w:val="20"/>
        </w:trPr>
        <w:tc>
          <w:tcPr>
            <w:tcW w:w="1080" w:type="dxa"/>
            <w:vAlign w:val="bottom"/>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398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10.3 to the Company’s Current Report on Form 8-K filed with the SEC</w:t>
              </w:r>
            </w:hyperlink>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on February 27, 2008).</w:t>
              </w:r>
            </w:hyperlink>
          </w:p>
        </w:tc>
        <w:tc>
          <w:tcPr>
            <w:tcW w:w="6320" w:type="dxa"/>
            <w:vAlign w:val="bottom"/>
            <w:gridSpan w:val="3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7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Form of Amendment No. 1 to Employment Agreement of Mark Fioravanti (incorporated by reference to</w:t>
              </w:r>
            </w:hyperlink>
          </w:p>
        </w:tc>
        <w:tc>
          <w:tcPr>
            <w:tcW w:w="46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Exhibit 10.38 to the Company’s Annual Report on Form 10-K for the year ended December 31, 2009).</w:t>
              </w:r>
            </w:hyperlink>
          </w:p>
        </w:tc>
        <w:tc>
          <w:tcPr>
            <w:tcW w:w="580" w:type="dxa"/>
            <w:vAlign w:val="bottom"/>
            <w:gridSpan w:val="2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7980" w:type="dxa"/>
            <w:vAlign w:val="bottom"/>
            <w:gridSpan w:val="3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Amendment No. 2 to Employment Agreement, dated September 3, 2010, by and between the Company and</w:t>
              </w:r>
            </w:hyperlink>
          </w:p>
        </w:tc>
      </w:tr>
      <w:tr>
        <w:trPr>
          <w:trHeight w:val="20"/>
        </w:trPr>
        <w:tc>
          <w:tcPr>
            <w:tcW w:w="1080" w:type="dxa"/>
            <w:vAlign w:val="bottom"/>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4640" w:type="dxa"/>
            <w:vAlign w:val="bottom"/>
            <w:gridSpan w:val="21"/>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Mark Fioravanti (incorporated by reference to Exhibit 10.5 to the Company’s Quarterly Report on Form 10-Q</w:t>
              </w:r>
            </w:hyperlink>
          </w:p>
        </w:tc>
      </w:tr>
      <w:tr>
        <w:trPr>
          <w:trHeight w:val="196"/>
        </w:trPr>
        <w:tc>
          <w:tcPr>
            <w:tcW w:w="10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for the quarter ended September 30, 2010).</w:t>
              </w:r>
            </w:hyperlink>
          </w:p>
        </w:tc>
        <w:tc>
          <w:tcPr>
            <w:tcW w:w="4800" w:type="dxa"/>
            <w:vAlign w:val="bottom"/>
            <w:tcBorders>
              <w:top w:val="single" w:sz="8" w:color="0000EE"/>
            </w:tcBorders>
            <w:gridSpan w:val="2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669"/>
        </w:trPr>
        <w:tc>
          <w:tcPr>
            <w:tcW w:w="1080" w:type="dxa"/>
            <w:vAlign w:val="bottom"/>
          </w:tcPr>
          <w:p>
            <w:pPr>
              <w:spacing w:after="0"/>
              <w:rPr>
                <w:sz w:val="24"/>
                <w:szCs w:val="24"/>
                <w:color w:val="auto"/>
              </w:rPr>
            </w:pPr>
          </w:p>
        </w:tc>
        <w:tc>
          <w:tcPr>
            <w:tcW w:w="3940" w:type="dxa"/>
            <w:vAlign w:val="bottom"/>
            <w:gridSpan w:val="7"/>
          </w:tcPr>
          <w:p>
            <w:pPr>
              <w:ind w:left="3360"/>
              <w:spacing w:after="0"/>
              <w:rPr>
                <w:sz w:val="20"/>
                <w:szCs w:val="20"/>
                <w:color w:val="auto"/>
              </w:rPr>
            </w:pPr>
            <w:r>
              <w:rPr>
                <w:rFonts w:ascii="Arial" w:cs="Arial" w:eastAsia="Arial" w:hAnsi="Arial"/>
                <w:sz w:val="18"/>
                <w:szCs w:val="18"/>
                <w:color w:val="auto"/>
              </w:rPr>
              <w:t>69</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80" w:right="100" w:hanging="1066"/>
        <w:spacing w:after="0" w:line="256"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07">
        <w:r>
          <w:rPr>
            <w:rFonts w:ascii="Arial" w:cs="Arial" w:eastAsia="Arial" w:hAnsi="Arial"/>
            <w:sz w:val="18"/>
            <w:szCs w:val="18"/>
            <w:u w:val="single" w:color="auto"/>
            <w:color w:val="0000EE"/>
          </w:rPr>
          <w:t>Third Amendment to Executive Employment Agreement dated as of November 5, 2012, by and between the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Company and Mark Fioravanti (incorporated by reference to Exhibit 10.6 to the Company’s Quarterly Report</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on Form 10-Q for the quarter ended September 30, 2012).</w:t>
        </w:r>
      </w:hyperlink>
    </w:p>
    <w:p>
      <w:pPr>
        <w:jc w:val="both"/>
        <w:ind w:left="1080" w:right="2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08">
        <w:r>
          <w:rPr>
            <w:rFonts w:ascii="Arial" w:cs="Arial" w:eastAsia="Arial" w:hAnsi="Arial"/>
            <w:sz w:val="18"/>
            <w:szCs w:val="18"/>
            <w:u w:val="single" w:color="auto"/>
            <w:color w:val="0000EE"/>
          </w:rPr>
          <w:t>Employment Agreement dated as of February 25, 2008 by and between the Company and Bennett Westbrook</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(incorporated by reference to Exhibit 10.45 to the Company’s Annual Report on Form 10-K for the year ended</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December 31, 2012).</w:t>
        </w:r>
      </w:hyperlink>
    </w:p>
    <w:p>
      <w:pPr>
        <w:spacing w:after="0" w:line="1" w:lineRule="exact"/>
        <w:rPr>
          <w:rFonts w:ascii="Arial" w:cs="Arial" w:eastAsia="Arial" w:hAnsi="Arial"/>
          <w:sz w:val="18"/>
          <w:szCs w:val="18"/>
          <w:u w:val="single" w:color="auto"/>
          <w:color w:val="0000EE"/>
        </w:rPr>
      </w:pPr>
    </w:p>
    <w:p>
      <w:pPr>
        <w:ind w:left="1080" w:right="2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09">
        <w:r>
          <w:rPr>
            <w:rFonts w:ascii="Arial" w:cs="Arial" w:eastAsia="Arial" w:hAnsi="Arial"/>
            <w:sz w:val="18"/>
            <w:szCs w:val="18"/>
            <w:u w:val="single" w:color="auto"/>
            <w:color w:val="0000EE"/>
          </w:rPr>
          <w:t>Amendment No. 1 to Employment Agreement dated as of September 3, 2010 by and between Bennett</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Westbrook (incorporated by reference to Exhibit 10.46 to the Company’s Annual Report on Form 10-K for the</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year ended December 31, 2012).</w:t>
        </w:r>
      </w:hyperlink>
    </w:p>
    <w:p>
      <w:pPr>
        <w:spacing w:after="0" w:line="1" w:lineRule="exact"/>
        <w:rPr>
          <w:rFonts w:ascii="Arial" w:cs="Arial" w:eastAsia="Arial" w:hAnsi="Arial"/>
          <w:sz w:val="18"/>
          <w:szCs w:val="18"/>
          <w:u w:val="single" w:color="auto"/>
          <w:color w:val="0000EE"/>
        </w:rPr>
      </w:pPr>
    </w:p>
    <w:p>
      <w:pPr>
        <w:jc w:val="both"/>
        <w:ind w:left="1080" w:right="4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10">
        <w:r>
          <w:rPr>
            <w:rFonts w:ascii="Arial" w:cs="Arial" w:eastAsia="Arial" w:hAnsi="Arial"/>
            <w:sz w:val="18"/>
            <w:szCs w:val="18"/>
            <w:u w:val="single" w:color="auto"/>
            <w:color w:val="0000EE"/>
          </w:rPr>
          <w:t>Second Amendment to Employment Agreement dated as of November 5, 2012 by and between the Company</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and Bennett Westbrook (incorporated by reference to Exhibit 10.47 to the Company’s Annual Report on Form</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10-K for the year December 31, 2012).</w:t>
        </w:r>
      </w:hyperlink>
    </w:p>
    <w:p>
      <w:pPr>
        <w:spacing w:after="0" w:line="1" w:lineRule="exact"/>
        <w:rPr>
          <w:rFonts w:ascii="Arial" w:cs="Arial" w:eastAsia="Arial" w:hAnsi="Arial"/>
          <w:sz w:val="18"/>
          <w:szCs w:val="18"/>
          <w:u w:val="single" w:color="auto"/>
          <w:color w:val="0000EE"/>
        </w:rPr>
      </w:pPr>
    </w:p>
    <w:p>
      <w:pPr>
        <w:ind w:left="1080" w:right="28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11">
        <w:r>
          <w:rPr>
            <w:rFonts w:ascii="Arial" w:cs="Arial" w:eastAsia="Arial" w:hAnsi="Arial"/>
            <w:sz w:val="18"/>
            <w:szCs w:val="18"/>
            <w:u w:val="single" w:color="auto"/>
            <w:color w:val="0000EE"/>
          </w:rPr>
          <w:t>Third Amendment to Employment Agreement dated as of July 1, 2016 by and between the Company and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Bennett Westbrook (incorporated by reference to Exhibit 10.1 to the Company’s Quarterly Report on Form</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10-Q for the quarter ended September 30, 2016).</w:t>
        </w:r>
      </w:hyperlink>
    </w:p>
    <w:p>
      <w:pPr>
        <w:spacing w:after="0" w:line="1" w:lineRule="exact"/>
        <w:rPr>
          <w:rFonts w:ascii="Arial" w:cs="Arial" w:eastAsia="Arial" w:hAnsi="Arial"/>
          <w:sz w:val="18"/>
          <w:szCs w:val="18"/>
          <w:u w:val="single" w:color="auto"/>
          <w:color w:val="0000EE"/>
        </w:rPr>
      </w:pPr>
    </w:p>
    <w:p>
      <w:pPr>
        <w:ind w:left="1080" w:right="8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12">
        <w:r>
          <w:rPr>
            <w:rFonts w:ascii="Arial" w:cs="Arial" w:eastAsia="Arial" w:hAnsi="Arial"/>
            <w:sz w:val="18"/>
            <w:szCs w:val="18"/>
            <w:u w:val="single" w:color="auto"/>
            <w:color w:val="0000EE"/>
          </w:rPr>
          <w:t>Severance Agreement dated as of February 26, 2018 between the Company and Patrick Chaffin (incorporated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by reference to Exhibit 10.21 to the Company’s Annual Report on Form 10-K for the year ended December</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31, 2017).</w:t>
        </w:r>
      </w:hyperlink>
    </w:p>
    <w:p>
      <w:pPr>
        <w:spacing w:after="0" w:line="1" w:lineRule="exact"/>
        <w:rPr>
          <w:rFonts w:ascii="Arial" w:cs="Arial" w:eastAsia="Arial" w:hAnsi="Arial"/>
          <w:sz w:val="18"/>
          <w:szCs w:val="18"/>
          <w:u w:val="single" w:color="auto"/>
          <w:color w:val="0000EE"/>
        </w:rPr>
      </w:pPr>
    </w:p>
    <w:p>
      <w:pPr>
        <w:jc w:val="both"/>
        <w:ind w:left="1080" w:right="18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13">
        <w:r>
          <w:rPr>
            <w:rFonts w:ascii="Arial" w:cs="Arial" w:eastAsia="Arial" w:hAnsi="Arial"/>
            <w:sz w:val="18"/>
            <w:szCs w:val="18"/>
            <w:u w:val="single" w:color="auto"/>
            <w:color w:val="0000EE"/>
          </w:rPr>
          <w:t>Severance Agreement dated as of February 26, 2018 between the Company and Scott Lynn (incorporated by</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reference to Exhibit 10.22 to the Company’s Annual Report on Form 10-K for the year ended December 31,</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2017).</w:t>
        </w:r>
      </w:hyperlink>
    </w:p>
    <w:p>
      <w:pPr>
        <w:spacing w:after="0" w:line="1" w:lineRule="exact"/>
        <w:rPr>
          <w:rFonts w:ascii="Arial" w:cs="Arial" w:eastAsia="Arial" w:hAnsi="Arial"/>
          <w:sz w:val="18"/>
          <w:szCs w:val="18"/>
          <w:u w:val="single" w:color="auto"/>
          <w:color w:val="0000EE"/>
        </w:rPr>
      </w:pPr>
    </w:p>
    <w:p>
      <w:pPr>
        <w:ind w:left="1080" w:right="2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14">
        <w:r>
          <w:rPr>
            <w:rFonts w:ascii="Arial" w:cs="Arial" w:eastAsia="Arial" w:hAnsi="Arial"/>
            <w:sz w:val="18"/>
            <w:szCs w:val="18"/>
            <w:u w:val="single" w:color="auto"/>
            <w:color w:val="0000EE"/>
          </w:rPr>
          <w:t>Severance Agreement dated as of February 26, 2018 between the Company and Jennifer Hutcheson</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(incorporated by reference to Exhibit 10.23 to the Company’s Annual Report on Form 10-K for the year ended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December 31, 2017).</w:t>
        </w:r>
      </w:hyperlink>
    </w:p>
    <w:p>
      <w:pPr>
        <w:spacing w:after="0" w:line="1" w:lineRule="exact"/>
        <w:rPr>
          <w:rFonts w:ascii="Arial" w:cs="Arial" w:eastAsia="Arial" w:hAnsi="Arial"/>
          <w:sz w:val="18"/>
          <w:szCs w:val="18"/>
          <w:u w:val="single" w:color="auto"/>
          <w:color w:val="0000EE"/>
        </w:rPr>
      </w:pPr>
    </w:p>
    <w:p>
      <w:pPr>
        <w:ind w:left="1080" w:right="2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15">
        <w:r>
          <w:rPr>
            <w:rFonts w:ascii="Arial" w:cs="Arial" w:eastAsia="Arial" w:hAnsi="Arial"/>
            <w:sz w:val="18"/>
            <w:szCs w:val="18"/>
            <w:u w:val="single" w:color="auto"/>
            <w:color w:val="0000EE"/>
          </w:rPr>
          <w:t>Form of Indemnification Agreement between the Company and each of its non-employee directors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(incorporated by reference to Exhibit 10.36 to the Company’s Annual Report on Form 10-K for the year ended</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December 31, 2002).</w:t>
        </w:r>
      </w:hyperlink>
    </w:p>
    <w:p>
      <w:pPr>
        <w:spacing w:after="0" w:line="1" w:lineRule="exact"/>
        <w:rPr>
          <w:rFonts w:ascii="Arial" w:cs="Arial" w:eastAsia="Arial" w:hAnsi="Arial"/>
          <w:sz w:val="18"/>
          <w:szCs w:val="18"/>
          <w:u w:val="single" w:color="auto"/>
          <w:color w:val="0000EE"/>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w:anchor="page134">
        <w:r>
          <w:rPr>
            <w:rFonts w:ascii="Arial" w:cs="Arial" w:eastAsia="Arial" w:hAnsi="Arial"/>
            <w:sz w:val="16"/>
            <w:szCs w:val="16"/>
            <w:u w:val="single" w:color="auto"/>
            <w:color w:val="0000EE"/>
          </w:rPr>
          <w:t>Summary of Director and Executive Officer Compensation.</w:t>
        </w:r>
      </w:hyperlink>
    </w:p>
    <w:p>
      <w:pPr>
        <w:spacing w:after="0" w:line="9" w:lineRule="exact"/>
        <w:rPr>
          <w:rFonts w:ascii="Arial" w:cs="Arial" w:eastAsia="Arial" w:hAnsi="Arial"/>
          <w:sz w:val="18"/>
          <w:szCs w:val="18"/>
          <w:u w:val="single" w:color="auto"/>
          <w:color w:val="0000EE"/>
        </w:rPr>
      </w:pPr>
    </w:p>
    <w:p>
      <w:pPr>
        <w:ind w:left="1080" w:right="44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16">
        <w:r>
          <w:rPr>
            <w:rFonts w:ascii="Arial" w:cs="Arial" w:eastAsia="Arial" w:hAnsi="Arial"/>
            <w:sz w:val="18"/>
            <w:szCs w:val="18"/>
            <w:u w:val="single" w:color="auto"/>
            <w:color w:val="0000EE"/>
          </w:rPr>
          <w:t>Gaylord Entertainment Company Amended and Restated 2006 Omnibus Incentive Plan (incorporated by</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reference to Annex A to the Company’s Definitive Proxy Statement for the 2011 Annual Meeting of</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Stockholders filed with the SEC on April 1, 2011).</w:t>
        </w:r>
      </w:hyperlink>
    </w:p>
    <w:p>
      <w:pPr>
        <w:spacing w:after="0" w:line="1" w:lineRule="exact"/>
        <w:rPr>
          <w:rFonts w:ascii="Arial" w:cs="Arial" w:eastAsia="Arial" w:hAnsi="Arial"/>
          <w:sz w:val="18"/>
          <w:szCs w:val="18"/>
          <w:u w:val="single" w:color="auto"/>
          <w:color w:val="0000EE"/>
        </w:rPr>
      </w:pPr>
    </w:p>
    <w:p>
      <w:pPr>
        <w:jc w:val="both"/>
        <w:ind w:left="1080" w:right="18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17">
        <w:r>
          <w:rPr>
            <w:rFonts w:ascii="Arial" w:cs="Arial" w:eastAsia="Arial" w:hAnsi="Arial"/>
            <w:sz w:val="18"/>
            <w:szCs w:val="18"/>
            <w:u w:val="single" w:color="auto"/>
            <w:color w:val="0000EE"/>
          </w:rPr>
          <w:t>Amendment dated February 10, 2017 to Amended and Restated 2006 Omnibus Incentive Plan (incorporated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by reference to Exhibit 10.30 to the Company’s Annual Report on Form 10-K for the year ended December</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31, 2016).</w:t>
        </w:r>
      </w:hyperlink>
    </w:p>
    <w:p>
      <w:pPr>
        <w:spacing w:after="0" w:line="1" w:lineRule="exact"/>
        <w:rPr>
          <w:rFonts w:ascii="Arial" w:cs="Arial" w:eastAsia="Arial" w:hAnsi="Arial"/>
          <w:sz w:val="18"/>
          <w:szCs w:val="18"/>
          <w:u w:val="single" w:color="auto"/>
          <w:color w:val="0000EE"/>
        </w:rPr>
      </w:pPr>
    </w:p>
    <w:p>
      <w:pPr>
        <w:ind w:left="1080" w:right="420" w:hanging="1066"/>
        <w:spacing w:after="0" w:line="265"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10.29#</w:t>
      </w:r>
      <w:r>
        <w:rPr>
          <w:sz w:val="20"/>
          <w:szCs w:val="20"/>
          <w:color w:val="auto"/>
        </w:rPr>
        <w:tab/>
      </w:r>
      <w:hyperlink r:id="rId118">
        <w:r>
          <w:rPr>
            <w:rFonts w:ascii="Arial" w:cs="Arial" w:eastAsia="Arial" w:hAnsi="Arial"/>
            <w:sz w:val="17"/>
            <w:szCs w:val="17"/>
            <w:u w:val="single" w:color="auto"/>
            <w:color w:val="0000EE"/>
          </w:rPr>
          <w:t>Form of Restricted Share Award Agreement with respect to restricted stock granted pursuant to the</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Company’s 2006 Omnibus Incentive Plan, as amended (incorporated by reference to Exhibit 10.40 to the</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Company’s Annual Report on Form 10-K for the year ended December 31, 2006).</w:t>
        </w:r>
      </w:hyperlink>
    </w:p>
    <w:p>
      <w:pPr>
        <w:spacing w:after="0" w:line="1" w:lineRule="exact"/>
        <w:rPr>
          <w:rFonts w:ascii="Arial" w:cs="Arial" w:eastAsia="Arial" w:hAnsi="Arial"/>
          <w:sz w:val="17"/>
          <w:szCs w:val="17"/>
          <w:u w:val="single" w:color="auto"/>
          <w:color w:val="0000EE"/>
        </w:rPr>
      </w:pPr>
    </w:p>
    <w:p>
      <w:pPr>
        <w:ind w:left="1080" w:right="420" w:hanging="1066"/>
        <w:spacing w:after="0" w:line="265"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19">
        <w:r>
          <w:rPr>
            <w:rFonts w:ascii="Arial" w:cs="Arial" w:eastAsia="Arial" w:hAnsi="Arial"/>
            <w:sz w:val="17"/>
            <w:szCs w:val="17"/>
            <w:u w:val="single" w:color="auto"/>
            <w:color w:val="0000EE"/>
          </w:rPr>
          <w:t>Form of Non-Qualified Stock Option Agreement with respect to stock options granted pursuant to the</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Company’s 2006 Omnibus Incentive Plan, as amended (incorporated by reference to Exhibit 10.41 to the</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Company’s Annual Report on Form 10-K for the year ended December 31, 2006).</w:t>
        </w:r>
      </w:hyperlink>
    </w:p>
    <w:p>
      <w:pPr>
        <w:spacing w:after="0" w:line="1" w:lineRule="exact"/>
        <w:rPr>
          <w:rFonts w:ascii="Arial" w:cs="Arial" w:eastAsia="Arial" w:hAnsi="Arial"/>
          <w:sz w:val="17"/>
          <w:szCs w:val="17"/>
          <w:u w:val="single" w:color="auto"/>
          <w:color w:val="0000EE"/>
        </w:rPr>
      </w:pPr>
    </w:p>
    <w:p>
      <w:pPr>
        <w:ind w:left="1080" w:hanging="1066"/>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20">
        <w:r>
          <w:rPr>
            <w:rFonts w:ascii="Arial" w:cs="Arial" w:eastAsia="Arial" w:hAnsi="Arial"/>
            <w:sz w:val="18"/>
            <w:szCs w:val="18"/>
            <w:u w:val="single" w:color="auto"/>
            <w:color w:val="0000EE"/>
          </w:rPr>
          <w:t>Form of Director Non-Qualified Stock Option Agreement with respect to stock options granted pursuant to the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Company’s 2006 Omnibus Incentive Plan (incorporated by reference to Exhibit 10.42 to the Company’s</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Annual Report on Form 10-K for the year ended December 31, 2006).</w:t>
        </w:r>
      </w:hyperlink>
    </w:p>
    <w:p>
      <w:pPr>
        <w:spacing w:after="0" w:line="1" w:lineRule="exact"/>
        <w:rPr>
          <w:rFonts w:ascii="Arial" w:cs="Arial" w:eastAsia="Arial" w:hAnsi="Arial"/>
          <w:sz w:val="18"/>
          <w:szCs w:val="18"/>
          <w:u w:val="single" w:color="auto"/>
          <w:color w:val="0000EE"/>
        </w:rPr>
      </w:pPr>
    </w:p>
    <w:p>
      <w:pPr>
        <w:ind w:left="1080" w:right="240" w:hanging="1066"/>
        <w:spacing w:after="0" w:line="265"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121">
        <w:r>
          <w:rPr>
            <w:rFonts w:ascii="Arial" w:cs="Arial" w:eastAsia="Arial" w:hAnsi="Arial"/>
            <w:sz w:val="17"/>
            <w:szCs w:val="17"/>
            <w:u w:val="single" w:color="auto"/>
            <w:color w:val="0000EE"/>
          </w:rPr>
          <w:t>Form of Director Restricted Stock Unit Award Agreement with respect to restricted stock units granted</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pursuant to the Company’s 2006 Omnibus Incentive Plan (incorporated by reference to Exhibit 10.43 to the</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Company’s Annual Report on Form 10-K for the year ended December 31, 2006).</w:t>
        </w:r>
      </w:hyperlink>
    </w:p>
    <w:p>
      <w:pPr>
        <w:spacing w:after="0" w:line="1" w:lineRule="exact"/>
        <w:rPr>
          <w:rFonts w:ascii="Arial" w:cs="Arial" w:eastAsia="Arial" w:hAnsi="Arial"/>
          <w:sz w:val="17"/>
          <w:szCs w:val="17"/>
          <w:u w:val="single" w:color="auto"/>
          <w:color w:val="0000EE"/>
        </w:rPr>
      </w:pPr>
    </w:p>
    <w:p>
      <w:pPr>
        <w:ind w:left="1080" w:right="120" w:hanging="1066"/>
        <w:spacing w:after="0" w:line="265"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10.33#</w:t>
      </w:r>
      <w:r>
        <w:rPr>
          <w:sz w:val="20"/>
          <w:szCs w:val="20"/>
          <w:color w:val="auto"/>
        </w:rPr>
        <w:tab/>
      </w:r>
      <w:hyperlink r:id="rId122">
        <w:r>
          <w:rPr>
            <w:rFonts w:ascii="Arial" w:cs="Arial" w:eastAsia="Arial" w:hAnsi="Arial"/>
            <w:sz w:val="17"/>
            <w:szCs w:val="17"/>
            <w:u w:val="single" w:color="auto"/>
            <w:color w:val="0000EE"/>
          </w:rPr>
          <w:t>Form of Restricted Stock Unit Award Agreement with respect to performance-vesting restricted stock units</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granted pursuant to the Company’s 2006 Omnibus Incentive plan (incorporated by reference to Exhibit 10.35</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to the Company’s Annual Report on Form 10-K filed with the SEC on February 28, 2008).</w:t>
        </w:r>
      </w:hyperlink>
    </w:p>
    <w:p>
      <w:pPr>
        <w:spacing w:after="0" w:line="1" w:lineRule="exact"/>
        <w:rPr>
          <w:rFonts w:ascii="Arial" w:cs="Arial" w:eastAsia="Arial" w:hAnsi="Arial"/>
          <w:sz w:val="17"/>
          <w:szCs w:val="17"/>
          <w:u w:val="single" w:color="auto"/>
          <w:color w:val="0000EE"/>
        </w:rPr>
      </w:pPr>
    </w:p>
    <w:p>
      <w:pPr>
        <w:jc w:val="both"/>
        <w:ind w:left="1080" w:right="240" w:hanging="1066"/>
        <w:spacing w:after="0" w:line="277"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10.34#</w:t>
      </w:r>
      <w:r>
        <w:rPr>
          <w:sz w:val="20"/>
          <w:szCs w:val="20"/>
          <w:color w:val="auto"/>
        </w:rPr>
        <w:tab/>
      </w:r>
      <w:hyperlink r:id="rId123">
        <w:r>
          <w:rPr>
            <w:rFonts w:ascii="Arial" w:cs="Arial" w:eastAsia="Arial" w:hAnsi="Arial"/>
            <w:sz w:val="17"/>
            <w:szCs w:val="17"/>
            <w:u w:val="single" w:color="auto"/>
            <w:color w:val="0000EE"/>
          </w:rPr>
          <w:t>Form of Restricted Stock Unit Award Agreement with respect to time-vesting restricted stock units granted</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pursuant to the Company’s 2006 Omnibus Incentive Plan (incorporated by reference to Exhibit 10.52 to the</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Company’s Annual Report on Form 10-K for the year ended December 31, 2009).</w:t>
        </w:r>
      </w:hyperlink>
    </w:p>
    <w:p>
      <w:pPr>
        <w:sectPr>
          <w:pgSz w:w="11900" w:h="16838" w:orient="portrait"/>
          <w:cols w:equalWidth="0" w:num="1">
            <w:col w:w="9060"/>
          </w:cols>
          <w:pgMar w:left="1420" w:top="517" w:right="1419" w:bottom="1440" w:gutter="0" w:footer="0" w:header="0"/>
        </w:sectPr>
      </w:pPr>
    </w:p>
    <w:p>
      <w:pPr>
        <w:spacing w:after="0" w:line="389"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10.35#</w:t>
            </w:r>
          </w:p>
        </w:tc>
        <w:tc>
          <w:tcPr>
            <w:tcW w:w="7960" w:type="dxa"/>
            <w:vAlign w:val="bottom"/>
            <w:gridSpan w:val="29"/>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Form of Restricted Stock Unit Award Agreement with respect to performance-based restricted stock units</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granted pursuant to the Company’s 2006 Omnibus Incentive Plan (incorporated by reference to Exhibit 10.2 to</w:t>
              </w:r>
            </w:hyperlink>
          </w:p>
        </w:tc>
      </w:tr>
      <w:tr>
        <w:trPr>
          <w:trHeight w:val="196"/>
        </w:trPr>
        <w:tc>
          <w:tcPr>
            <w:tcW w:w="108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the Company’s Quarterly Report on Form 10-Q for the quarter ended March 31, 2012).</w:t>
              </w:r>
            </w:hyperlink>
          </w:p>
        </w:tc>
        <w:tc>
          <w:tcPr>
            <w:tcW w:w="1680" w:type="dxa"/>
            <w:vAlign w:val="bottom"/>
            <w:gridSpan w:val="18"/>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7960" w:type="dxa"/>
            <w:vAlign w:val="bottom"/>
            <w:gridSpan w:val="29"/>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Form of 2013 Time-Based Restricted Stock Unit Award Agreement with respect to restricted stock units</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granted pursuant to the Company’s 2006 Omnibus Incentive Plan (incorporated by reference to Exhibit 10.67</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9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to the Company’s Annual Report on Form 10-K for the year December 31, 2012).</w:t>
              </w:r>
            </w:hyperlink>
          </w:p>
        </w:tc>
        <w:tc>
          <w:tcPr>
            <w:tcW w:w="2060" w:type="dxa"/>
            <w:vAlign w:val="bottom"/>
            <w:gridSpan w:val="2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76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Form of 2013 Performance-Based Restricted Stock Unit Award Agreement with respect to restricted stock</w:t>
              </w:r>
            </w:hyperlink>
          </w:p>
        </w:tc>
        <w:tc>
          <w:tcPr>
            <w:tcW w:w="30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units granted pursuant to the Company’s 2006 Omnibus Incentive Plan (incorporated by reference to Exhibit</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68</w:t>
              </w:r>
              <w:r>
                <w:rPr>
                  <w:rFonts w:ascii="Arial" w:cs="Arial" w:eastAsia="Arial" w:hAnsi="Arial"/>
                  <w:sz w:val="18"/>
                  <w:szCs w:val="18"/>
                  <w:color w:val="0000EE"/>
                </w:rPr>
                <w:t xml:space="preserve"> to the Company’s Annual Report on Form 10-K for the year December 31, 2012).</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7960" w:type="dxa"/>
            <w:vAlign w:val="bottom"/>
            <w:gridSpan w:val="29"/>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Form of Director Restricted Stock Unit Award Agreement with respect to restricted stock units granted</w:t>
              </w:r>
            </w:hyperlink>
          </w:p>
        </w:tc>
      </w:tr>
      <w:tr>
        <w:trPr>
          <w:trHeight w:val="196"/>
        </w:trPr>
        <w:tc>
          <w:tcPr>
            <w:tcW w:w="1080" w:type="dxa"/>
            <w:vAlign w:val="bottom"/>
          </w:tcPr>
          <w:p>
            <w:pPr>
              <w:spacing w:after="0"/>
              <w:rPr>
                <w:sz w:val="17"/>
                <w:szCs w:val="17"/>
                <w:color w:val="auto"/>
              </w:rPr>
            </w:pPr>
          </w:p>
        </w:tc>
        <w:tc>
          <w:tcPr>
            <w:tcW w:w="740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pursuant to the Company’s 2006 Omnibus Incentive Plan in lieu of cash retainer fees (incorporated by</w:t>
              </w:r>
            </w:hyperlink>
          </w:p>
        </w:tc>
        <w:tc>
          <w:tcPr>
            <w:tcW w:w="560" w:type="dxa"/>
            <w:vAlign w:val="bottom"/>
            <w:gridSpan w:val="1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reference to Exhibit 10.68 to the Company’s Annual Report on Form 10-K for the year December 31, 2013).</w:t>
              </w:r>
            </w:hyperlink>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10.39#</w:t>
            </w:r>
          </w:p>
        </w:tc>
        <w:tc>
          <w:tcPr>
            <w:tcW w:w="7960" w:type="dxa"/>
            <w:vAlign w:val="bottom"/>
            <w:gridSpan w:val="29"/>
          </w:tcPr>
          <w:p>
            <w:pPr>
              <w:spacing w:after="0" w:line="196" w:lineRule="exact"/>
              <w:rPr>
                <w:rFonts w:ascii="Arial" w:cs="Arial" w:eastAsia="Arial" w:hAnsi="Arial"/>
                <w:sz w:val="18"/>
                <w:szCs w:val="18"/>
                <w:color w:val="0000EE"/>
                <w:w w:val="98"/>
              </w:rPr>
            </w:pPr>
            <w:hyperlink r:id="rId129">
              <w:r>
                <w:rPr>
                  <w:rFonts w:ascii="Arial" w:cs="Arial" w:eastAsia="Arial" w:hAnsi="Arial"/>
                  <w:sz w:val="18"/>
                  <w:szCs w:val="18"/>
                  <w:color w:val="0000EE"/>
                  <w:w w:val="98"/>
                </w:rPr>
                <w:t>Form of Director Restricted Stock Unit Award Agreement with respect to restricted stock units granted</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pursuant to the Company’s 2006 Omnibus Incentive Plan to replace previously deferred cash retainer fees</w:t>
              </w:r>
            </w:hyperlink>
          </w:p>
        </w:tc>
        <w:tc>
          <w:tcPr>
            <w:tcW w:w="3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(incorporated by reference to Exhibit 10.69 to the Company’s Annual Report on Form 10-K for the year</w:t>
              </w:r>
            </w:hyperlink>
          </w:p>
        </w:tc>
      </w:tr>
      <w:tr>
        <w:trPr>
          <w:trHeight w:val="196"/>
        </w:trPr>
        <w:tc>
          <w:tcPr>
            <w:tcW w:w="10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December 31, 2013).</w:t>
              </w:r>
            </w:hyperlink>
          </w:p>
        </w:tc>
        <w:tc>
          <w:tcPr>
            <w:tcW w:w="5980" w:type="dxa"/>
            <w:vAlign w:val="bottom"/>
            <w:tcBorders>
              <w:top w:val="single" w:sz="8" w:color="0000EE"/>
            </w:tcBorders>
            <w:gridSpan w:val="14"/>
          </w:tcPr>
          <w:p>
            <w:pPr>
              <w:spacing w:after="0"/>
              <w:rPr>
                <w:sz w:val="17"/>
                <w:szCs w:val="17"/>
                <w:color w:val="auto"/>
              </w:rPr>
            </w:pPr>
          </w:p>
        </w:tc>
        <w:tc>
          <w:tcPr>
            <w:tcW w:w="460" w:type="dxa"/>
            <w:vAlign w:val="bottom"/>
            <w:gridSpan w:val="1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10.40#</w:t>
            </w:r>
          </w:p>
        </w:tc>
        <w:tc>
          <w:tcPr>
            <w:tcW w:w="7960" w:type="dxa"/>
            <w:vAlign w:val="bottom"/>
            <w:gridSpan w:val="29"/>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Ryman Hospitality Properties, Inc. 2016 Omnibus Incentive Plan (incorporated by reference to Exhibit 10.1 to</w:t>
              </w:r>
            </w:hyperlink>
          </w:p>
        </w:tc>
      </w:tr>
      <w:tr>
        <w:trPr>
          <w:trHeight w:val="196"/>
        </w:trPr>
        <w:tc>
          <w:tcPr>
            <w:tcW w:w="1080" w:type="dxa"/>
            <w:vAlign w:val="bottom"/>
          </w:tcPr>
          <w:p>
            <w:pPr>
              <w:spacing w:after="0"/>
              <w:rPr>
                <w:sz w:val="17"/>
                <w:szCs w:val="17"/>
                <w:color w:val="auto"/>
              </w:rPr>
            </w:pPr>
          </w:p>
        </w:tc>
        <w:tc>
          <w:tcPr>
            <w:tcW w:w="79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the Company’s Current Report on Form 8-K filed with the SEC on May 6, 2016).</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10.41#</w:t>
            </w:r>
          </w:p>
        </w:tc>
        <w:tc>
          <w:tcPr>
            <w:tcW w:w="7960" w:type="dxa"/>
            <w:vAlign w:val="bottom"/>
            <w:gridSpan w:val="29"/>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Amendment dated February 10, 2017 to Ryman Hospitality Properties, Inc. 2016 Omnibus Incentive Plan</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(incorporated by reference to Exhibit 10.43 to the Company’s Annual Report on Form 10-K for the year ended</w:t>
              </w:r>
            </w:hyperlink>
          </w:p>
        </w:tc>
      </w:tr>
      <w:tr>
        <w:trPr>
          <w:trHeight w:val="196"/>
        </w:trPr>
        <w:tc>
          <w:tcPr>
            <w:tcW w:w="108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December 31, 2016).</w:t>
              </w:r>
            </w:hyperlink>
          </w:p>
        </w:tc>
        <w:tc>
          <w:tcPr>
            <w:tcW w:w="6440" w:type="dxa"/>
            <w:vAlign w:val="bottom"/>
            <w:gridSpan w:val="2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10.42#</w:t>
            </w:r>
          </w:p>
        </w:tc>
        <w:tc>
          <w:tcPr>
            <w:tcW w:w="7960" w:type="dxa"/>
            <w:vAlign w:val="bottom"/>
            <w:gridSpan w:val="29"/>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Form of Restricted Stock Unit Award Agreement granted pursuant to the Company’s 2016 Omnibus Incentive</w:t>
              </w:r>
            </w:hyperlink>
          </w:p>
        </w:tc>
      </w:tr>
      <w:tr>
        <w:trPr>
          <w:trHeight w:val="196"/>
        </w:trPr>
        <w:tc>
          <w:tcPr>
            <w:tcW w:w="1080" w:type="dxa"/>
            <w:vAlign w:val="bottom"/>
          </w:tcPr>
          <w:p>
            <w:pPr>
              <w:spacing w:after="0"/>
              <w:rPr>
                <w:sz w:val="17"/>
                <w:szCs w:val="17"/>
                <w:color w:val="auto"/>
              </w:rPr>
            </w:pPr>
          </w:p>
        </w:tc>
        <w:tc>
          <w:tcPr>
            <w:tcW w:w="7920" w:type="dxa"/>
            <w:vAlign w:val="bottom"/>
            <w:tcBorders>
              <w:top w:val="single" w:sz="8" w:color="0000EE"/>
            </w:tcBorders>
            <w:gridSpan w:val="27"/>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Plan (incorporated by reference to Exhibit 10.1 to the Company’s Quarterly Report on Form 10-Q for the</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132">
              <w:r>
                <w:rPr>
                  <w:rFonts w:ascii="Arial" w:cs="Arial" w:eastAsia="Arial" w:hAnsi="Arial"/>
                  <w:sz w:val="18"/>
                  <w:szCs w:val="18"/>
                  <w:color w:val="0000EE"/>
                  <w:w w:val="87"/>
                </w:rPr>
                <w:t>quarter ended June 30, 2016).</w:t>
              </w:r>
            </w:hyperlink>
          </w:p>
        </w:tc>
        <w:tc>
          <w:tcPr>
            <w:tcW w:w="5420" w:type="dxa"/>
            <w:vAlign w:val="bottom"/>
            <w:tcBorders>
              <w:top w:val="single" w:sz="8" w:color="0000EE"/>
            </w:tcBorders>
            <w:gridSpan w:val="13"/>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10.43#</w:t>
            </w: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Form of Restricted Stock Unit Award Agreement with respect to time-based vesting restricted stock units</w:t>
              </w:r>
            </w:hyperlink>
          </w:p>
        </w:tc>
        <w:tc>
          <w:tcPr>
            <w:tcW w:w="3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granted pursuant to the Company’s 2016 Omnibus Incentive Plan (incorporated by reference to Exhibit 10.2 to</w:t>
              </w:r>
            </w:hyperlink>
          </w:p>
        </w:tc>
      </w:tr>
      <w:tr>
        <w:trPr>
          <w:trHeight w:val="196"/>
        </w:trPr>
        <w:tc>
          <w:tcPr>
            <w:tcW w:w="1080" w:type="dxa"/>
            <w:vAlign w:val="bottom"/>
          </w:tcPr>
          <w:p>
            <w:pPr>
              <w:spacing w:after="0"/>
              <w:rPr>
                <w:sz w:val="17"/>
                <w:szCs w:val="17"/>
                <w:color w:val="auto"/>
              </w:rPr>
            </w:pPr>
          </w:p>
        </w:tc>
        <w:tc>
          <w:tcPr>
            <w:tcW w:w="61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the Company’s Quarterly Report on Form 10-Q for the quarter ended June 30, 2016).</w:t>
              </w:r>
            </w:hyperlink>
          </w:p>
        </w:tc>
        <w:tc>
          <w:tcPr>
            <w:tcW w:w="1820" w:type="dxa"/>
            <w:vAlign w:val="bottom"/>
            <w:gridSpan w:val="19"/>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10.44#</w:t>
            </w:r>
          </w:p>
        </w:tc>
        <w:tc>
          <w:tcPr>
            <w:tcW w:w="77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Form of Restricted Stock Unit Award Agreement with respect to performance-based vesting restricted stock</w:t>
              </w:r>
            </w:hyperlink>
          </w:p>
        </w:tc>
        <w:tc>
          <w:tcPr>
            <w:tcW w:w="18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units granted pursuant to the Company’s 2016 Omnibus Incentive Plan (incorporated by reference to Exhibit</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6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to the Company’s Quarterly Report on Form 10-Q for the quarter ended June 30, 2016).</w:t>
              </w:r>
            </w:hyperlink>
          </w:p>
        </w:tc>
        <w:tc>
          <w:tcPr>
            <w:tcW w:w="1280" w:type="dxa"/>
            <w:vAlign w:val="bottom"/>
            <w:gridSpan w:val="16"/>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Subsidiaries of the Company.</w:t>
              </w:r>
            </w:hyperlink>
          </w:p>
        </w:tc>
        <w:tc>
          <w:tcPr>
            <w:tcW w:w="5840" w:type="dxa"/>
            <w:vAlign w:val="bottom"/>
            <w:gridSpan w:val="26"/>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7960" w:type="dxa"/>
            <w:vAlign w:val="bottom"/>
            <w:gridSpan w:val="2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7960" w:type="dxa"/>
            <w:vAlign w:val="bottom"/>
            <w:gridSpan w:val="29"/>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Certification of Chief Executive Officer of Periodic Report Pursuant to Rule 13a - 14(a) and Rule 15d - 14(a).</w:t>
              </w:r>
            </w:hyperlink>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8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Certification of Chief Financial Officer of Periodic Report Pursuant to Rule 13a - 14(a) and Rule 15d - 14(a).</w:t>
              </w:r>
            </w:hyperlink>
          </w:p>
        </w:tc>
        <w:tc>
          <w:tcPr>
            <w:tcW w:w="4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960" w:type="dxa"/>
            <w:vAlign w:val="bottom"/>
            <w:gridSpan w:val="29"/>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Certification of Chief Executive Officer Pursuant to 18 U.S.C. Section 1350.</w:t>
              </w:r>
            </w:hyperlink>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Certification of Chief Financial Officer Pursuant to 18 U.S.C. Section 1350.</w:t>
              </w:r>
            </w:hyperlink>
          </w:p>
        </w:tc>
        <w:tc>
          <w:tcPr>
            <w:tcW w:w="40" w:type="dxa"/>
            <w:vAlign w:val="bottom"/>
            <w:tcBorders>
              <w:top w:val="single" w:sz="8" w:color="0000EE"/>
            </w:tcBorders>
          </w:tcPr>
          <w:p>
            <w:pPr>
              <w:spacing w:after="0"/>
              <w:rPr>
                <w:sz w:val="17"/>
                <w:szCs w:val="17"/>
                <w:color w:val="auto"/>
              </w:rPr>
            </w:pPr>
          </w:p>
        </w:tc>
        <w:tc>
          <w:tcPr>
            <w:tcW w:w="2440" w:type="dxa"/>
            <w:vAlign w:val="bottom"/>
            <w:gridSpan w:val="22"/>
          </w:tcPr>
          <w:p>
            <w:pPr>
              <w:spacing w:after="0"/>
              <w:rPr>
                <w:sz w:val="17"/>
                <w:szCs w:val="17"/>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7960" w:type="dxa"/>
            <w:vAlign w:val="bottom"/>
            <w:gridSpan w:val="29"/>
          </w:tcPr>
          <w:p>
            <w:pPr>
              <w:spacing w:after="0"/>
              <w:rPr>
                <w:sz w:val="20"/>
                <w:szCs w:val="20"/>
                <w:color w:val="auto"/>
              </w:rPr>
            </w:pPr>
            <w:r>
              <w:rPr>
                <w:rFonts w:ascii="Arial" w:cs="Arial" w:eastAsia="Arial" w:hAnsi="Arial"/>
                <w:sz w:val="18"/>
                <w:szCs w:val="18"/>
                <w:color w:val="auto"/>
                <w:w w:val="96"/>
              </w:rPr>
              <w:t>The following materials from Ryman Hospitality Property, Inc.’s Annual Form on Form 10-K for the year</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rPr>
              <w:t>ended December 31, 2019, formatted in Inline XBRL (eXtensible Business Reporting Language): (i)</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w w:val="90"/>
              </w:rPr>
              <w:t>Consolidated Balance Sheets at December 31, 2019 and 2018, (ii) Consolidated Statements of Operations for</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w w:val="90"/>
              </w:rPr>
              <w:t>the years ended December 31, 2019, 2018 and 2017, (iii) Consolidated Statements of Comprehensive Income</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w w:val="91"/>
              </w:rPr>
              <w:t>for the years ended December 31, 2019, 2018 and 2017, (iv) Consolidated Statements of Cash Flows for the</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w w:val="93"/>
              </w:rPr>
              <w:t>years ended December 31, 2019, 2018 and 2017, (v) Consolidated Statement of Changes in Stockholders’</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w w:val="91"/>
              </w:rPr>
              <w:t>Equity and Noncontrolling Interest for the years ended December 31, 2019, 2018 and 2017, and (vi) Notes to</w:t>
            </w:r>
          </w:p>
        </w:tc>
      </w:tr>
      <w:tr>
        <w:trPr>
          <w:trHeight w:val="216"/>
        </w:trPr>
        <w:tc>
          <w:tcPr>
            <w:tcW w:w="1080" w:type="dxa"/>
            <w:vAlign w:val="bottom"/>
          </w:tcPr>
          <w:p>
            <w:pPr>
              <w:spacing w:after="0"/>
              <w:rPr>
                <w:sz w:val="18"/>
                <w:szCs w:val="18"/>
                <w:color w:val="auto"/>
              </w:rPr>
            </w:pPr>
          </w:p>
        </w:tc>
        <w:tc>
          <w:tcPr>
            <w:tcW w:w="7960" w:type="dxa"/>
            <w:vAlign w:val="bottom"/>
            <w:gridSpan w:val="29"/>
          </w:tcPr>
          <w:p>
            <w:pPr>
              <w:spacing w:after="0"/>
              <w:rPr>
                <w:sz w:val="20"/>
                <w:szCs w:val="20"/>
                <w:color w:val="auto"/>
              </w:rPr>
            </w:pPr>
            <w:r>
              <w:rPr>
                <w:rFonts w:ascii="Arial" w:cs="Arial" w:eastAsia="Arial" w:hAnsi="Arial"/>
                <w:sz w:val="18"/>
                <w:szCs w:val="18"/>
                <w:color w:val="auto"/>
              </w:rPr>
              <w:t>Consolidated Financial Statements.</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7960" w:type="dxa"/>
            <w:vAlign w:val="bottom"/>
            <w:gridSpan w:val="2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9"/>
        </w:trPr>
        <w:tc>
          <w:tcPr>
            <w:tcW w:w="10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83" w:lineRule="exact"/>
        <w:rPr>
          <w:sz w:val="20"/>
          <w:szCs w:val="20"/>
          <w:color w:val="auto"/>
        </w:rPr>
      </w:pPr>
    </w:p>
    <w:p>
      <w:pPr>
        <w:ind w:left="320" w:hanging="311"/>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19" w:hanging="331"/>
        <w:spacing w:after="0" w:line="256" w:lineRule="auto"/>
        <w:tabs>
          <w:tab w:leader="none" w:pos="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directed by Item 601(a)(5) or 601(b)(2) of Regulation S-K, as applicable, certain schedules and exhibits to this exhibit are omitted from this filing. The Company agrees to furnish supplementally a copy of any omitted schedule or exhibit to the SEC upon request.</w:t>
      </w:r>
    </w:p>
    <w:p>
      <w:pPr>
        <w:ind w:left="320" w:hanging="311"/>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RYMAN HOSPITALITY PROPERTIES, INC.</w:t>
            </w:r>
          </w:p>
        </w:tc>
      </w:tr>
      <w:tr>
        <w:trPr>
          <w:trHeight w:val="648"/>
        </w:trPr>
        <w:tc>
          <w:tcPr>
            <w:tcW w:w="3160" w:type="dxa"/>
            <w:vAlign w:val="bottom"/>
          </w:tcPr>
          <w:p>
            <w:pPr>
              <w:spacing w:after="0"/>
              <w:rPr>
                <w:sz w:val="20"/>
                <w:szCs w:val="20"/>
                <w:color w:val="auto"/>
              </w:rPr>
            </w:pPr>
            <w:r>
              <w:rPr>
                <w:rFonts w:ascii="Arial" w:cs="Arial" w:eastAsia="Arial" w:hAnsi="Arial"/>
                <w:sz w:val="18"/>
                <w:szCs w:val="18"/>
                <w:color w:val="auto"/>
              </w:rPr>
              <w:t>Date: February 25, 2020</w:t>
            </w:r>
          </w:p>
        </w:tc>
        <w:tc>
          <w:tcPr>
            <w:tcW w:w="5900" w:type="dxa"/>
            <w:vAlign w:val="bottom"/>
            <w:gridSpan w:val="2"/>
          </w:tcPr>
          <w:p>
            <w:pPr>
              <w:ind w:left="1380"/>
              <w:spacing w:after="0"/>
              <w:rPr>
                <w:sz w:val="20"/>
                <w:szCs w:val="20"/>
                <w:color w:val="auto"/>
              </w:rPr>
            </w:pPr>
            <w:r>
              <w:rPr>
                <w:rFonts w:ascii="Arial" w:cs="Arial" w:eastAsia="Arial" w:hAnsi="Arial"/>
                <w:sz w:val="18"/>
                <w:szCs w:val="18"/>
                <w:color w:val="auto"/>
              </w:rPr>
              <w:t>By:/s/ Colin V. Reed</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182"/>
        </w:trPr>
        <w:tc>
          <w:tcPr>
            <w:tcW w:w="3160" w:type="dxa"/>
            <w:vAlign w:val="bottom"/>
          </w:tcPr>
          <w:p>
            <w:pPr>
              <w:spacing w:after="0"/>
              <w:rPr>
                <w:sz w:val="15"/>
                <w:szCs w:val="15"/>
                <w:color w:val="auto"/>
              </w:rPr>
            </w:pPr>
          </w:p>
        </w:tc>
        <w:tc>
          <w:tcPr>
            <w:tcW w:w="5900" w:type="dxa"/>
            <w:vAlign w:val="bottom"/>
            <w:gridSpan w:val="2"/>
          </w:tcPr>
          <w:p>
            <w:pPr>
              <w:ind w:left="1380"/>
              <w:spacing w:after="0" w:line="182" w:lineRule="exact"/>
              <w:rPr>
                <w:sz w:val="20"/>
                <w:szCs w:val="20"/>
                <w:color w:val="auto"/>
              </w:rPr>
            </w:pPr>
            <w:r>
              <w:rPr>
                <w:rFonts w:ascii="Arial" w:cs="Arial" w:eastAsia="Arial" w:hAnsi="Arial"/>
                <w:sz w:val="18"/>
                <w:szCs w:val="18"/>
                <w:color w:val="auto"/>
              </w:rPr>
              <w:t>Colin V. Reed</w:t>
            </w:r>
          </w:p>
        </w:tc>
      </w:tr>
      <w:tr>
        <w:trPr>
          <w:trHeight w:val="216"/>
        </w:trPr>
        <w:tc>
          <w:tcPr>
            <w:tcW w:w="3160" w:type="dxa"/>
            <w:vAlign w:val="bottom"/>
          </w:tcPr>
          <w:p>
            <w:pPr>
              <w:spacing w:after="0"/>
              <w:rPr>
                <w:sz w:val="18"/>
                <w:szCs w:val="18"/>
                <w:color w:val="auto"/>
              </w:rPr>
            </w:pPr>
          </w:p>
        </w:tc>
        <w:tc>
          <w:tcPr>
            <w:tcW w:w="5900" w:type="dxa"/>
            <w:vAlign w:val="bottom"/>
            <w:gridSpan w:val="2"/>
          </w:tcPr>
          <w:p>
            <w:pPr>
              <w:ind w:left="1380"/>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i w:val="1"/>
                <w:iCs w:val="1"/>
                <w:color w:val="auto"/>
              </w:rPr>
              <w:t>hairman of the Board of Directors and Chief Executive</w:t>
            </w:r>
          </w:p>
        </w:tc>
      </w:tr>
      <w:tr>
        <w:trPr>
          <w:trHeight w:val="230"/>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Arial" w:cs="Arial" w:eastAsia="Arial" w:hAnsi="Arial"/>
                <w:sz w:val="18"/>
                <w:szCs w:val="18"/>
                <w:i w:val="1"/>
                <w:iCs w:val="1"/>
                <w:color w:val="auto"/>
              </w:rPr>
              <w:t>Officer</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4"/>
                <w:szCs w:val="14"/>
                <w:color w:val="auto"/>
              </w:rPr>
            </w:pPr>
          </w:p>
        </w:tc>
        <w:tc>
          <w:tcPr>
            <w:tcW w:w="39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Colin V. Reed</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Colin V. Reed</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and Chief Executive Officer</w:t>
            </w: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Rachna Bhasin</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Rachna Bhasin</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Alvin Bowles, Jr.</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3"/>
              </w:rPr>
              <w:t>Alvin Bowles, Jr.</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Fazal F. Merchant</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9"/>
              </w:rPr>
              <w:t>Fazal F. Merchant</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Patrick Q. Moore</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3"/>
              </w:rPr>
              <w:t>Patrick Q. Moore</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Pantoya</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Christine Pantoya</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S. Prather, Jr.</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6"/>
              </w:rPr>
              <w:t>Robert S. Prather, Jr.</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I. Roth</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4"/>
              </w:rPr>
              <w:t>Michael I. Roth</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Fioravanti</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President and 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5"/>
              </w:rPr>
              <w:t>Mark Fioravanti</w:t>
            </w:r>
          </w:p>
        </w:tc>
        <w:tc>
          <w:tcPr>
            <w:tcW w:w="1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Jennifer Hutcheson</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Senior Vice President, Corporate Controller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r>
      <w:tr>
        <w:trPr>
          <w:trHeight w:val="224"/>
        </w:trPr>
        <w:tc>
          <w:tcPr>
            <w:tcW w:w="2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Jennifer Hutcheson</w:t>
            </w:r>
          </w:p>
        </w:tc>
        <w:tc>
          <w:tcPr>
            <w:tcW w:w="4280" w:type="dxa"/>
            <w:vAlign w:val="bottom"/>
            <w:gridSpan w:val="3"/>
          </w:tcPr>
          <w:p>
            <w:pPr>
              <w:ind w:left="180"/>
              <w:spacing w:after="0"/>
              <w:rPr>
                <w:sz w:val="20"/>
                <w:szCs w:val="20"/>
                <w:color w:val="auto"/>
              </w:rPr>
            </w:pPr>
            <w:r>
              <w:rPr>
                <w:rFonts w:ascii="Arial" w:cs="Arial" w:eastAsia="Arial" w:hAnsi="Arial"/>
                <w:sz w:val="18"/>
                <w:szCs w:val="18"/>
                <w:color w:val="auto"/>
              </w:rPr>
              <w:t>and Chief Accounting Officer</w:t>
            </w:r>
          </w:p>
        </w:tc>
        <w:tc>
          <w:tcPr>
            <w:tcW w:w="1700" w:type="dxa"/>
            <w:vAlign w:val="bottom"/>
          </w:tcPr>
          <w:p>
            <w:pPr>
              <w:spacing w:after="0"/>
              <w:rPr>
                <w:sz w:val="19"/>
                <w:szCs w:val="19"/>
                <w:color w:val="auto"/>
              </w:rPr>
            </w:pPr>
          </w:p>
        </w:tc>
      </w:tr>
      <w:tr>
        <w:trPr>
          <w:trHeight w:val="64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100" w:type="dxa"/>
            <w:vAlign w:val="bottom"/>
            <w:gridSpan w:val="2"/>
          </w:tcPr>
          <w:p>
            <w:pPr>
              <w:ind w:left="136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Ryman Hospitality Properties, Inc. and Subsidiaries Audited Consolidated Financial Statements as of</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8"/>
        </w:trPr>
        <w:tc>
          <w:tcPr>
            <w:tcW w:w="8760" w:type="dxa"/>
            <w:vAlign w:val="bottom"/>
            <w:gridSpan w:val="10"/>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760" w:type="dxa"/>
            <w:vAlign w:val="bottom"/>
            <w:gridSpan w:val="10"/>
          </w:tcPr>
          <w:p>
            <w:pPr>
              <w:spacing w:after="0"/>
              <w:rPr>
                <w:sz w:val="20"/>
                <w:szCs w:val="20"/>
                <w:color w:val="auto"/>
              </w:rPr>
            </w:pPr>
            <w:r>
              <w:rPr>
                <w:rFonts w:ascii="Arial" w:cs="Arial" w:eastAsia="Arial" w:hAnsi="Arial"/>
                <w:sz w:val="18"/>
                <w:szCs w:val="18"/>
                <w:b w:val="1"/>
                <w:bCs w:val="1"/>
                <w:color w:val="auto"/>
              </w:rPr>
              <w:t>December 31, 2019 and 2018 and for Each of the Three Years in the Period Ended December 31, 2019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22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Report of Independent Registered Public Accounting Firm</w:t>
              </w:r>
            </w:hyperlink>
          </w:p>
        </w:tc>
        <w:tc>
          <w:tcPr>
            <w:tcW w:w="4200" w:type="dxa"/>
            <w:vAlign w:val="bottom"/>
            <w:gridSpan w:val="6"/>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Report of Independent Registered Public Accounting Firm</w:t>
              </w:r>
            </w:hyperlink>
          </w:p>
        </w:tc>
        <w:tc>
          <w:tcPr>
            <w:tcW w:w="42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420" w:type="dxa"/>
            <w:vAlign w:val="bottom"/>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Balance Sheets as of December 31, 2019 and 2018</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20" w:type="dxa"/>
            <w:vAlign w:val="bottom"/>
            <w:gridSpan w:val="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 for the Years ended December 31, 2019, 2018, and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Income for the Years ended December 31, 2019, 2018, and 2017</w:t>
              </w:r>
            </w:hyperlink>
          </w:p>
        </w:tc>
        <w:tc>
          <w:tcPr>
            <w:tcW w:w="5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420" w:type="dxa"/>
            <w:vAlign w:val="bottom"/>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Cash Flows for the Years ended December 31, 2019, 2018, and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20" w:type="dxa"/>
            <w:vAlign w:val="bottom"/>
            <w:gridSpan w:val="9"/>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Consolidated Statements of Stockholders’ Equity and Noncontrolling Interest for the Years ended December 31,</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2019, 2018, and 2017</w:t>
              </w:r>
            </w:hyperlink>
          </w:p>
        </w:tc>
        <w:tc>
          <w:tcPr>
            <w:tcW w:w="6500" w:type="dxa"/>
            <w:vAlign w:val="bottom"/>
            <w:tcBorders>
              <w:top w:val="single" w:sz="8" w:color="0000EE"/>
            </w:tcBorders>
            <w:gridSpan w:val="7"/>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420" w:type="dxa"/>
            <w:vAlign w:val="bottom"/>
            <w:gridSpan w:val="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Ryman Hospitality Properties,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audited the accompanying consolidated balance sheets of Ryman Hospitality Properties, Inc. and subsidiaries (the Company) as of December 31, 2019 and 2018, the related consolidated statements of operations, comprehensive income, stockholders’ equity and noncontrolling interest and cash flows for each of the three years in the period ended December 31, 2019,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(2013 framework), and our report dated February 25, 2020,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discussed in Note 1 to the consolidated financial statements, the Company changed its method for accounting for leases in 2019 due to the adoption of ASU No. 2016-02, “Leases” (ASC 842). As explained below, auditing the Company’s adoption of ASC 842 was a critical audit matter.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40"/>
        <w:spacing w:after="0"/>
        <w:rPr>
          <w:sz w:val="20"/>
          <w:szCs w:val="20"/>
          <w:color w:val="auto"/>
        </w:rPr>
      </w:pPr>
      <w:r>
        <w:rPr>
          <w:rFonts w:ascii="Arial" w:cs="Arial" w:eastAsia="Arial" w:hAnsi="Arial"/>
          <w:sz w:val="18"/>
          <w:szCs w:val="18"/>
          <w:b w:val="1"/>
          <w:bCs w:val="1"/>
          <w:i w:val="1"/>
          <w:iCs w:val="1"/>
          <w:color w:val="auto"/>
        </w:rPr>
        <w:t>Valuation of Gaylord National Bonds</w:t>
      </w:r>
    </w:p>
    <w:p>
      <w:pPr>
        <w:spacing w:after="0" w:line="225" w:lineRule="exact"/>
        <w:rPr>
          <w:sz w:val="20"/>
          <w:szCs w:val="20"/>
          <w:color w:val="auto"/>
        </w:rPr>
      </w:pPr>
    </w:p>
    <w:p>
      <w:pPr>
        <w:ind w:left="1840" w:hanging="1836"/>
        <w:spacing w:after="0" w:line="291" w:lineRule="auto"/>
        <w:rPr>
          <w:sz w:val="20"/>
          <w:szCs w:val="20"/>
          <w:color w:val="auto"/>
        </w:rPr>
      </w:pPr>
      <w:r>
        <w:rPr>
          <w:rFonts w:ascii="Arial" w:cs="Arial" w:eastAsia="Arial" w:hAnsi="Arial"/>
          <w:sz w:val="16"/>
          <w:szCs w:val="16"/>
          <w:i w:val="1"/>
          <w:iCs w:val="1"/>
          <w:color w:val="auto"/>
        </w:rPr>
        <w:t>Description of the Matter</w:t>
      </w:r>
      <w:r>
        <w:rPr>
          <w:rFonts w:ascii="Arial" w:cs="Arial" w:eastAsia="Arial" w:hAnsi="Arial"/>
          <w:sz w:val="16"/>
          <w:szCs w:val="16"/>
          <w:color w:val="auto"/>
        </w:rPr>
        <w:t>At December 31, 2019, the Company holds within Notes Receivable certain bonds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development of the Gaylord National Resort &amp; Convention Center (“Bonds”) which are reported at a carrying amount of $110.1 million. The Company has determined that it has the intent and ability to hold the Bonds to maturity and is following the accounting guidance related to investments in debt securities. As such, the Company assesses the Bonds for impairment, which requires an estimation of fair value of the Bonds. The Bonds and related accounting and historical impairments are more fully described in Notes 1 and 3 to the consolidated financial statements.</w:t>
      </w:r>
    </w:p>
    <w:p>
      <w:pPr>
        <w:spacing w:after="0" w:line="167" w:lineRule="exact"/>
        <w:rPr>
          <w:sz w:val="20"/>
          <w:szCs w:val="20"/>
          <w:color w:val="auto"/>
        </w:rPr>
      </w:pPr>
    </w:p>
    <w:p>
      <w:pPr>
        <w:ind w:left="1840" w:right="40"/>
        <w:spacing w:after="0" w:line="290" w:lineRule="auto"/>
        <w:rPr>
          <w:sz w:val="20"/>
          <w:szCs w:val="20"/>
          <w:color w:val="auto"/>
        </w:rPr>
      </w:pPr>
      <w:r>
        <w:rPr>
          <w:rFonts w:ascii="Arial" w:cs="Arial" w:eastAsia="Arial" w:hAnsi="Arial"/>
          <w:sz w:val="16"/>
          <w:szCs w:val="16"/>
          <w:color w:val="auto"/>
        </w:rPr>
        <w:t>Auditing management’s assessment of the valuation of the Bonds was complex and judgmental due to the significant estimation and assumptions required in projecting the future tax revenues to be generated by the Gaylord National Resort &amp; Convention Center, which are the basis for estimating the Bonds’ fair value. In particular, the fair value estimate is sensitive to significant assumptions, such as the expected average daily rates, occupancy rates, real estate capitalization rate and discount rate, which are affected by expectations about future market and economic conditions, particularly those in the Washington D.C. market. Finally, such assumptions are judgmental as the Bonds and related projected cash flows continue for an extended period of time through 2037.</w:t>
      </w:r>
    </w:p>
    <w:p>
      <w:pPr>
        <w:spacing w:after="0" w:line="16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w:t>
      </w:r>
    </w:p>
    <w:p>
      <w:pPr>
        <w:spacing w:after="0" w:line="23" w:lineRule="exact"/>
        <w:rPr>
          <w:sz w:val="20"/>
          <w:szCs w:val="20"/>
          <w:color w:val="auto"/>
        </w:rPr>
      </w:pPr>
    </w:p>
    <w:p>
      <w:pPr>
        <w:ind w:left="1840" w:right="60" w:hanging="1836"/>
        <w:spacing w:after="0" w:line="261" w:lineRule="auto"/>
        <w:tabs>
          <w:tab w:leader="none" w:pos="18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controls over the Company’s valuation of the Bonds, including controls over management’s review of the significant assumptions described above.</w:t>
      </w:r>
    </w:p>
    <w:p>
      <w:pPr>
        <w:spacing w:after="0" w:line="184" w:lineRule="exact"/>
        <w:rPr>
          <w:sz w:val="20"/>
          <w:szCs w:val="20"/>
          <w:color w:val="auto"/>
        </w:rPr>
      </w:pPr>
    </w:p>
    <w:p>
      <w:pPr>
        <w:ind w:left="1840"/>
        <w:spacing w:after="0" w:line="269" w:lineRule="auto"/>
        <w:rPr>
          <w:sz w:val="20"/>
          <w:szCs w:val="20"/>
          <w:color w:val="auto"/>
        </w:rPr>
      </w:pPr>
      <w:r>
        <w:rPr>
          <w:rFonts w:ascii="Arial" w:cs="Arial" w:eastAsia="Arial" w:hAnsi="Arial"/>
          <w:sz w:val="17"/>
          <w:szCs w:val="17"/>
          <w:color w:val="auto"/>
        </w:rPr>
        <w:t>To test the Company’s determination of the estimated fair value of the Bonds, we performed audit procedures that included, among others, assessing the fair value methodologies utilized by management, testing the significant assumptions discussed above and the related underlying data used by the Company in its evaluation, and testing the mathematical accuracy of the calculations. In performing those procedures, we compared the significant assumptions used by management to current industry, market, and economic trends, along with the recent historical results, reassessed the accuracy of management’s historical projected cash flows utilized in prior period evaluations, performed sensitivity analyses of changes in significant assumptions, and compared forecasts of cash flows utilized in the evaluation to current business plans. We also involved a valuation specialist to assist in assessing the Company’s valuation methodologies and significant assumptions used in the valuation analysis.</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Adoption of ASC 842, Leases – Valuation of Gaylord Palms Ground Lease</w:t>
      </w:r>
    </w:p>
    <w:p>
      <w:pPr>
        <w:spacing w:after="0" w:line="225" w:lineRule="exact"/>
        <w:rPr>
          <w:sz w:val="20"/>
          <w:szCs w:val="20"/>
          <w:color w:val="auto"/>
        </w:rPr>
      </w:pPr>
    </w:p>
    <w:p>
      <w:pPr>
        <w:ind w:left="1840" w:hanging="1836"/>
        <w:spacing w:after="0" w:line="302" w:lineRule="auto"/>
        <w:rPr>
          <w:sz w:val="20"/>
          <w:szCs w:val="20"/>
          <w:color w:val="auto"/>
        </w:rPr>
      </w:pPr>
      <w:r>
        <w:rPr>
          <w:rFonts w:ascii="Arial" w:cs="Arial" w:eastAsia="Arial" w:hAnsi="Arial"/>
          <w:sz w:val="16"/>
          <w:szCs w:val="16"/>
          <w:i w:val="1"/>
          <w:iCs w:val="1"/>
          <w:color w:val="auto"/>
        </w:rPr>
        <w:t>Description of the Matter</w:t>
      </w:r>
      <w:r>
        <w:rPr>
          <w:rFonts w:ascii="Arial" w:cs="Arial" w:eastAsia="Arial" w:hAnsi="Arial"/>
          <w:sz w:val="16"/>
          <w:szCs w:val="16"/>
          <w:color w:val="auto"/>
        </w:rPr>
        <w:t>As described above and in Note 1 and Note 7 to the consolidated financial statements,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Accounting Standard Codification Topic 842, Leases (“ASC 842”), on January 1, 2019. The adoption of ASC 842 resulted in the recognition of both right of use operating lease assets and operating lease liabilities of approximately $100.9 million as of January 1, 2019.</w:t>
      </w:r>
    </w:p>
    <w:p>
      <w:pPr>
        <w:spacing w:after="0" w:line="154" w:lineRule="exact"/>
        <w:rPr>
          <w:sz w:val="20"/>
          <w:szCs w:val="20"/>
          <w:color w:val="auto"/>
        </w:rPr>
      </w:pPr>
    </w:p>
    <w:p>
      <w:pPr>
        <w:ind w:left="1840"/>
        <w:spacing w:after="0" w:line="255" w:lineRule="auto"/>
        <w:rPr>
          <w:sz w:val="20"/>
          <w:szCs w:val="20"/>
          <w:color w:val="auto"/>
        </w:rPr>
      </w:pPr>
      <w:r>
        <w:rPr>
          <w:rFonts w:ascii="Arial" w:cs="Arial" w:eastAsia="Arial" w:hAnsi="Arial"/>
          <w:sz w:val="18"/>
          <w:szCs w:val="18"/>
          <w:color w:val="auto"/>
        </w:rPr>
        <w:t>Auditing the Company’s adoption of ASC 842 was complex because the Company is the lessee in a long-term ground lease at the Gaylord Palms Resort &amp; Convention Center, with a remaining lease term in excess of 50 years at January 1, 2019. Given the long-term nature of this ground lease and the significance of the cash lease payments over this period of time which were discounted to measure the lease asset and liability, auditing the Company’s estimate of the incremental borrowing rate (“IBR”) for the long-term ground lease was especially challenging and required management to exercise judgment.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w:t>
      </w:r>
    </w:p>
    <w:p>
      <w:pPr>
        <w:spacing w:after="0" w:line="23" w:lineRule="exact"/>
        <w:rPr>
          <w:sz w:val="20"/>
          <w:szCs w:val="20"/>
          <w:color w:val="auto"/>
        </w:rPr>
      </w:pPr>
    </w:p>
    <w:p>
      <w:pPr>
        <w:ind w:left="1840" w:right="19" w:hanging="1836"/>
        <w:spacing w:after="0" w:line="255" w:lineRule="auto"/>
        <w:tabs>
          <w:tab w:leader="none" w:pos="18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controls over the Company’s accounting for the adoption of ASC 842, including controls over management’s review of the IBR model for the Gaylord Palms Resort &amp; Convention Center ground lease.</w:t>
      </w:r>
    </w:p>
    <w:p>
      <w:pPr>
        <w:spacing w:after="0" w:line="190" w:lineRule="exact"/>
        <w:rPr>
          <w:sz w:val="20"/>
          <w:szCs w:val="20"/>
          <w:color w:val="auto"/>
        </w:rPr>
      </w:pPr>
    </w:p>
    <w:p>
      <w:pPr>
        <w:ind w:left="1840" w:right="79"/>
        <w:spacing w:after="0" w:line="289" w:lineRule="auto"/>
        <w:rPr>
          <w:sz w:val="20"/>
          <w:szCs w:val="20"/>
          <w:color w:val="auto"/>
        </w:rPr>
      </w:pPr>
      <w:r>
        <w:rPr>
          <w:rFonts w:ascii="Arial" w:cs="Arial" w:eastAsia="Arial" w:hAnsi="Arial"/>
          <w:sz w:val="16"/>
          <w:szCs w:val="16"/>
          <w:color w:val="auto"/>
        </w:rPr>
        <w:t>To test the Company’s adoption of ASC 842, we performed audit procedures that included, among others, testing the accuracy of the lease terms and testing the accuracy of the Company’s calculations of the initial measurement of the right of use assets and lease liabilities. Additionally, we involved valuation specialists to test management’s model for estimating the IBR for the Gaylord Palms Resort &amp; Convention Center ground lease. We evaluated management’s methodology for developing the IBR and tested judgments and estimates regarding the Company’s secured borrowing rates, market credit rating, comparable bond yield curve, and adjustments to market yield curves to determine a securitized rate. We compared the Company’s IBR to ranges developed by our valuation specialists based on independently observed data.</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19" w:firstLine="1443"/>
        <w:spacing w:after="0" w:line="408"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Ryman Hospitality Properties, Inc. Opinion on Internal Control Over Financial Reporting</w:t>
      </w:r>
    </w:p>
    <w:p>
      <w:pPr>
        <w:spacing w:after="0" w:line="2" w:lineRule="exact"/>
        <w:rPr>
          <w:sz w:val="20"/>
          <w:szCs w:val="20"/>
          <w:color w:val="auto"/>
        </w:rPr>
      </w:pPr>
    </w:p>
    <w:p>
      <w:pPr>
        <w:ind w:right="299"/>
        <w:spacing w:after="0" w:line="242" w:lineRule="auto"/>
        <w:rPr>
          <w:sz w:val="20"/>
          <w:szCs w:val="20"/>
          <w:color w:val="auto"/>
        </w:rPr>
      </w:pPr>
      <w:r>
        <w:rPr>
          <w:rFonts w:ascii="Arial" w:cs="Arial" w:eastAsia="Arial" w:hAnsi="Arial"/>
          <w:sz w:val="17"/>
          <w:szCs w:val="17"/>
          <w:color w:val="auto"/>
        </w:rPr>
        <w:t>We have audited Ryman Hospitality Properties, Inc.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2019, based on the COSO criteria.</w:t>
      </w:r>
    </w:p>
    <w:p>
      <w:pPr>
        <w:spacing w:after="0" w:line="122" w:lineRule="exact"/>
        <w:rPr>
          <w:sz w:val="20"/>
          <w:szCs w:val="20"/>
          <w:color w:val="auto"/>
        </w:rPr>
      </w:pPr>
    </w:p>
    <w:p>
      <w:pPr>
        <w:jc w:val="both"/>
        <w:ind w:right="39"/>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February 25, 2020, expressed an unqualified opinion thereon.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39"/>
        <w:spacing w:after="0"/>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159"/>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ind w:right="79"/>
        <w:spacing w:after="0" w:line="23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39"/>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199"/>
        <w:spacing w:after="0" w:line="27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9" w:name="page80"/>
    <w:bookmarkEnd w:id="79"/>
    <w:p>
      <w:pPr>
        <w:ind w:left="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CONSOLIDATED BALANCE SHEETS (Amounts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6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80"/>
              <w:spacing w:after="0" w:line="201" w:lineRule="exact"/>
              <w:rPr>
                <w:sz w:val="20"/>
                <w:szCs w:val="20"/>
                <w:color w:val="auto"/>
              </w:rPr>
            </w:pPr>
            <w:r>
              <w:rPr>
                <w:rFonts w:ascii="Arial" w:cs="Arial" w:eastAsia="Arial" w:hAnsi="Arial"/>
                <w:sz w:val="18"/>
                <w:szCs w:val="18"/>
                <w:color w:val="auto"/>
                <w:w w:val="92"/>
              </w:rPr>
              <w:t>Property and equipment, net of accumulated depreciation (including $979,012 and $1,018,499 from</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VIEs, respectively)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$ 3,130,252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3,149,095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Cash and cash equivalents - unrestricted (including $33,772 and $11,648 from VIEs, respectively)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Cash and cash equivalents - restricted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57,966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receivable (including $0 and $11,230 from VIEs, respectively)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80"/>
              <w:spacing w:after="0" w:line="201" w:lineRule="exact"/>
              <w:rPr>
                <w:sz w:val="20"/>
                <w:szCs w:val="20"/>
                <w:color w:val="auto"/>
              </w:rPr>
            </w:pPr>
            <w:r>
              <w:rPr>
                <w:rFonts w:ascii="Arial" w:cs="Arial" w:eastAsia="Arial" w:hAnsi="Arial"/>
                <w:sz w:val="18"/>
                <w:szCs w:val="18"/>
                <w:color w:val="auto"/>
                <w:w w:val="94"/>
              </w:rPr>
              <w:t>Trade receivables, less allowance of $828 and $763, respectively (including $16,523 and $2,019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from VIEs, respectively)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70,768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assets,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w w:val="99"/>
              </w:rPr>
              <w:t>Prepaid expenses and other assets (including $27,888 and $20,419 from VIEs, respectively)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assets (including $202,366 and $241,973 from VIEs, respectively)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$ 4,088,468</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LIABILITIES AND EQUITY:</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Debt and finance lease obligations (including $792,696 and $494,578 from VIEs, respectively)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$ 2,559,968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w w:val="94"/>
              </w:rPr>
              <w:t>Accounts payable and accrued liabilities (including $57,590 and $70,215 from VIEs, respectively)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264,915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payable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Deferred management rights proceeds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175,332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64,971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Noncontrolling interest in consolidated joint venture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221,511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7"/>
              </w:rPr>
              <w:t>Preferred stock, $.01 par value, 100,000 shares authorized, no shares issued or outstanding</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$.01 par value, 400,000 shares authorized, 54,897 and 51,336 shares issued and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respectively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1,185,168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of 619 and 592 shares, at cost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(495,514)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$ 4,088,468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40"/>
          </w:cols>
          <w:pgMar w:left="1180" w:top="517" w:right="11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Rooms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557,562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454,370</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1,604,566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1,275,118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282,906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Management fees, net</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hotel operating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Entertainment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109,249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Preopening costs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Impairment charges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Other-than-temporary impairment loss on held-to-maturity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6"/>
                <w:szCs w:val="16"/>
                <w:color w:val="auto"/>
              </w:rPr>
              <w:t>Total other-than-temporary impairment loss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Less portion recognized in other comprehensive income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Net impairment loss recognized in earnings on held-to-maturity securities</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1,337,035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1,060,849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unconsolidated joint ventures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6"/>
                <w:szCs w:val="16"/>
                <w:color w:val="auto"/>
              </w:rPr>
              <w:t>Other gains and (losses),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264,670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 in consolidated joint venture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available to common stockholders</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176,100</w:t>
            </w: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Basic income per share available to common stockholders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gridSpan w:val="2"/>
          </w:tcPr>
          <w:p>
            <w:pPr>
              <w:spacing w:after="0"/>
              <w:rPr>
                <w:sz w:val="20"/>
                <w:szCs w:val="20"/>
                <w:color w:val="auto"/>
              </w:rPr>
            </w:pPr>
            <w:r>
              <w:rPr>
                <w:rFonts w:ascii="Arial" w:cs="Arial" w:eastAsia="Arial" w:hAnsi="Arial"/>
                <w:sz w:val="16"/>
                <w:szCs w:val="16"/>
                <w:color w:val="auto"/>
              </w:rPr>
              <w:t>Diluted income per share available to common stockholders</w:t>
            </w:r>
          </w:p>
        </w:tc>
        <w:tc>
          <w:tcPr>
            <w:tcW w:w="4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5.14</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CONSOLIDATED STATEMENTS OF COMPREHENSIVE INCOME For the Years Ended December 31, 2019, 2018 and 2017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264,670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Gain (loss) on minimum pension liability: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(losses) arising during the period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Amount reclassified from accumulated other comprehensive loss</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Interest rate derivatives: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arising during period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Amount reclassified from accumulated other comprehensive loss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Other-than-temporary impairment loss on held-to-maturity securities: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Non-credit loss on other-than-temporary impairment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reclassified from accumulated other comprehensive loss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related to items of comprehensive loss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130,866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263,338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Comprehensive income available to common stockholders</w:t>
            </w: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149,194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263,338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Net income</w:t>
            </w:r>
          </w:p>
        </w:tc>
        <w:tc>
          <w:tcPr>
            <w:tcW w:w="60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128,294</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264,670</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176,100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Amounts to reconcile net income to net cash flows provided by operating activities: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Provision (benefit) for deferred income taxes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14,414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10,190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(52,637)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213,847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120,876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111,959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7,662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5,632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Impairment charges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23,783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Net impairment loss recognized in earnings on held-to-maturity securities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35,418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3,079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(Income) loss from unconsolidated joint ventures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1,110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(125,005)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4,402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7,833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Trade receivables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(8,320)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320"/>
              <w:spacing w:after="0" w:line="162" w:lineRule="exact"/>
              <w:rPr>
                <w:sz w:val="20"/>
                <w:szCs w:val="20"/>
                <w:color w:val="auto"/>
              </w:rPr>
            </w:pPr>
            <w:r>
              <w:rPr>
                <w:rFonts w:ascii="Arial" w:cs="Arial" w:eastAsia="Arial" w:hAnsi="Arial"/>
                <w:sz w:val="15"/>
                <w:szCs w:val="15"/>
                <w:color w:val="auto"/>
              </w:rPr>
              <w:t>Accounts payable and accrued liabilities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(13,674)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22,201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17,189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Other assets and liabilities</w:t>
            </w:r>
          </w:p>
        </w:tc>
        <w:tc>
          <w:tcPr>
            <w:tcW w:w="4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(5,035)</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(1,720)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operating activities</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354,686</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321,919</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295,830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Purchases of property and equipment</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(152,541)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(188,217)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(182,565)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Collection of notes receivable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13,211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2,560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2,370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Investment in Gaylord Rockies joint venture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Purchase of additional interest in Gaylord Rockies joint venture, net of cash acquired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(5,481)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(223,564)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Earnest money deposit for potential Block 21 acquisition</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Investment in other joint ventures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(4,241)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(2,199)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(9,313)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Purchase of remaining interest in Opry City Stage, net of cash acquired</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5"/>
                <w:szCs w:val="15"/>
                <w:color w:val="auto"/>
              </w:rPr>
              <w:t>Other investing activities</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(7,927)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(9,604)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4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(163,037)</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(423,310)</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(215,421)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Net borrowings (repayments) under revolving credit facility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(525,000)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354,000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(211,400)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Borrowings under term loan A</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Borrowings under term loan B</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Repayments under term loan B</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(105,000)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(393,750)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Issuance of senior notes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702,500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Redemption of senior notes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(350,000)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Borrowing under Gaylord Rockies term loan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800,000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Repayment of Gaylord Rockies construction and mezzanine loans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(496,612)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Deferred financing costs paid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(27,666)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(642)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(12,268)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Issuance of common stock</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282,908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Payment of dividends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(183,346)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(172,415)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(161,706)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(113,894)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10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(3,989)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(4,164)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(3,810)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financing activities</w:t>
            </w:r>
          </w:p>
        </w:tc>
        <w:tc>
          <w:tcPr>
            <w:tcW w:w="4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79,658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171,770</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(82,889)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271,307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70,379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(2,480)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4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149,089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78,710</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81,190</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480" w:type="dxa"/>
            <w:vAlign w:val="bottom"/>
          </w:tcPr>
          <w:p>
            <w:pPr>
              <w:spacing w:after="0"/>
              <w:rPr>
                <w:sz w:val="17"/>
                <w:szCs w:val="17"/>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420,396</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149,089</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78,710</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7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Cash and cash equivalents - unrestricted</w:t>
            </w:r>
          </w:p>
        </w:tc>
        <w:tc>
          <w:tcPr>
            <w:tcW w:w="600" w:type="dxa"/>
            <w:vAlign w:val="bottom"/>
            <w:gridSpan w:val="2"/>
            <w:shd w:val="clear" w:color="auto" w:fill="CCEEFF"/>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362,430</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103,437</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57,557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5"/>
                <w:szCs w:val="15"/>
                <w:color w:val="auto"/>
              </w:rPr>
              <w:t>Cash and cash equivalents - restricted</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57,966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45,652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21,153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CEEFF"/>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420,396</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149,089</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NONCONTROLLING INTEREST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7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Treasury</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8"/>
              </w:rPr>
              <w:t>Noncontrolling</w:t>
            </w:r>
          </w:p>
        </w:tc>
      </w:tr>
      <w:tr>
        <w:trPr>
          <w:trHeight w:val="16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r>
      <w:tr>
        <w:trPr>
          <w:trHeight w:val="156"/>
        </w:trPr>
        <w:tc>
          <w:tcPr>
            <w:tcW w:w="2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2016</w:t>
            </w: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893,102</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(11,542)</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(491,805)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(22,268)</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367,997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176,100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176,100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6"/>
              </w:rPr>
              <w:t>Other comprehensive loss, net of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taxes</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(4,424)</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(4,424)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Payment of dividends ($3.20 per share)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745</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(1,711)</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9"/>
              </w:rPr>
              <w:t>(163,465)</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9"/>
              </w:rPr>
              <w:t>(164,431)</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Exercise of stock options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(3,793)</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(3,791)</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6,640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2780" w:type="dxa"/>
            <w:vAlign w:val="bottom"/>
          </w:tcPr>
          <w:p>
            <w:pPr>
              <w:spacing w:after="0" w:line="156" w:lineRule="exact"/>
              <w:rPr>
                <w:sz w:val="20"/>
                <w:szCs w:val="20"/>
                <w:color w:val="auto"/>
              </w:rPr>
            </w:pPr>
            <w:r>
              <w:rPr>
                <w:rFonts w:ascii="Arial" w:cs="Arial" w:eastAsia="Arial" w:hAnsi="Arial"/>
                <w:sz w:val="15"/>
                <w:szCs w:val="15"/>
                <w:color w:val="auto"/>
              </w:rPr>
              <w:t>BALANCE, December 31, 2017</w:t>
            </w:r>
          </w:p>
        </w:tc>
        <w:tc>
          <w:tcPr>
            <w:tcW w:w="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512</w:t>
            </w: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896,759</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3"/>
              </w:rPr>
              <w:t>$ (13,253)</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(479,170)</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(26,692)</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378,156</w:t>
            </w:r>
          </w:p>
        </w:tc>
        <w:tc>
          <w:tcPr>
            <w:tcW w:w="120" w:type="dxa"/>
            <w:vAlign w:val="bottom"/>
          </w:tcPr>
          <w:p>
            <w:pPr>
              <w:spacing w:after="0"/>
              <w:rPr>
                <w:sz w:val="13"/>
                <w:szCs w:val="13"/>
                <w:color w:val="auto"/>
              </w:rPr>
            </w:pPr>
          </w:p>
        </w:tc>
        <w:tc>
          <w:tcPr>
            <w:tcW w:w="1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264,670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264,670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w w:val="97"/>
              </w:rPr>
              <w:t>Transition adjustment related to adoption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of ASU 2014-09</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(134)</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w w:val="96"/>
              </w:rPr>
              <w:t>Other comprehensive loss, net of income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taxes</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(1,332)</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Payment of dividends ($3.40 per share)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514</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(1,930)</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9"/>
              </w:rPr>
              <w:t>(173,890)</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9"/>
              </w:rPr>
              <w:t>(175,306)</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Exercise of stock options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(4,145)</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(4,144)</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7,656</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7,656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rPr>
              <w:t>Establishment of noncontrolling interest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in consolidated joint venture</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287,433</w:t>
            </w:r>
          </w:p>
        </w:tc>
        <w:tc>
          <w:tcPr>
            <w:tcW w:w="20" w:type="dxa"/>
            <w:vAlign w:val="bottom"/>
          </w:tcPr>
          <w:p>
            <w:pPr>
              <w:spacing w:after="0"/>
              <w:rPr>
                <w:sz w:val="15"/>
                <w:szCs w:val="15"/>
                <w:color w:val="auto"/>
              </w:rPr>
            </w:pPr>
          </w:p>
        </w:tc>
      </w:tr>
      <w:tr>
        <w:trPr>
          <w:trHeight w:val="156"/>
        </w:trPr>
        <w:tc>
          <w:tcPr>
            <w:tcW w:w="27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2018</w:t>
            </w: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513</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900,795</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(15,183)</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(388,524)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(28,024)</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469,577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287,433</w:t>
            </w:r>
          </w:p>
        </w:tc>
        <w:tc>
          <w:tcPr>
            <w:tcW w:w="20" w:type="dxa"/>
            <w:vAlign w:val="bottom"/>
          </w:tcPr>
          <w:p>
            <w:pPr>
              <w:spacing w:after="0"/>
              <w:rPr>
                <w:sz w:val="13"/>
                <w:szCs w:val="13"/>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145,794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145,794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(17,500)</w:t>
            </w:r>
          </w:p>
        </w:tc>
        <w:tc>
          <w:tcPr>
            <w:tcW w:w="20" w:type="dxa"/>
            <w:vAlign w:val="bottom"/>
          </w:tcPr>
          <w:p>
            <w:pPr>
              <w:spacing w:after="0"/>
              <w:rPr>
                <w:sz w:val="14"/>
                <w:szCs w:val="14"/>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Adjustment of noncontrolling interest to</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redemption value</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(68,054)</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(68,054)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68,054</w:t>
            </w:r>
          </w:p>
        </w:tc>
        <w:tc>
          <w:tcPr>
            <w:tcW w:w="20" w:type="dxa"/>
            <w:vAlign w:val="bottom"/>
          </w:tcPr>
          <w:p>
            <w:pPr>
              <w:spacing w:after="0"/>
              <w:rPr>
                <w:sz w:val="15"/>
                <w:szCs w:val="15"/>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w w:val="97"/>
              </w:rPr>
              <w:t>Transition adjustment related to adoption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of ASU 2018-02</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(2,707)</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taxes</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5"/>
                <w:szCs w:val="15"/>
                <w:color w:val="auto"/>
              </w:rPr>
              <w:t>Purchase of additional ownership</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tcPr>
          <w:p>
            <w:pPr>
              <w:ind w:left="120"/>
              <w:spacing w:after="0"/>
              <w:rPr>
                <w:sz w:val="20"/>
                <w:szCs w:val="20"/>
                <w:color w:val="auto"/>
              </w:rPr>
            </w:pPr>
            <w:r>
              <w:rPr>
                <w:rFonts w:ascii="Arial" w:cs="Arial" w:eastAsia="Arial" w:hAnsi="Arial"/>
                <w:sz w:val="15"/>
                <w:szCs w:val="15"/>
                <w:color w:val="auto"/>
              </w:rPr>
              <w:t>interest in consolidated joint venture</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(2,899)</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(2,899)</w:t>
            </w: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(2,582)</w:t>
            </w: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Distributions from consolidated joint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venture to noncontrolling interest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partners</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(113,894)</w:t>
            </w:r>
          </w:p>
        </w:tc>
        <w:tc>
          <w:tcPr>
            <w:tcW w:w="20" w:type="dxa"/>
            <w:vAlign w:val="bottom"/>
          </w:tcPr>
          <w:p>
            <w:pPr>
              <w:spacing w:after="0"/>
              <w:rPr>
                <w:sz w:val="15"/>
                <w:szCs w:val="15"/>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Issuance of common stock</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282,873</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282,908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2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 ($3.60 per share)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532</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(2,132)</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9"/>
              </w:rPr>
              <w:t>(187,437)</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9"/>
              </w:rPr>
              <w:t>(189,037)</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Exercise of stock options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35</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(4,001)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(4,000)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7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7,833</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7,833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27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2019</w:t>
            </w: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1,185,168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(17,315)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(495,514)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(28,159)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644,729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221,511</w:t>
            </w:r>
          </w:p>
        </w:tc>
        <w:tc>
          <w:tcPr>
            <w:tcW w:w="20" w:type="dxa"/>
            <w:vAlign w:val="bottom"/>
          </w:tcPr>
          <w:p>
            <w:pPr>
              <w:spacing w:after="0"/>
              <w:rPr>
                <w:sz w:val="13"/>
                <w:szCs w:val="13"/>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 The Company also owns a 62.1% interest in a joint venture (the “Gaylord Rockies joint venture”) that owns the Gaylord Rockies Resort &amp; Convention Center near Denver, Colorado (“Gaylord Rockies”), which opened in December 2018 and is managed by Marriott. For more information regarding the Company’s increase in its ownership percentage in the Gaylord Rockies joint venture as of December 31, 2018, see Note 4, “Investment in Gaylord Rockies Joint Venture.”</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The Company also owns a 50% interest in a joint venture intended to create and distribute a linear multicast and over-the-top channel dedicated to the country music lifestyle (“Circle”), which launched its broadcast network on January 1, 2020. See Note 13, “Commitments and Contingencies,” for further disclosure.</w:t>
      </w:r>
    </w:p>
    <w:p>
      <w:pPr>
        <w:spacing w:after="0" w:line="17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previously owned Opry City Stage, a four-level entertainment complex in Times Square that opened in December 2017 under a joint venture agreement of which the Company initially owned 50%. In the second quarter of 2018, the Company acquired the remaining 50% joint venture interest in Opry City Stage for a combination of $3.9 million in cash and the forgiveness of a note receivable previously due to the Company from the other joint venture partner of $7.9 million. Subsequent to the Company’s purchase of the remaining 50% joint venture interest, the Company determined that current ongoing operations were not meeting the revenue expectations from the time of purchase. In September 2018, the Company announced that it was temporarily suspending operations at Opry City Stage to appropriately reposition the venue and its operations, and in December 2018, the Company determined that it would permanently close the venue. During 2018, the Company performed impairment assessments of the carrying amount of Opry City Stage assets and recorded impairment charges of $22.6 million, which represented substantially all of the assets associated with the venue, and are reflected as impairment charges in the accompanying consolidated statements of operations for 2018.</w:t>
      </w:r>
    </w:p>
    <w:p>
      <w:pPr>
        <w:spacing w:after="0" w:line="1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conducts its business through an umbrella partnership REIT, in which all of its assets are held by, and all of its operations are conducted through, RHP Hotel Properties, LP, a subsidiary operating partnership (the “Operating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Annual Report on Form 10-K and Ryman’s other reports, documents or other information filed with the Securities and Exchange Commission pursuant to the Securities Exchange Act of 1934, as amended.</w:t>
      </w:r>
    </w:p>
    <w:p>
      <w:pPr>
        <w:spacing w:after="0" w:line="19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December 31, 2018, the Company amended the limited partnership agreement of the Operating Partnership to provide that its partnership units may be exchanged on a one-for-one basis for shares of the Company’s common stock. Under certain circumstances, the Company may issue such partnership units as consideration to acquire hotel properties.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Hospitality segment includes the Gaylord Hotels branded hotels, the Inn at Opryland and the AC Hotel, as well as the Company’s equity investment in Gaylord Rockies. See Note 4, “Investment in Gaylord Rockies Joint Venture,” for further discussion of this investment. Each of the Company’s hotels, as well as Gaylord Rockies, is managed by Marriott pursuant to a management agreement for each hotel.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Entertainment segment includes the Grand Ole Opry, the Ryman Auditorium, WSM-AM, Ole Red, the General Jackson, the Wildhorse Saloon, Gaylord Springs, and the Company’s investment in the Circle joint venture, among various others. Marriott manages the day-to-day operations of the General Jackson, Gaylord Springs and the Wildhorse Saloon pursuant to management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spacing w:after="0" w:line="286" w:lineRule="auto"/>
        <w:rPr>
          <w:sz w:val="20"/>
          <w:szCs w:val="20"/>
          <w:color w:val="auto"/>
        </w:rPr>
      </w:pPr>
      <w:r>
        <w:rPr>
          <w:rFonts w:ascii="Arial" w:cs="Arial" w:eastAsia="Arial" w:hAnsi="Arial"/>
          <w:sz w:val="16"/>
          <w:szCs w:val="16"/>
          <w:color w:val="auto"/>
        </w:rPr>
        <w:t>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a majority vote of a committee consisting of two members designated by the Company and two members designated by the minority partner. Based on management’s analysis of these updated agreements, management concluded the Company’s responsibility for the day-to-day management of the joint venture and for future financings meeting certain parameters results in the Company having the power to direct the activities that most significantly impact the economic performance of the joint venture. In addition, the shared decisions represent protective rights of both parties. Thus, the Company became the primary beneficiary of this variable interest entity at December 31, 2018. As such, the Company consolidated the assets and liabilities of the joint venture effective December 31, 2018 and began consolidating the ongoing operations of the joint venture effective January 1, 2019. See “Noncontrolling Interest in Consolidated Joint Venture” and Note 4, “Investment in Gaylord Rockies Joint Venture,” below for further discussion.</w:t>
      </w:r>
    </w:p>
    <w:p>
      <w:pPr>
        <w:spacing w:after="0" w:line="175" w:lineRule="exact"/>
        <w:rPr>
          <w:sz w:val="20"/>
          <w:szCs w:val="20"/>
          <w:color w:val="auto"/>
        </w:rPr>
      </w:pPr>
    </w:p>
    <w:p>
      <w:pPr>
        <w:ind w:right="239"/>
        <w:spacing w:after="0" w:line="273" w:lineRule="auto"/>
        <w:rPr>
          <w:sz w:val="20"/>
          <w:szCs w:val="20"/>
          <w:color w:val="auto"/>
        </w:rPr>
      </w:pPr>
      <w:r>
        <w:rPr>
          <w:rFonts w:ascii="Arial" w:cs="Arial" w:eastAsia="Arial" w:hAnsi="Arial"/>
          <w:sz w:val="17"/>
          <w:szCs w:val="17"/>
          <w:color w:val="auto"/>
        </w:rPr>
        <w:t>The terms of the Company's joint venture agreement in Circle provide that the Company and its joint venture partner each share the authority to make major decisions in the joint venture, including operating plans, entering into certain contracts, admitting additional members of the joint venture, issuing additional membership interests, and amending the operating agreement. In addition, the officers of Circle are not employees of the Company. Based on management’s analysis of the joint venture agreement, management concluded that the Company is not the primary beneficiary of this variable interest entity and accounts for this investment under the equity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Acquisition</w:t>
      </w:r>
    </w:p>
    <w:p>
      <w:pPr>
        <w:spacing w:after="0" w:line="229" w:lineRule="exact"/>
        <w:rPr>
          <w:sz w:val="20"/>
          <w:szCs w:val="20"/>
          <w:color w:val="auto"/>
        </w:rPr>
      </w:pPr>
    </w:p>
    <w:p>
      <w:pPr>
        <w:jc w:val="both"/>
        <w:ind w:right="19"/>
        <w:spacing w:after="0" w:line="288" w:lineRule="auto"/>
        <w:rPr>
          <w:sz w:val="20"/>
          <w:szCs w:val="20"/>
          <w:color w:val="auto"/>
        </w:rPr>
      </w:pPr>
      <w:r>
        <w:rPr>
          <w:rFonts w:ascii="Arial" w:cs="Arial" w:eastAsia="Arial" w:hAnsi="Arial"/>
          <w:sz w:val="16"/>
          <w:szCs w:val="16"/>
          <w:color w:val="auto"/>
        </w:rPr>
        <w:t>In December 2019, the Company entered into an agreement to purchase Block 21, a mixed-use entertainment, lodging, office and retail complex located in Austin, Texas, for $275 million, which includes the assumption of approximately $141 million of existing mortgage debt. Block 21 is the home of the Austin City Limits Live at The Moody Theater (“ACL Live”), a</w:t>
      </w:r>
    </w:p>
    <w:p>
      <w:pPr>
        <w:ind w:right="19"/>
        <w:spacing w:after="0" w:line="268" w:lineRule="auto"/>
        <w:rPr>
          <w:sz w:val="20"/>
          <w:szCs w:val="20"/>
          <w:color w:val="auto"/>
        </w:rPr>
      </w:pPr>
      <w:r>
        <w:rPr>
          <w:rFonts w:ascii="Arial" w:cs="Arial" w:eastAsia="Arial" w:hAnsi="Arial"/>
          <w:sz w:val="17"/>
          <w:szCs w:val="17"/>
          <w:color w:val="auto"/>
        </w:rPr>
        <w:t>2,750-seat entertainment venue that serves as the filming location for the Austin City Limits television series. The Block 21 complex also includes the 251-room W Austin Hotel, the 350-seat 3TEN at ACL Live club and approximately 53,000 square feet of Class A commercial space. The Company paid a nonrefundable deposit of $15 million with the agreement, and the acquisition is expected to close at the end of the first quarter or in early second quarter 2020, subject to customary closing conditions including, but not limited to, consent to the Company’s assumption of the existing mortgage loan by the loan servicer and the consent of the hotel property manager, an affiliate of Marriott, to the Company’s assignment and assumption of the existing hotel management agreement. The Company intends to fund the acquisition with a portion of the proceeds from the equity offering discussed in Note 11,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99"/>
        <w:spacing w:after="0" w:line="297" w:lineRule="auto"/>
        <w:rPr>
          <w:sz w:val="20"/>
          <w:szCs w:val="20"/>
          <w:color w:val="auto"/>
        </w:rPr>
      </w:pPr>
      <w:r>
        <w:rPr>
          <w:rFonts w:ascii="Arial" w:cs="Arial" w:eastAsia="Arial" w:hAnsi="Arial"/>
          <w:sz w:val="16"/>
          <w:szCs w:val="16"/>
          <w:color w:val="auto"/>
        </w:rPr>
        <w:t>Property and equipment are stated at cost or at estimated fair value if recorded in connection with purchase accounting.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40 years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Land improvements</w:t>
            </w:r>
          </w:p>
        </w:tc>
        <w:tc>
          <w:tcPr>
            <w:tcW w:w="4180" w:type="dxa"/>
            <w:vAlign w:val="bottom"/>
          </w:tcPr>
          <w:p>
            <w:pPr>
              <w:ind w:left="640"/>
              <w:spacing w:after="0"/>
              <w:rPr>
                <w:sz w:val="20"/>
                <w:szCs w:val="20"/>
                <w:color w:val="auto"/>
              </w:rPr>
            </w:pPr>
            <w:r>
              <w:rPr>
                <w:rFonts w:ascii="Arial" w:cs="Arial" w:eastAsia="Arial" w:hAnsi="Arial"/>
                <w:sz w:val="18"/>
                <w:szCs w:val="18"/>
                <w:color w:val="auto"/>
              </w:rPr>
              <w:t>20 years</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5-8 years</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80" w:type="dxa"/>
            <w:vAlign w:val="bottom"/>
          </w:tcPr>
          <w:p>
            <w:pPr>
              <w:ind w:left="640"/>
              <w:spacing w:after="0"/>
              <w:rPr>
                <w:sz w:val="20"/>
                <w:szCs w:val="20"/>
                <w:color w:val="auto"/>
              </w:rPr>
            </w:pPr>
            <w:r>
              <w:rPr>
                <w:rFonts w:ascii="Arial" w:cs="Arial" w:eastAsia="Arial" w:hAnsi="Arial"/>
                <w:sz w:val="18"/>
                <w:szCs w:val="18"/>
                <w:color w:val="auto"/>
              </w:rPr>
              <w:t>The shorter of the lease term or useful life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Unrestricted</w:t>
      </w:r>
    </w:p>
    <w:p>
      <w:pPr>
        <w:spacing w:after="0" w:line="229"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ectPr>
          <w:pgSz w:w="11900" w:h="16838" w:orient="portrait"/>
          <w:cols w:equalWidth="0" w:num="1">
            <w:col w:w="9039"/>
          </w:cols>
          <w:pgMar w:left="1420" w:top="517" w:right="1440"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 Restricted</w:t>
      </w:r>
    </w:p>
    <w:p>
      <w:pPr>
        <w:spacing w:after="0" w:line="229" w:lineRule="exact"/>
        <w:rPr>
          <w:sz w:val="20"/>
          <w:szCs w:val="20"/>
          <w:color w:val="auto"/>
        </w:rPr>
      </w:pPr>
    </w:p>
    <w:p>
      <w:pPr>
        <w:ind w:right="399"/>
        <w:spacing w:after="0" w:line="286" w:lineRule="auto"/>
        <w:rPr>
          <w:sz w:val="20"/>
          <w:szCs w:val="20"/>
          <w:color w:val="auto"/>
        </w:rPr>
      </w:pPr>
      <w:r>
        <w:rPr>
          <w:rFonts w:ascii="Arial" w:cs="Arial" w:eastAsia="Arial" w:hAnsi="Arial"/>
          <w:sz w:val="17"/>
          <w:szCs w:val="17"/>
          <w:color w:val="auto"/>
        </w:rPr>
        <w:t>Restricted cash and cash equivalents primarily represent funds held by our property managers for furniture, fixtures and equipment reserves. In addition, the Company holds certificates of deposit with an original maturity of greater than three months in order to secure its Tennessee workers’ compensation self-insurance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for the years ended December 31 was comprised of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interest paid</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$ 121,876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$ 63,325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Capitalized interest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(10,013)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(6,645)</w:t>
            </w:r>
          </w:p>
        </w:tc>
      </w:tr>
      <w:tr>
        <w:trPr>
          <w:trHeight w:val="210"/>
        </w:trPr>
        <w:tc>
          <w:tcPr>
            <w:tcW w:w="41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interest, net of capitalized interest</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$ 120,258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$ 56,680</w:t>
            </w:r>
          </w:p>
        </w:tc>
      </w:tr>
      <w:tr>
        <w:trPr>
          <w:trHeight w:val="20"/>
        </w:trPr>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Net cash payments of income taxes in 2019, 2018 and 2017 were $3.6 million, $1.6 million and $4.1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The Company provides allowances for doubtful accounts based upon a percentage of revenue and periodic evaluations of the aging of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at December 31 consist of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$ 15,732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Supplemental deferred compensation plan assets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29,174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24,687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Tax rebate receivables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Earnest money deposit for potential Block 21 acquisition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Deferred financing costs on revolving credit facility</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8,493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10,855</w:t>
            </w:r>
          </w:p>
        </w:tc>
      </w:tr>
      <w:tr>
        <w:trPr>
          <w:trHeight w:val="210"/>
        </w:trPr>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prepaid expenses and other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123,845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$ 78,240</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9"/>
        <w:spacing w:after="0" w:line="273" w:lineRule="auto"/>
        <w:rPr>
          <w:sz w:val="20"/>
          <w:szCs w:val="20"/>
          <w:color w:val="auto"/>
        </w:rPr>
      </w:pPr>
      <w:r>
        <w:rPr>
          <w:rFonts w:ascii="Arial" w:cs="Arial" w:eastAsia="Arial" w:hAnsi="Arial"/>
          <w:sz w:val="17"/>
          <w:szCs w:val="17"/>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Deferred financing costs (“DFCs”) on the Company’s revolving credit facility are included in prepaid expenses and other assets when the related revolving credit facility has no outstanding balance. Other assets include capitalized software costs, non-trade receivables, and investments in joint ventures, among others.</w:t>
      </w:r>
    </w:p>
    <w:p>
      <w:pPr>
        <w:spacing w:after="0" w:line="178" w:lineRule="exact"/>
        <w:rPr>
          <w:sz w:val="20"/>
          <w:szCs w:val="20"/>
          <w:color w:val="auto"/>
        </w:rPr>
      </w:pPr>
    </w:p>
    <w:p>
      <w:pPr>
        <w:jc w:val="both"/>
        <w:ind w:right="119"/>
        <w:spacing w:after="0" w:line="286" w:lineRule="auto"/>
        <w:rPr>
          <w:sz w:val="20"/>
          <w:szCs w:val="20"/>
          <w:color w:val="auto"/>
        </w:rPr>
      </w:pPr>
      <w:r>
        <w:rPr>
          <w:rFonts w:ascii="Arial" w:cs="Arial" w:eastAsia="Arial" w:hAnsi="Arial"/>
          <w:sz w:val="17"/>
          <w:szCs w:val="17"/>
          <w:color w:val="auto"/>
        </w:rPr>
        <w:t>The Gaylord Rockies joint venture is party to an incentive agreement with the local government that provides that the joint venture is entitled to receive monthly rebates of certain city and state taxes, including property, sales and lodging taxes. The term of the rebate agreement varies by type of tax but ranges from 25-33 years from commencement of the</w:t>
      </w:r>
    </w:p>
    <w:p>
      <w:pPr>
        <w:sectPr>
          <w:pgSz w:w="11900" w:h="16838" w:orient="portrait"/>
          <w:cols w:equalWidth="0" w:num="1">
            <w:col w:w="9039"/>
          </w:cols>
          <w:pgMar w:left="1420" w:top="517" w:right="1440" w:bottom="144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construction of Gaylord Rockies. The joint venture earned $34.6 million in rebates in 2019, which are generally recorded as a reduction in other hotel expenses in the accompanying consolidated statement of operations for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purchase price allocation of the Gaylord Rockies joint venture, as discussed further in Note 4, “Investment in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is being amortized on a straight-line basis over a period of</w:t>
      </w:r>
    </w:p>
    <w:p>
      <w:pPr>
        <w:spacing w:after="0" w:line="2"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3.5 years, which corresponds with the period in which the advanced deposits relate, and the value in the trade name is being amortized on a straight-line basis over 30 years, which is the period of the Marriott management agreement.</w:t>
      </w:r>
    </w:p>
    <w:p>
      <w:pPr>
        <w:spacing w:after="0" w:line="1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gross carrying amount of intangible assets at December 31, 2019 and 2018 was $252.7 million and $252.2 million, respectively. Accumulated amortization of intangible assets at December 31, 2019 and 2018 was $45.6 million and $5.4 million, respectively. Amortization expense related to intangible assets during 2019, 2018 and 2017 was $40.2 million, $0.2 million and $0.1 million, respectively. The estimated amounts of amortization expense for the next five years are as follows (amounts in thousands):</w:t>
      </w:r>
    </w:p>
    <w:p>
      <w:pPr>
        <w:spacing w:after="0" w:line="216"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820" w:type="dxa"/>
            <w:vAlign w:val="bottom"/>
            <w:shd w:val="clear" w:color="auto" w:fill="CCEEFF"/>
          </w:tcPr>
          <w:p>
            <w:pPr>
              <w:jc w:val="right"/>
              <w:ind w:right="5370"/>
              <w:spacing w:after="0"/>
              <w:rPr>
                <w:sz w:val="20"/>
                <w:szCs w:val="20"/>
                <w:color w:val="auto"/>
              </w:rPr>
            </w:pPr>
            <w:r>
              <w:rPr>
                <w:rFonts w:ascii="Arial" w:cs="Arial" w:eastAsia="Arial" w:hAnsi="Arial"/>
                <w:sz w:val="18"/>
                <w:szCs w:val="18"/>
                <w:color w:val="auto"/>
                <w:w w:val="84"/>
              </w:rPr>
              <w:t>2020</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w:t>
            </w:r>
          </w:p>
        </w:tc>
      </w:tr>
      <w:tr>
        <w:trPr>
          <w:trHeight w:val="216"/>
        </w:trPr>
        <w:tc>
          <w:tcPr>
            <w:tcW w:w="5820" w:type="dxa"/>
            <w:vAlign w:val="bottom"/>
          </w:tcPr>
          <w:p>
            <w:pPr>
              <w:jc w:val="right"/>
              <w:ind w:right="5370"/>
              <w:spacing w:after="0"/>
              <w:rPr>
                <w:sz w:val="20"/>
                <w:szCs w:val="20"/>
                <w:color w:val="auto"/>
              </w:rPr>
            </w:pPr>
            <w:r>
              <w:rPr>
                <w:rFonts w:ascii="Arial" w:cs="Arial" w:eastAsia="Arial" w:hAnsi="Arial"/>
                <w:sz w:val="18"/>
                <w:szCs w:val="18"/>
                <w:color w:val="auto"/>
                <w:w w:val="84"/>
              </w:rPr>
              <w:t>2021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40,198</w:t>
            </w:r>
          </w:p>
        </w:tc>
      </w:tr>
      <w:tr>
        <w:trPr>
          <w:trHeight w:val="216"/>
        </w:trPr>
        <w:tc>
          <w:tcPr>
            <w:tcW w:w="5820" w:type="dxa"/>
            <w:vAlign w:val="bottom"/>
            <w:shd w:val="clear" w:color="auto" w:fill="CCEEFF"/>
          </w:tcPr>
          <w:p>
            <w:pPr>
              <w:jc w:val="right"/>
              <w:ind w:right="5370"/>
              <w:spacing w:after="0"/>
              <w:rPr>
                <w:sz w:val="20"/>
                <w:szCs w:val="20"/>
                <w:color w:val="auto"/>
              </w:rPr>
            </w:pPr>
            <w:r>
              <w:rPr>
                <w:rFonts w:ascii="Arial" w:cs="Arial" w:eastAsia="Arial" w:hAnsi="Arial"/>
                <w:sz w:val="18"/>
                <w:szCs w:val="18"/>
                <w:color w:val="auto"/>
                <w:w w:val="84"/>
              </w:rPr>
              <w:t>2022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w:t>
            </w:r>
          </w:p>
        </w:tc>
      </w:tr>
      <w:tr>
        <w:trPr>
          <w:trHeight w:val="216"/>
        </w:trPr>
        <w:tc>
          <w:tcPr>
            <w:tcW w:w="5820" w:type="dxa"/>
            <w:vAlign w:val="bottom"/>
          </w:tcPr>
          <w:p>
            <w:pPr>
              <w:jc w:val="right"/>
              <w:ind w:right="5370"/>
              <w:spacing w:after="0"/>
              <w:rPr>
                <w:sz w:val="20"/>
                <w:szCs w:val="20"/>
                <w:color w:val="auto"/>
              </w:rPr>
            </w:pPr>
            <w:r>
              <w:rPr>
                <w:rFonts w:ascii="Arial" w:cs="Arial" w:eastAsia="Arial" w:hAnsi="Arial"/>
                <w:sz w:val="18"/>
                <w:szCs w:val="18"/>
                <w:color w:val="auto"/>
                <w:w w:val="84"/>
              </w:rPr>
              <w:t>2023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5820" w:type="dxa"/>
            <w:vAlign w:val="bottom"/>
            <w:shd w:val="clear" w:color="auto" w:fill="CCEEFF"/>
          </w:tcPr>
          <w:p>
            <w:pPr>
              <w:jc w:val="right"/>
              <w:ind w:right="5370"/>
              <w:spacing w:after="0"/>
              <w:rPr>
                <w:sz w:val="20"/>
                <w:szCs w:val="20"/>
                <w:color w:val="auto"/>
              </w:rPr>
            </w:pPr>
            <w:r>
              <w:rPr>
                <w:rFonts w:ascii="Arial" w:cs="Arial" w:eastAsia="Arial" w:hAnsi="Arial"/>
                <w:sz w:val="18"/>
                <w:szCs w:val="18"/>
                <w:color w:val="auto"/>
                <w:w w:val="84"/>
              </w:rPr>
              <w:t>2024</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10"/>
        </w:trPr>
        <w:tc>
          <w:tcPr>
            <w:tcW w:w="5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110,962</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time to time, the Company has owned minority interest investments in certain businesses. Generally, non-marketable investments (excluding limited partnerships and limited liability company interests) in which the Company owns less than 20 percent are accounted for using the cost method of accounting, and investments in which the Company owns between 20 percent and 50 percent and limited partnerships, including its investment in Circle, are accounted for using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31 consist of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Property and other taxes payable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35,947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21,544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54,472</w:t>
            </w:r>
          </w:p>
        </w:tc>
      </w:tr>
      <w:tr>
        <w:trPr>
          <w:trHeight w:val="210"/>
        </w:trPr>
        <w:tc>
          <w:tcPr>
            <w:tcW w:w="5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accounts payable and accrued liabilities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274,890</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revenues consist primarily of deposits on advance bookings of hotel rooms and advance ticket sales at the Company’s tourism properties, as well as uncollected attrition and cancellation fees. Other accrued liabilities include accruals for, among others, purchasing, meeting planner commissions and utilities.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The Company recognizes interest and penalties, if any, related to unrecognized tax benefits in income tax expense. See Note 12, “Income Taxes,” for more detail on the Company’s income taxes.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projected future taxable income and ongoing feasible tax planning strategies in assessing the need for a valuation allowance.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Management Rights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deferred and amortizes the proceeds received from Marriott that were allocated to the sale of the management rights, as discussed further in Note 6, “Deferred Management Rights Proceeds,” on a straight-line basis over the term of the hotel management agreements, including extensions, as a reduction in management fee expense in the accompanying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at December 31 consist of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Straight-line lease liability</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100,068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10"/>
        </w:trPr>
        <w:tc>
          <w:tcPr>
            <w:tcW w:w="5560" w:type="dxa"/>
            <w:vAlign w:val="bottom"/>
          </w:tcPr>
          <w:p>
            <w:pPr>
              <w:ind w:left="10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64,971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161,043</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are included in prepaid expenses and other assets when the related revolving credit facility has no outstanding balance. During 2019, 2018 and 2017, DFCs of $7.7 million, $5.6 million and $5.4 million, respectively, were amortized and recorded as interest expense in the accompanying consolidated statements of operations.</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result of refinancing portions of the Company’s outstanding debt, the Company wrote off $3.1 million, $2.0 million and $0.9 million of DFCs during 2019, 2018 and 2017, respectively, which are included in interest expense in the accompanying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Consolidated Joint Venture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noncontrolling interest in the Gaylord Rockies joint venture represents the minority partners’ proportionate share of the assets and liabilities of the joint venture. The noncontrolling interest is classified in the mezzanine section of the consolidated balance sheets as the related redemption options do not meet the requirements for permanent equity classification because these redemption options may be redeemed by the holder as described in Note 4, “Investment in Gaylord Rockies Joint Venture.”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initial value of the noncontrolling interest, which includes certain put rights, was estimated based on the purchase price allocation performed and is discussed further in Note 4, “Investment in Gaylord Rockies Joint Venture.” In general, the carrying value on a go-forward basis will be based on the greater of the accumulated historical cost or the put right redemption value, and at December 31, 2019, approximates the fair value of the noncontrolling interest. Beginning in 2019, an adjustment is also made for the minority partners’ proportionate share of income or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294,411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Hotel transient rooms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137,357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329,655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154,290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63,586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31,901</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Entertainment retail and 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1,604,566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1,275,118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1,184,719</w:t>
            </w:r>
          </w:p>
        </w:tc>
      </w:tr>
      <w:tr>
        <w:trPr>
          <w:trHeight w:val="20"/>
        </w:trPr>
        <w:tc>
          <w:tcPr>
            <w:tcW w:w="59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3"/>
        </w:trPr>
        <w:tc>
          <w:tcPr>
            <w:tcW w:w="8100" w:type="dxa"/>
            <w:vAlign w:val="bottom"/>
            <w:gridSpan w:val="7"/>
          </w:tcPr>
          <w:p>
            <w:pPr>
              <w:spacing w:after="0"/>
              <w:rPr>
                <w:sz w:val="20"/>
                <w:szCs w:val="20"/>
                <w:color w:val="auto"/>
              </w:rPr>
            </w:pPr>
            <w:r>
              <w:rPr>
                <w:rFonts w:ascii="Arial" w:cs="Arial" w:eastAsia="Arial" w:hAnsi="Arial"/>
                <w:sz w:val="18"/>
                <w:szCs w:val="18"/>
                <w:color w:val="auto"/>
                <w:w w:val="98"/>
              </w:rPr>
              <w:t>The Company’s Hospitality segment revenues disaggregated by location are as follows (in thousands):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59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337,764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Gaylord Palms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200,763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195,735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Gaylord National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268,313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 Hotel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 Hospitality segment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1,421,446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1,127,903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1,059,660</w:t>
            </w: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December 31, 2019 and December 31, 2018, the Company had $76.7 million and $69.3 million, respectively, in deferred revenues, which are included in accounts payable and accrued liabilities in the</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accompanying consolidated balance sheets. Of the amount outstanding at December 31, 2018, approximately $54.9 million was recognized in revenues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pays Marriott a base management fee of approximately 2% of revenues for the wholly-owned properties that Marriott manages and a base management fee of approximately 3% of revenues for Gaylord Rockies, as well as an incentive fee for each managed property that is based on profitability. The Company incurred $31.6 million, $23.3 million and $22.0 million in base management fees to Marriott during 2019, 2018 and 2017, respectively. The Company incurred $12.6 million, $11.8 million and $6.1 million in incentive fees to Marriott during 2019, 2018 and 2017, respectively. Management fees are presented in the consolidated statements of operations net of the amortization of the deferred management rights proceeds discussed further in Note 6, “Deferred Management Rights Proceeds.”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Advertising costs are expensed as incurred and were $53.2 million, $41.2 million, and $38.4 million for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stock-based employee compensation plans, which are described more fully in Note 8, “Stock Plans.” The Company accounts for its stock-based compensation plan under the provisions of Financial Accounting Standards Board (“FASB”) Accounting Standards Codification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expenses the costs associated with start-up activities and organization costs associated with its development or reopening of hotels and significant attractions as incurred. The Company’s preopening costs during 2019 include costs associated with Ole Red Gatlinburg, which opened in March 2019, costs associated with the opening of Gaylord Rockies, which opened on a fully operational basis in January 2019, and costs associated with the ongoing expansion at Gaylord Palms, which is scheduled to be completed in summer 2021. The Company’s preopening costs during 2018 include costs associated with an expansion of the guest rooms and convention space at Gaylord Texan, which opened in May 2018, costs associated with Ole Red Nashville, which opened in May 2018, and costs associated with SoundWaves, an indoor/outdoor luxury waterpark at Gaylord Opryland, the indoor portion of which opened in December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has entered into and may in the future enter into additional interest rate swap agreements to hedge against interest rate fluctuations. Neither the Company nor the Gaylord Rockies joint venture uses derivatives for trading or speculative purposes and currently does not hold any derivatives that are not designated as hedges.</w:t>
      </w:r>
    </w:p>
    <w:p>
      <w:pPr>
        <w:spacing w:after="0" w:line="13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an immaterial amount will be reclassified from accumulated other comprehensive loss to interest expense in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and Other Assets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accounting for the Company’s long-lived and other assets (including its property and equipment, intangible assets and notes receivable associated with the development of Gaylord National and Gaylord Rockies), the Company assesses its</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long-lived assets for impairment whenever events or changes in circumstances indicate that the carrying value of the assets or asset group may not be recoverable.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Recoverability of the notes receivable associated with Gaylord National is measured by comparing the carrying amount of the notes to the fair value of the notes. If the carrying value is greater than the fair value, the Company then assesses if the decline in fair value is other-than-temporary, because of the Company’s intent and ability to hold the notes receivable to maturity. If the decline in fair value, which is based on whether the Company expects to receive debt service payments in excess of the carrying value under the notes, is deemed to be other-than-temporary, then the notes receivable are impaired. Subsequent to the recognition of an other-than-temporary impairment, the Company accounts for the notes receivable as if it had been purchased on the measurement date of the other-than-temporary impairment at an amortized cost basis equal to the previous amortized cost basis less the other-than-temporary impairment previously recognized in earnings. The difference between the new amortized cost basis and the cash flows expected to be collected is accreted into interest income. See Note 3, “Notes Receivable,” for further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Earnings per share is measured as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effect of conversion of dilutive instruments, calculated using the treasury stock method or if-converted method, as applicable. Net income per share amounts are calculated as follows for the years ended December 31 (income and share amounts in thousands):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Income</w:t>
            </w:r>
          </w:p>
        </w:tc>
        <w:tc>
          <w:tcPr>
            <w:tcW w:w="6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$ 145,794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51,609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line="182" w:lineRule="exact"/>
              <w:rPr>
                <w:sz w:val="20"/>
                <w:szCs w:val="20"/>
                <w:color w:val="auto"/>
              </w:rPr>
            </w:pPr>
            <w:r>
              <w:rPr>
                <w:rFonts w:ascii="Arial" w:cs="Arial" w:eastAsia="Arial" w:hAnsi="Arial"/>
                <w:sz w:val="18"/>
                <w:szCs w:val="18"/>
                <w:color w:val="auto"/>
                <w:w w:val="98"/>
              </w:rPr>
              <w:t>Net income available to common stockholders — assuming</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$ 145,794</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51,975</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81</w:t>
            </w:r>
          </w:p>
        </w:tc>
        <w:tc>
          <w:tcPr>
            <w:tcW w:w="0" w:type="dxa"/>
            <w:vAlign w:val="bottom"/>
          </w:tcPr>
          <w:p>
            <w:pPr>
              <w:spacing w:after="0"/>
              <w:rPr>
                <w:sz w:val="1"/>
                <w:szCs w:val="1"/>
                <w:color w:val="auto"/>
              </w:rPr>
            </w:pPr>
          </w:p>
        </w:tc>
      </w:tr>
      <w:tr>
        <w:trPr>
          <w:trHeight w:val="217"/>
        </w:trPr>
        <w:tc>
          <w:tcPr>
            <w:tcW w:w="4780" w:type="dxa"/>
            <w:vAlign w:val="bottom"/>
          </w:tcPr>
          <w:p>
            <w:pPr>
              <w:ind w:left="100"/>
              <w:spacing w:after="0"/>
              <w:rPr>
                <w:sz w:val="20"/>
                <w:szCs w:val="20"/>
                <w:color w:val="auto"/>
              </w:rPr>
            </w:pPr>
            <w:r>
              <w:rPr>
                <w:rFonts w:ascii="Arial" w:cs="Arial" w:eastAsia="Arial" w:hAnsi="Arial"/>
                <w:sz w:val="18"/>
                <w:szCs w:val="18"/>
                <w:color w:val="auto"/>
              </w:rPr>
              <w:t>dilution</w:t>
            </w: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Income</w:t>
            </w:r>
          </w:p>
        </w:tc>
        <w:tc>
          <w:tcPr>
            <w:tcW w:w="6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$ 264,670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51,294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7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8"/>
              </w:rPr>
              <w:t>Net income available to common stockholders — assuming</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$ 264,670</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51,507</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dilution</w:t>
            </w: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Income</w:t>
            </w:r>
          </w:p>
        </w:tc>
        <w:tc>
          <w:tcPr>
            <w:tcW w:w="6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$ 176,100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51,147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7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8"/>
              </w:rPr>
              <w:t>Net income available to common stockholders — assuming</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$ 176,100</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51,371</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dilution</w:t>
            </w: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more fully discussed in Note 4, “Investment in Gaylord Rockies Joint Venture,” to the consolidated financial statements included herein, certain affiliates of Ares Management, L.P. (“Ares”) each have a put right to require the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Company to purchase their joint venture interests in the Gaylord Rockies joint venture in consideration of cash or operating partnership units (“OP Units”) of the Operating Partnership. Any OP Units issued by the Operating Partnership to the certain affiliates of Ares will be redeemable at the option of the holders thereof for shares of the Company’s common stock on a one-for-one basis, subject to certain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(ASC 842), that requires lessees to put most leases on their balance sheet, but recognize expenses on their income statements in a manner similar to previous accounting. ASC 842 also eliminates the required use of bright-line tests for determining lease classification. The Company adopted ASC 842 as of January 1, 2019 using the modified retrospective approach. Existing leases were recorded at the adoption date and comparative periods were not restated and are presented based on previous existing guidance. The Company also adopted several practical expedients, which allowed the Company to avoid reassessing (i) whether an expired or existing contract meets the definition of a lease; (ii) the lease classification at the adoption date for existing leases; and (iii) whether costs previously capitalized as initial direct costs would continue to be amortized. In addition, the Company elected to adopt a practical expedient that allows the Company to avoid reassessing existing or expired land easements that were not previously accounted for as a lease, as well as a practical expedient that allows the Company to avoid separating nonlease components from lease components and instead to account for each separate lease component and related nonlease component as a single lease component. As permitted, the Company has elected to not apply the recognition requirements of ASC 842 to short-term leases. Adoption of this new standard resulted in the recording of right-of-use operating lease assets and operating lease liabilities of $100.9 million as of January 1, 2019. However, after considering the Company’s previous straight-line lease liability of $100.1 million, the Company recorded $0.8 million in net right-of-use assets related to its operating leases as of January 1, 2019. Right-of-use assets are recorded in prepaid expenses and other assets in the accompanying consolidated balance sheet at December 31, 2019. See Note 2, “Property and Equipment,” and Note 7, “Leases,” for additional disclosures regarding the Company’s leases.</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 – Credit Losses –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which will change how entities will measure credit losses for most financial assets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An entity will apply these amendments with a modified-retrospective approach, with a cumulative-effect adjustment to retained earnings as of the beginning of period of adoption. For debt securities for which an other-than-temporary impairment has been previously recognized, a prospective transition approach for the prior other-than-temporary impairment is required. The Company will adopt this ASU in the first quarter of 2020 and anticipates making an adjustment to beginning retained earnings of approximately $3 million to $7 million. The Company does not anticipate any other significant impacts on its financial statements.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Derivatives and Hedging – Targeted 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which makes more financial and nonfinancial hedging strategies eligible for hedge accounting,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how companies assess hedge effectiveness, and amends the presentation and disclosure requirements for hedging transactions. The Company adopted this ASU in the first quarter of 2019, and this adoption did not have a material impact on the Company’s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2018, the FASB issued ASU No. 2018-02, “</w:t>
      </w:r>
      <w:r>
        <w:rPr>
          <w:rFonts w:ascii="Arial" w:cs="Arial" w:eastAsia="Arial" w:hAnsi="Arial"/>
          <w:sz w:val="18"/>
          <w:szCs w:val="18"/>
          <w:i w:val="1"/>
          <w:iCs w:val="1"/>
          <w:color w:val="auto"/>
        </w:rPr>
        <w:t>Income Statement – Reporting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which gives entities the option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to reclassify to retained earnings tax effects related to items that have been stranded in accumulated other comprehensive income as a result of the Tax Cuts and Jobs Act (“TCJA”). An entity that elects to reclassify these amounts must reclassify stranded tax effects related to the TCJA’s change in US federal tax rate for all items accounted for in other comprehensive income. These entities can also elect to reclassify other stranded effects that relate to the TCJA but do not directly relate to the change in the federal tax rate. The Company adopted this ASU in the first quarter of 2019, and the Company recorded a transition adjustment of $2.7 million, which is reflected as a reclassification from accumulated other comprehensive loss to accumulated deficit in the accompanying consolidated balance sheet at December 31, 2019.</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2018, the FASB issued ASU No. 2018-14, “</w:t>
      </w:r>
      <w:r>
        <w:rPr>
          <w:rFonts w:ascii="Arial" w:cs="Arial" w:eastAsia="Arial" w:hAnsi="Arial"/>
          <w:sz w:val="17"/>
          <w:szCs w:val="17"/>
          <w:i w:val="1"/>
          <w:iCs w:val="1"/>
          <w:color w:val="auto"/>
        </w:rPr>
        <w:t>Compensation – Retirement Benefits – Defined Benefit Plans –</w:t>
      </w:r>
      <w:r>
        <w:rPr>
          <w:rFonts w:ascii="Arial" w:cs="Arial" w:eastAsia="Arial" w:hAnsi="Arial"/>
          <w:sz w:val="17"/>
          <w:szCs w:val="17"/>
          <w:color w:val="auto"/>
        </w:rPr>
        <w:t xml:space="preserve"> </w:t>
      </w:r>
      <w:r>
        <w:rPr>
          <w:rFonts w:ascii="Arial" w:cs="Arial" w:eastAsia="Arial" w:hAnsi="Arial"/>
          <w:sz w:val="17"/>
          <w:szCs w:val="17"/>
          <w:i w:val="1"/>
          <w:iCs w:val="1"/>
          <w:color w:val="auto"/>
        </w:rPr>
        <w:t>General</w:t>
      </w:r>
      <w:r>
        <w:rPr>
          <w:rFonts w:ascii="Arial" w:cs="Arial" w:eastAsia="Arial" w:hAnsi="Arial"/>
          <w:sz w:val="17"/>
          <w:szCs w:val="17"/>
          <w:color w:val="auto"/>
        </w:rPr>
        <w:t>,” that requires sponsors of defined benefit pension and/or other postretirement plans to disclose the weighted-average interest crediting rate for cash balance plans and other plans with promised interest crediting rates and to disclose an explanation of the reasons for significant gains and losses related to changes in the benefit obligation for the period. The guidance also eliminated certain disclosures. The Company adopted this ASU in the first quarter of 2019, and this adoption did not have a material impact on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and equipment at December 31 is recorded at cost, with the exception of right-of-use finance leases and the Gaylord Rockies joint venture as discussed below, and summarized as follows (amounts in thousands):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3,432,136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3,379,041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48,295</w:t>
            </w:r>
          </w:p>
        </w:tc>
      </w:tr>
      <w:tr>
        <w:trPr>
          <w:trHeight w:val="210"/>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4,834,537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4,688,518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(1,704,285)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(1,539,423)</w:t>
            </w: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3,130,252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3,149,095</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 and equipment includes all property and equipment of the Gaylord Rockies joint venture as of December 31, 2018, reflected at fair value according to the Company’s purchase price allocation described in Note 4, “Investment in Gaylord Rockies Joint Venture.” Depreciation expense, including amortization of assets under finance lease obligations, during 2019, 2018 and 2017 was $172.2 million, $119.5 million, and $110.4 million, respectively.</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April 2, 2008. The interest rate on the Series A Bond and Series B Bond is 8.0% and 10.0%, respectively. The maturity date of the Series A Bond and the Series B Bond is July 1, 2034 and September 1, 2037, respectively.</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these bonds, the Company follows the accounting guidance related to investments in debt securities. 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Series A Bond and Series B Bond, which have aggregate carrying values and approximate fair values of $74.8 million and $35.3 million, respectively, at December 31, 2019. The Company bases its estimates of fair value on the projected future cash flows of the bonds. The Company is receiving the debt service on the notes receivable, which are payable from tax increments, hotel taxes and special hotel rental taxes generated from the development through the maturity date. Thus, the fair value estimate is sensitive to the significant assumptions, which include the expected average daily rates, occupancy rates, real estate capitalization rates and discount rates, and which are affected by expectations about future market and economic conditions, particularly those in the Washington D.C. market. The Company considers such assumptions to be Level 3 fair value estimates. Further, such assumptions are judgmental as the bonds and related projected cash flows continue for an extending period of time through maturity.</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the intent and ability to hold the Series A Bond and Series B Bond to maturity and had previously expected to receive all debt service payments due. In the fourth quarter and year ended December 31, 2017, as part of its impairment analysis related to the Series B Bond, the Company considered reduced projected tax revenues, which will service the bond, as compared to previous impairment analyses, over the remaining term of the Series B Bond. These long-range tax revenue projections were reduced in 2017 primarily as the result of two factors. First, transient rooms revenue growth rates had been reduced as the initial impact of the opening of the new nearby MGM casino on overnight regional guests had been less than originally anticipated. Second, while the anticipated recovery of the Washington D.C. market had materialized in the central business district, recovery of National Harbor and the surrounding areas had been at a slower pace than previously projected. In response, Gaylord National developed marketing campaigns targeted to regional customers to help drive transient business among regional customers. While these campaigns had proven successful, this change resulted in a lower average daily rate (“ADR”) than previously forecasted. As a result, the level of anticipated transient occupancy and ADR increase included in previous long-range projections had not materialized.</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result of these reduced long-range tax revenue projections over the remaining life of the Series B Bond, the Company no longer believed it would receive all debt service payments due under the note, and the Company considered the Series B Bond to be other-than-temporarily impaired (“OTTI”) in 2017. The Company compared the expected cash flows to be collected at the original discount rate of 11.42% to the carrying value and determined that the present value of the future cash flows was less than the carrying value. The Company then compared the expected cash flows to be collected at a then-current discount rate of 14.0% to the carrying value of the Series B Bond. The resulting discounted cash flows resulted in an OTTI of $42.0 million, which was recorded as a reduction in the carrying value of notes receivable in the consolidated balance sheet at December 31, 2017. The amount of the OTTI related to the credit loss, or the decrease in expected cash flows, of $35.4 million was recorded as an impairment in the accompanying consolidated statement of operations for 2017. The amount of the OTTI related to changing market conditions, or the increase in the discount rate, of $6.5 million was recorded as an increase to other comprehensive loss in the accompanying consolidated statement of comprehensive income and consolidated statement of stockholders’ equity for 2017 and is amortized as an adjustment to the carrying value of the Series B Bond in the accompanying consolidated balance sheets. The discount rate was determined based on current market interest rates of notes receivable with comparable market ratings and current expectations about the timing of debt service payments under the note.</w:t>
      </w:r>
    </w:p>
    <w:p>
      <w:pPr>
        <w:spacing w:after="0" w:line="183"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During 2019, 2018 and 2017, the Company recorded interest income of $10.2 million, $10.1 million and $11.6 million, respectively, on these bonds. The Company received payments of $11.3 million, $10.9 million and $11.1 million during 2019, 2018 and 2017, respectively, relating to these notes receivable, which includes principal and interest payments.</w:t>
      </w:r>
    </w:p>
    <w:p>
      <w:pPr>
        <w:spacing w:after="0" w:line="14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connection with the development of certain infrastructure adjacent to Gaylord Rockies, in December 2015, Colorado International Center Metropolitan District No. 4 (“CIC4”) issued a bond with a face value of $20.4 million (“GR Series A Bond”) and an additional bond with a face value of $1.5 million (“GR Series B Bond”), of which $9.0 million</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of the GR Series A Bond and all of the GR Series B Bond were purchased by the Gaylord Rockies joint venture at issuance at face value. The interest rate on both bonds was 2.5% through November 30, 2020; 6.0% from December 1, 2020 through November 30, 2024; and 8.0% from December 1, 2024 through the respective maturity date. The original maturity date of the GR Series A Bond and the GR Series B Bond was December 1, 2030 and December 1, 2040, respectively. In April 2019, these bonds were redeemed by CIC4, and the joint venture received the outstanding principal and interest, which resulted in no impact to the Company’s consolidated statement of operations for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Gaylord Rockies Joint Venture</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March 2016, certain subsidiaries of the Company entered into a series of agreements with affiliates of RIDA Development Corporation (“RIDA”) and Ares with respect to an equity investment in the Gaylord Rockies joint venture, which developed Gaylord Rockies. The hotel is managed by Marriott pursuant to a long-term management contract and consists of a 1,501-room resort hotel with over 485,000 square feet of exhibition, meeting, pre-function and outdoor space. The hotel opened in December 2018 at a total project cost of approximately $800 million.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2016, the Company acquired a 35% interest in a limited liability company which owns the real property comprising the hotel, which the Company purchased for a capital contribution of approximately $86.5 million. The Company also acquired a 35% interest in a limited liability company which leases the hotel from the property owner and assumed the Marriott management agreement prior to the opening of the hotel. The equity method income (losses) in this investment were $124.4 million and $(1.9) million for 2018 and 2017, respectively.</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subsidiary of the Company provided designated asset management services on behalf of the hotel during the pre-construction period in exchange for a flat fee and after opening of the hotel in exchange for a fee based on the hotel’s gross revenues on an annual basis.</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31, 2018, the Company purchased additional interests in the Gaylord Rockies joint venture, pursuant to a Purchase Agreement by and among the Company and affiliates of RIDA and Ares, and then owned a 61.2% interest in each of the limited liability companies discussed above. The purchase price paid by the Company was approximately $235.2 million, funded with cash on hand and borrowings under the Company’s revolving credit facility. 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majority vote of a committee consisting of two members designated by the Company and two members designated by the minority partner. Based on management’s analysis of these updated agreements, management concluded that the Company’s responsibility for the day-to-day management of the joint venture and for future financings meeting certain parameters results in the Company holding the power to direct the activities that most significantly impact the economic performance of the joint venture. In addition, the shared decisions represent protective rights of both parties. Thus, the Company is the primary beneficiary of this variable interest entity at December 31, 2018. As such, the Company consolidated the assets and liabilities of the joint venture effective December 31, 2018 and began consolidating the ongoing operations of the joint venture effective January 1, 2019.</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performed a valuation of the overall fair value of the Gaylord Rockies joint venture and the acquired assets and liabilities as of December 31, 2018. This valuation was determined based on a variety of factors and inputs, including future projected cash flows, market data for similar assets, future projected occupancy and ADR, replacement values of land and property, and advanced bookings already received for the hotel, all of which the Company considers as Level 3 fair value measurements. This valuation resulted in an estimation that the fair value of the Company’s existing joint venture interest immediately prior to the purchase of additional interest was $218.4 million, which exceeded the carrying value of the Company’s existing interest in the joint venture. The resulting gain of $131.4 million related to the re-measurement of the pre-existing equity method investment prior to consolidation was recorded as income from unconsolidated joint ventures in the accompanying consolidated statement of operations for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79"/>
        <w:spacing w:after="0" w:line="286" w:lineRule="auto"/>
        <w:rPr>
          <w:sz w:val="20"/>
          <w:szCs w:val="20"/>
          <w:color w:val="auto"/>
        </w:rPr>
      </w:pPr>
      <w:r>
        <w:rPr>
          <w:rFonts w:ascii="Arial" w:cs="Arial" w:eastAsia="Arial" w:hAnsi="Arial"/>
          <w:sz w:val="17"/>
          <w:szCs w:val="17"/>
          <w:color w:val="auto"/>
        </w:rPr>
        <w:t>Utilizing the valuation, the Company performed a purchase price allocation for the acquired assets and liabilities of the Gaylord Rockies joint venture. As a result, the following assets, liabilities and obligations were recorded in the Company’s accompanying consolidated balance sheet at December 31, 2018 (amounts in thousands):</w:t>
      </w:r>
    </w:p>
    <w:p>
      <w:pPr>
        <w:sectPr>
          <w:pgSz w:w="11900" w:h="16838" w:orient="portrait"/>
          <w:cols w:equalWidth="0" w:num="1">
            <w:col w:w="9039"/>
          </w:cols>
          <w:pgMar w:left="1420" w:top="517" w:right="1440" w:bottom="1440" w:gutter="0" w:footer="0" w:header="0"/>
        </w:sectPr>
      </w:pP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-121920</wp:posOffset>
            </wp:positionV>
            <wp:extent cx="493966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and cash equivalents - unrestricted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Notes receivable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-130810</wp:posOffset>
            </wp:positionV>
            <wp:extent cx="493966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Trade receivables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-130810</wp:posOffset>
            </wp:positionV>
            <wp:extent cx="493966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Intangible assets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493966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4939665" cy="154305"/>
                    </a:xfrm>
                    <a:prstGeom prst="rect">
                      <a:avLst/>
                    </a:prstGeom>
                    <a:noFill/>
                  </pic:spPr>
                </pic:pic>
              </a:graphicData>
            </a:graphic>
          </wp:anchor>
        </w:drawing>
      </w:r>
    </w:p>
    <w:p>
      <w:pPr>
        <w:spacing w:after="0" w:line="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assets acquired</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and capital lease obligations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-121920</wp:posOffset>
            </wp:positionV>
            <wp:extent cx="493966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493966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4939665" cy="154305"/>
                    </a:xfrm>
                    <a:prstGeom prst="rect">
                      <a:avLst/>
                    </a:prstGeom>
                    <a:noFill/>
                  </pic:spPr>
                </pic:pic>
              </a:graphicData>
            </a:graphic>
          </wp:anchor>
        </w:drawing>
      </w:r>
    </w:p>
    <w:p>
      <w:pPr>
        <w:spacing w:after="0" w:line="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Total liabilities assumed</w:t>
      </w:r>
    </w:p>
    <w:p>
      <w:pPr>
        <w:spacing w:after="0" w:line="252" w:lineRule="exact"/>
        <w:rPr>
          <w:sz w:val="20"/>
          <w:szCs w:val="20"/>
          <w:color w:val="auto"/>
        </w:rPr>
      </w:pPr>
    </w:p>
    <w:p>
      <w:pPr>
        <w:ind w:left="640" w:right="1914"/>
        <w:spacing w:after="0" w:line="291" w:lineRule="auto"/>
        <w:rPr>
          <w:sz w:val="20"/>
          <w:szCs w:val="20"/>
          <w:color w:val="auto"/>
        </w:rPr>
      </w:pPr>
      <w:r>
        <w:rPr>
          <w:rFonts w:ascii="Arial" w:cs="Arial" w:eastAsia="Arial" w:hAnsi="Arial"/>
          <w:sz w:val="16"/>
          <w:szCs w:val="16"/>
          <w:color w:val="auto"/>
        </w:rPr>
        <w:t>Noncontrolling interest in consolidated joint venture Previously unconsolidated 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-273685</wp:posOffset>
            </wp:positionV>
            <wp:extent cx="493966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ind w:left="860" w:right="574" w:hanging="215"/>
        <w:spacing w:after="0" w:line="358" w:lineRule="auto"/>
        <w:rPr>
          <w:sz w:val="20"/>
          <w:szCs w:val="20"/>
          <w:color w:val="auto"/>
        </w:rPr>
      </w:pPr>
      <w:r>
        <w:rPr>
          <w:rFonts w:ascii="Arial" w:cs="Arial" w:eastAsia="Arial" w:hAnsi="Arial"/>
          <w:sz w:val="16"/>
          <w:szCs w:val="16"/>
          <w:color w:val="auto"/>
        </w:rPr>
        <w:t>Gain on re-measurement of pre-existing equity method investment Purchase price of additional interest in Gaylord Rockies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-347980</wp:posOffset>
            </wp:positionV>
            <wp:extent cx="493966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86" w:hanging="486"/>
        <w:spacing w:after="0"/>
        <w:tabs>
          <w:tab w:leader="none" w:pos="4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1,018,499</w:t>
      </w:r>
    </w:p>
    <w:p>
      <w:pPr>
        <w:spacing w:after="0" w:line="34" w:lineRule="exact"/>
        <w:rPr>
          <w:rFonts w:ascii="Arial" w:cs="Arial" w:eastAsia="Arial" w:hAnsi="Arial"/>
          <w:sz w:val="17"/>
          <w:szCs w:val="17"/>
          <w:color w:val="auto"/>
        </w:rPr>
      </w:pPr>
    </w:p>
    <w:p>
      <w:pPr>
        <w:ind w:left="726"/>
        <w:spacing w:after="0"/>
        <w:rPr>
          <w:rFonts w:ascii="Arial" w:cs="Arial" w:eastAsia="Arial" w:hAnsi="Arial"/>
          <w:sz w:val="17"/>
          <w:szCs w:val="17"/>
          <w:color w:val="auto"/>
        </w:rPr>
      </w:pPr>
      <w:r>
        <w:rPr>
          <w:rFonts w:ascii="Arial" w:cs="Arial" w:eastAsia="Arial" w:hAnsi="Arial"/>
          <w:sz w:val="17"/>
          <w:szCs w:val="17"/>
          <w:color w:val="auto"/>
        </w:rPr>
        <w:t>11,653</w:t>
      </w:r>
    </w:p>
    <w:p>
      <w:pPr>
        <w:spacing w:after="0" w:line="20" w:lineRule="exact"/>
        <w:rPr>
          <w:rFonts w:ascii="Arial" w:cs="Arial" w:eastAsia="Arial" w:hAnsi="Arial"/>
          <w:sz w:val="17"/>
          <w:szCs w:val="17"/>
          <w:color w:val="auto"/>
        </w:rPr>
      </w:pPr>
    </w:p>
    <w:p>
      <w:pPr>
        <w:ind w:left="726"/>
        <w:spacing w:after="0"/>
        <w:rPr>
          <w:rFonts w:ascii="Arial" w:cs="Arial" w:eastAsia="Arial" w:hAnsi="Arial"/>
          <w:sz w:val="17"/>
          <w:szCs w:val="17"/>
          <w:color w:val="auto"/>
        </w:rPr>
      </w:pPr>
      <w:r>
        <w:rPr>
          <w:rFonts w:ascii="Arial" w:cs="Arial" w:eastAsia="Arial" w:hAnsi="Arial"/>
          <w:sz w:val="17"/>
          <w:szCs w:val="17"/>
          <w:color w:val="auto"/>
        </w:rPr>
        <w:t>11,230</w:t>
      </w:r>
    </w:p>
    <w:p>
      <w:pPr>
        <w:spacing w:after="0" w:line="20" w:lineRule="exact"/>
        <w:rPr>
          <w:rFonts w:ascii="Arial" w:cs="Arial" w:eastAsia="Arial" w:hAnsi="Arial"/>
          <w:sz w:val="17"/>
          <w:szCs w:val="17"/>
          <w:color w:val="auto"/>
        </w:rPr>
      </w:pPr>
    </w:p>
    <w:p>
      <w:pPr>
        <w:ind w:left="806"/>
        <w:spacing w:after="0"/>
        <w:rPr>
          <w:rFonts w:ascii="Arial" w:cs="Arial" w:eastAsia="Arial" w:hAnsi="Arial"/>
          <w:sz w:val="17"/>
          <w:szCs w:val="17"/>
          <w:color w:val="auto"/>
        </w:rPr>
      </w:pPr>
      <w:r>
        <w:rPr>
          <w:rFonts w:ascii="Arial" w:cs="Arial" w:eastAsia="Arial" w:hAnsi="Arial"/>
          <w:sz w:val="18"/>
          <w:szCs w:val="18"/>
          <w:color w:val="auto"/>
        </w:rPr>
        <w:t>2,019</w:t>
      </w:r>
    </w:p>
    <w:p>
      <w:pPr>
        <w:spacing w:after="0" w:line="9" w:lineRule="exact"/>
        <w:rPr>
          <w:rFonts w:ascii="Arial" w:cs="Arial" w:eastAsia="Arial" w:hAnsi="Arial"/>
          <w:sz w:val="17"/>
          <w:szCs w:val="17"/>
          <w:color w:val="auto"/>
        </w:rPr>
      </w:pPr>
    </w:p>
    <w:p>
      <w:pPr>
        <w:ind w:left="726"/>
        <w:spacing w:after="0"/>
        <w:rPr>
          <w:rFonts w:ascii="Arial" w:cs="Arial" w:eastAsia="Arial" w:hAnsi="Arial"/>
          <w:sz w:val="17"/>
          <w:szCs w:val="17"/>
          <w:color w:val="auto"/>
        </w:rPr>
      </w:pPr>
      <w:r>
        <w:rPr>
          <w:rFonts w:ascii="Arial" w:cs="Arial" w:eastAsia="Arial" w:hAnsi="Arial"/>
          <w:sz w:val="17"/>
          <w:szCs w:val="17"/>
          <w:color w:val="auto"/>
        </w:rPr>
        <w:t>20,419</w:t>
      </w:r>
    </w:p>
    <w:p>
      <w:pPr>
        <w:spacing w:after="0" w:line="21" w:lineRule="exact"/>
        <w:rPr>
          <w:sz w:val="20"/>
          <w:szCs w:val="20"/>
          <w:color w:val="auto"/>
        </w:rPr>
      </w:pPr>
    </w:p>
    <w:p>
      <w:pPr>
        <w:ind w:left="626"/>
        <w:spacing w:after="0"/>
        <w:rPr>
          <w:sz w:val="20"/>
          <w:szCs w:val="20"/>
          <w:color w:val="auto"/>
        </w:rPr>
      </w:pPr>
      <w:r>
        <w:rPr>
          <w:rFonts w:ascii="Arial" w:cs="Arial" w:eastAsia="Arial" w:hAnsi="Arial"/>
          <w:sz w:val="17"/>
          <w:szCs w:val="17"/>
          <w:color w:val="auto"/>
        </w:rPr>
        <w:t>241,973</w:t>
      </w:r>
    </w:p>
    <w:p>
      <w:pPr>
        <w:spacing w:after="0" w:line="33" w:lineRule="exact"/>
        <w:rPr>
          <w:sz w:val="20"/>
          <w:szCs w:val="20"/>
          <w:color w:val="auto"/>
        </w:rPr>
      </w:pPr>
    </w:p>
    <w:p>
      <w:pPr>
        <w:ind w:left="486"/>
        <w:spacing w:after="0"/>
        <w:rPr>
          <w:sz w:val="20"/>
          <w:szCs w:val="20"/>
          <w:color w:val="auto"/>
        </w:rPr>
      </w:pPr>
      <w:r>
        <w:rPr>
          <w:rFonts w:ascii="Arial" w:cs="Arial" w:eastAsia="Arial" w:hAnsi="Arial"/>
          <w:sz w:val="17"/>
          <w:szCs w:val="17"/>
          <w:color w:val="auto"/>
        </w:rPr>
        <w:t>1,305,793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8058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4"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(494,578)</w:t>
      </w:r>
    </w:p>
    <w:p>
      <w:pPr>
        <w:spacing w:after="0" w:line="2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(70,215)</w:t>
      </w:r>
    </w:p>
    <w:p>
      <w:pPr>
        <w:spacing w:after="0" w:line="22"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(564,793)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8058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32"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(287,433)</w:t>
      </w:r>
    </w:p>
    <w:p>
      <w:pPr>
        <w:spacing w:after="0" w:line="2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(86,913)</w:t>
      </w:r>
    </w:p>
    <w:p>
      <w:pPr>
        <w:spacing w:after="0" w:line="9"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(131,437)</w:t>
      </w:r>
    </w:p>
    <w:p>
      <w:pPr>
        <w:spacing w:after="0" w:line="9" w:lineRule="exact"/>
        <w:rPr>
          <w:sz w:val="20"/>
          <w:szCs w:val="20"/>
          <w:color w:val="auto"/>
        </w:rPr>
      </w:pPr>
    </w:p>
    <w:p>
      <w:pPr>
        <w:ind w:left="626" w:hanging="626"/>
        <w:spacing w:after="0"/>
        <w:tabs>
          <w:tab w:leader="none" w:pos="626" w:val="left"/>
        </w:tabs>
        <w:numPr>
          <w:ilvl w:val="0"/>
          <w:numId w:val="44"/>
        </w:numPr>
        <w:rPr>
          <w:rFonts w:ascii="Arial" w:cs="Arial" w:eastAsia="Arial" w:hAnsi="Arial"/>
          <w:sz w:val="17"/>
          <w:szCs w:val="17"/>
          <w:color w:val="auto"/>
        </w:rPr>
      </w:pPr>
      <w:r>
        <w:rPr>
          <w:rFonts w:ascii="Arial" w:cs="Arial" w:eastAsia="Arial" w:hAnsi="Arial"/>
          <w:sz w:val="17"/>
          <w:szCs w:val="17"/>
          <w:color w:val="auto"/>
        </w:rPr>
        <w:t>235,217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8058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8058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8058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6434" w:space="720"/>
            <w:col w:w="1885"/>
          </w:cols>
          <w:pgMar w:left="1420" w:top="517" w:right="1440" w:bottom="1440" w:gutter="0" w:footer="0" w:header="0"/>
          <w:type w:val="continuous"/>
        </w:sectPr>
      </w:pPr>
    </w:p>
    <w:p>
      <w:pPr>
        <w:jc w:val="both"/>
        <w:ind w:right="159"/>
        <w:spacing w:after="0" w:line="264" w:lineRule="auto"/>
        <w:rPr>
          <w:sz w:val="20"/>
          <w:szCs w:val="20"/>
          <w:color w:val="auto"/>
        </w:rPr>
      </w:pPr>
      <w:r>
        <w:rPr>
          <w:rFonts w:ascii="Arial" w:cs="Arial" w:eastAsia="Arial" w:hAnsi="Arial"/>
          <w:sz w:val="18"/>
          <w:szCs w:val="18"/>
          <w:color w:val="auto"/>
        </w:rPr>
        <w:t>On July 31, 2019, the Company purchased an additional 0.9% interest in the Gaylord Rockies joint venture for a purchase price of $5.5 million, net of closing true-ups. Subsequent to this transaction, the Company now owns 62.1% of the Gaylord Rockies joint venture.</w:t>
      </w:r>
    </w:p>
    <w:p>
      <w:pPr>
        <w:spacing w:after="0" w:line="181" w:lineRule="exact"/>
        <w:rPr>
          <w:sz w:val="20"/>
          <w:szCs w:val="20"/>
          <w:color w:val="auto"/>
        </w:rPr>
      </w:pPr>
    </w:p>
    <w:p>
      <w:pPr>
        <w:ind w:right="19"/>
        <w:spacing w:after="0" w:line="273" w:lineRule="auto"/>
        <w:rPr>
          <w:sz w:val="20"/>
          <w:szCs w:val="20"/>
          <w:color w:val="auto"/>
        </w:rPr>
      </w:pPr>
      <w:r>
        <w:rPr>
          <w:rFonts w:ascii="Arial" w:cs="Arial" w:eastAsia="Arial" w:hAnsi="Arial"/>
          <w:sz w:val="17"/>
          <w:szCs w:val="17"/>
          <w:color w:val="auto"/>
        </w:rPr>
        <w:t>Pursuant to the amended and restated joint venture agreements, certain affiliates of Ares have a put right to require the Company to purchase their joint venture interests at an appraised value during an annual window period, or under certain other circumstances, in consideration of cash or OP Units of the Operating Partnership. Such put right may be exercised for a number of OP Units, which have economic terms that are substantially similar to shares of the Company’s common stock. Any OP Units issued by the Operating Partnership will be redeemable at the option of the holders thereof for shares of the Company’s common stock on a one-for-one basis, subject to certain adjustments.</w:t>
      </w:r>
    </w:p>
    <w:p>
      <w:pPr>
        <w:spacing w:after="0" w:line="178" w:lineRule="exact"/>
        <w:rPr>
          <w:sz w:val="20"/>
          <w:szCs w:val="20"/>
          <w:color w:val="auto"/>
        </w:rPr>
      </w:pPr>
    </w:p>
    <w:p>
      <w:pPr>
        <w:ind w:right="159"/>
        <w:spacing w:after="0" w:line="342" w:lineRule="auto"/>
        <w:rPr>
          <w:sz w:val="20"/>
          <w:szCs w:val="20"/>
          <w:color w:val="auto"/>
        </w:rPr>
      </w:pPr>
      <w:r>
        <w:rPr>
          <w:rFonts w:ascii="Arial" w:cs="Arial" w:eastAsia="Arial" w:hAnsi="Arial"/>
          <w:sz w:val="16"/>
          <w:szCs w:val="16"/>
          <w:color w:val="auto"/>
        </w:rPr>
        <w:t>Affiliates of RIDA also have a put right at an appraised value, for cash, which will become exercisable at the earlier of five years after the closing under the Purchase Agreement or the date on which a certain change of control of RIDA occurs.</w:t>
      </w:r>
    </w:p>
    <w:p>
      <w:pPr>
        <w:spacing w:after="0" w:line="124" w:lineRule="exact"/>
        <w:rPr>
          <w:sz w:val="20"/>
          <w:szCs w:val="20"/>
          <w:color w:val="auto"/>
        </w:rPr>
      </w:pPr>
    </w:p>
    <w:p>
      <w:pPr>
        <w:ind w:right="59"/>
        <w:spacing w:after="0" w:line="272" w:lineRule="auto"/>
        <w:rPr>
          <w:sz w:val="20"/>
          <w:szCs w:val="20"/>
          <w:color w:val="auto"/>
        </w:rPr>
      </w:pPr>
      <w:r>
        <w:rPr>
          <w:rFonts w:ascii="Arial" w:cs="Arial" w:eastAsia="Arial" w:hAnsi="Arial"/>
          <w:sz w:val="17"/>
          <w:szCs w:val="17"/>
          <w:color w:val="auto"/>
        </w:rPr>
        <w:t>The Company also entered into a tax protection agreement in connection with the December 31, 2018 purchase of additional interests in the Gaylord Rockies joint venture, which will generally require the Company to, among other things, indemnify certain Ares affiliates that are members of the Gaylord Rockies joint venture that remain invested in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finance lease obligations at December 31 consisted of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$700M Revolving Credit Facility, less unamortized DFCs of $0 and $6,542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518,458</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$300M Term Loan A, less unamortized DFCs of $2,478 and $1,220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198,780</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$500M Term Loan B, less unamortized DFCs of $4,501 and $5,307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485,943</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$350M Senior Notes, less unamortized DFCs of $0 and $2,385</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347,615</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$400M</w:t>
            </w: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less unamortized DFCs of $3,222 and $4,097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395,903</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$700M</w:t>
            </w:r>
          </w:p>
        </w:tc>
        <w:tc>
          <w:tcPr>
            <w:tcW w:w="6480" w:type="dxa"/>
            <w:vAlign w:val="bottom"/>
          </w:tcPr>
          <w:p>
            <w:pPr>
              <w:ind w:left="20"/>
              <w:spacing w:after="0" w:line="201" w:lineRule="exact"/>
              <w:rPr>
                <w:sz w:val="20"/>
                <w:szCs w:val="20"/>
                <w:color w:val="auto"/>
              </w:rPr>
            </w:pPr>
            <w:r>
              <w:rPr>
                <w:rFonts w:ascii="Arial" w:cs="Arial" w:eastAsia="Arial" w:hAnsi="Arial"/>
                <w:sz w:val="18"/>
                <w:szCs w:val="18"/>
                <w:color w:val="auto"/>
                <w:w w:val="92"/>
              </w:rPr>
              <w:t>Senior Notes, less unamortized DFCs of $11,808 and $0, plus unamortized premium of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$2,434 and $0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690,626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$800M</w:t>
            </w: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(Gaylord Rockies JV), less unamortized DFCs of $8,015 and $0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8"/>
              </w:rPr>
              <w:t>$500M</w:t>
            </w:r>
          </w:p>
        </w:tc>
        <w:tc>
          <w:tcPr>
            <w:tcW w:w="6480" w:type="dxa"/>
            <w:vAlign w:val="bottom"/>
          </w:tcPr>
          <w:p>
            <w:pPr>
              <w:ind w:left="20"/>
              <w:spacing w:after="0"/>
              <w:rPr>
                <w:sz w:val="20"/>
                <w:szCs w:val="20"/>
                <w:color w:val="auto"/>
              </w:rPr>
            </w:pPr>
            <w:r>
              <w:rPr>
                <w:rFonts w:ascii="Arial" w:cs="Arial" w:eastAsia="Arial" w:hAnsi="Arial"/>
                <w:sz w:val="18"/>
                <w:szCs w:val="18"/>
                <w:color w:val="auto"/>
                <w:w w:val="97"/>
              </w:rPr>
              <w:t>Construction Loan (Gaylord Rockies JV), less unamortized DFCs of $0 and $1,807</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457,090</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$39M Mezzanine Loan (Gaylord Rockies JV), less unamortized DFCs of $0 and $227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r>
      <w:tr>
        <w:trPr>
          <w:trHeight w:val="216"/>
        </w:trPr>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obligations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10"/>
        </w:trPr>
        <w:tc>
          <w:tcPr>
            <w:tcW w:w="7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2,559,968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2,441,895</w:t>
            </w:r>
          </w:p>
        </w:tc>
      </w:tr>
      <w:tr>
        <w:trPr>
          <w:trHeight w:val="20"/>
        </w:trPr>
        <w:tc>
          <w:tcPr>
            <w:tcW w:w="5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was in compliance with all covenants related to its outstanding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excluding finance lease obligations, are as follows (amounts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8"/>
              </w:rPr>
              <w:t>$700M 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4"/>
          </w:tcPr>
          <w:p>
            <w:pPr>
              <w:spacing w:after="0"/>
              <w:rPr>
                <w:sz w:val="20"/>
                <w:szCs w:val="20"/>
                <w:color w:val="auto"/>
              </w:rPr>
            </w:pPr>
            <w:r>
              <w:rPr>
                <w:rFonts w:ascii="Arial" w:cs="Arial" w:eastAsia="Arial" w:hAnsi="Arial"/>
                <w:sz w:val="18"/>
                <w:szCs w:val="18"/>
                <w:color w:val="auto"/>
              </w:rPr>
              <w:t>$300M Term Loan A</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$500M</w:t>
            </w:r>
          </w:p>
        </w:tc>
        <w:tc>
          <w:tcPr>
            <w:tcW w:w="2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386,250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8"/>
              </w:rPr>
              <w:t>$400M</w:t>
            </w: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5% Senior Notes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$700M</w:t>
            </w:r>
          </w:p>
        </w:tc>
        <w:tc>
          <w:tcPr>
            <w:tcW w:w="2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4.75% Senior Notes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660" w:type="dxa"/>
            <w:vAlign w:val="bottom"/>
            <w:gridSpan w:val="4"/>
          </w:tcPr>
          <w:p>
            <w:pPr>
              <w:spacing w:after="0"/>
              <w:rPr>
                <w:sz w:val="20"/>
                <w:szCs w:val="20"/>
                <w:color w:val="auto"/>
              </w:rPr>
            </w:pPr>
            <w:r>
              <w:rPr>
                <w:rFonts w:ascii="Arial" w:cs="Arial" w:eastAsia="Arial" w:hAnsi="Arial"/>
                <w:sz w:val="18"/>
                <w:szCs w:val="18"/>
                <w:color w:val="auto"/>
              </w:rPr>
              <w:t>$800M Term Loan (1)</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0"/>
        </w:trPr>
        <w:tc>
          <w:tcPr>
            <w:tcW w:w="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366,250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2,586,250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$800 million term loan is indebtedness of the Gaylord Rockies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October 31, 2019, the Company entered into a Sixth Amended and Restated Credit Agreement (the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among the Company, as guarantor, the Operating Partnership, as borrower, certain other subsidiaries of the Company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as guarantors, certain subsidiaries of the Company party thereto, as pledgors, the lenders party thereto and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Fargo Bank, N.A., as administrative agent, which amended and restated the Company’s existing credit facility.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consists of a $700.0 million senior secured revolving credit facility (the “Revolver”),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$300.0 million senior secured term loan A (the “Term Loan A”) which was increased from $200.0 million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agreement, and a $500.0 million senior secured term loan B (the “Term Loan B”), each as discussed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also increased the accordion feature of the previous credit agreement from $500 million to $600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includes a $50.0 million letter of credit sublimit.</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of the Revolver, Term Loan A and Term Loan B is guaranteed by the Company, each of the four wholly-owned subsidiaries that own the Gaylord Hotels properties, and certain other of the Company’s subsidiaries. Each is secured by (i) a first mortgage lien on the real property of each of the four owned Gaylord Hotels properties, (ii) pledges of equity interests in the Company’s subsidiaries that own the Gaylord Hotels properties, (iii) the personal property of the Company, the Operating Partnership and the subsidiaries that guarantee the Credit Agreement and (iv) all proceeds and products from the Company’s Gaylord Hotels properties. Advances are subject to a 55% borrowing base, based on the appraisal value of the Gaylord Hotels properties (reduced to 50% in the event one of the Gaylord Hotel properties is sold). Assets of the Gaylord Rockies joint venture are not subject to the liens of the credit facility.</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of refinancings of its previous credit facility, the Company wrote off $0.2 million, $2.0 million and $0.9 million of DFCs during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$700 Million Revolving Credit Facility</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Pursuant to the Credit Agreement, the Company extended the maturity of the Revolver to March 31, 2024. Borrowings under the Revolver bear interest at an annual rate equal to, at the Company’s option, either (i) LIBOR plus the applicable margin ranging from 1.40% to 1.95%, dependent upon the Company’s funded debt to total asset value ratio (as defined in the Credit Agreement) or (ii) a base rate as set in the Credit Agreement. At December 31, 2019, the interest rate on the Revolver is LIBOR plus 1.55%. No additional amounts were borrowed under the Revolver at closing of the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$300 Million Term Loan A</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Credit Agreement, the Company increased its Term Loan A from $200 million to $300 million and extended the maturity to March 31, 2025. Borrowings under the Term Loan A bear interest at an annual rate equal to, at the Company’s option, either (i) LIBOR plus the applicable margin ranging from 1.35% to 1.90%, dependent upon the Company’s funded debt to total asset value ratio (as defined in the Credit Agreement) or (ii) a base rate as set in the Credit Agreement. At December 31, 2019, the interest rate on the Term Loan A was LIBOR plus 1.50%. Amounts borrowed under the Term Loan A that are repaid or prepaid may not be reborrowed. At original closing, the Company drew down on the Term Loan A in full. Net proceeds of the 2019 increase in the Term Loan A, after certain transaction expenses payable at closing, were approximately $94 million and, along with cash on hand, were used to repay $100 million of the outstanding indebtedness under the Term Loan 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Term Loan B</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Term Loan B has a maturity of May 11, 2024. The applicable interest rate margins for borrowings under the Term Loan B are, at the Company’s option, either (i) LIBOR plus 2.00% or (ii) a base rate as set in the Credit Agreement. At December 31, 2019, the interest rate on the Term Loan B was LIBOR plus 2.00%. In October 2019, we entered into four interest rate swaps with a total notional amount of $350.0 million to fix the LIBOR portion of the interest rate, at rates between 1.2235% and 1.2315%, through May 11, 2023. The Company has designated these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payment of an additional principal payment is required. Amounts borrowed under the Term Loan B that are repaid or prepaid may not be reborrowed. At closing, the Company drew down on the Term Loan B in full. The credit agreement did not change the maturity date or applicable margin on interest rates for the Term Loan B.</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Million 5% Senior Notes Due 2021</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2013, the Operating Partnership and Finco completed the private placement of $350.0 million in aggregate principal amount of senior notes due 2021 (the “$350 Million 5% Senior Notes”), which were guaranteed by the Company and its subsidiaries that guarantee the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9"/>
        <w:spacing w:after="0" w:line="255" w:lineRule="auto"/>
        <w:rPr>
          <w:sz w:val="20"/>
          <w:szCs w:val="20"/>
          <w:color w:val="auto"/>
        </w:rPr>
      </w:pPr>
      <w:r>
        <w:rPr>
          <w:rFonts w:ascii="Arial" w:cs="Arial" w:eastAsia="Arial" w:hAnsi="Arial"/>
          <w:sz w:val="18"/>
          <w:szCs w:val="18"/>
          <w:color w:val="auto"/>
        </w:rPr>
        <w:t>In September 2019, the Company commenced a cash tender offer for any and all outstanding $350 Million 5% Senior Notes at a redemption price of $1,002.50 per $1,000 principal amount. Pursuant to the tender offer, $197.5 million aggregate principal amount of the $350 Million 5% Senior Notes were validly tendered. As a result of the Company’s purchase of tendered $350 Million 5% Senior Notes, the Company recognized a loss on extinguishment of debt of $0.5 million in 2019. The Company used a portion of the proceeds from the issuance of the $700 million 4.75% senior notes discussed below to fund the tender offer.</w:t>
      </w:r>
    </w:p>
    <w:p>
      <w:pPr>
        <w:spacing w:after="0" w:line="166" w:lineRule="exact"/>
        <w:rPr>
          <w:sz w:val="20"/>
          <w:szCs w:val="20"/>
          <w:color w:val="auto"/>
        </w:rPr>
      </w:pPr>
    </w:p>
    <w:p>
      <w:pPr>
        <w:ind w:right="139"/>
        <w:spacing w:after="0" w:line="255" w:lineRule="auto"/>
        <w:rPr>
          <w:sz w:val="20"/>
          <w:szCs w:val="20"/>
          <w:color w:val="auto"/>
        </w:rPr>
      </w:pPr>
      <w:r>
        <w:rPr>
          <w:rFonts w:ascii="Arial" w:cs="Arial" w:eastAsia="Arial" w:hAnsi="Arial"/>
          <w:sz w:val="18"/>
          <w:szCs w:val="18"/>
          <w:color w:val="auto"/>
        </w:rPr>
        <w:t>In accordance with the indenture governing the $350 Million 5% Senior Notes, subsequent to expiration of the tender offer, in September 2019 the Company gave irrevocable notice of the redemption of all remaining $350 Million 5% Senior Notes not tendered in the tender offer and irrevocably deposited with the trustee for the $350 Million 5% Senior Notes an amount sufficient to pay the redemption price of the $350 Million 5% Senior Notes called for redemption at that date, including interest. The Company used a portion of the proceeds from the issuance of the $700 million 4.75% senior notes discussed below to fund the redemption.</w:t>
      </w:r>
    </w:p>
    <w:p>
      <w:pPr>
        <w:spacing w:after="0" w:line="153" w:lineRule="exact"/>
        <w:rPr>
          <w:sz w:val="20"/>
          <w:szCs w:val="20"/>
          <w:color w:val="auto"/>
        </w:rPr>
      </w:pPr>
    </w:p>
    <w:p>
      <w:pPr>
        <w:ind w:right="399"/>
        <w:spacing w:after="0" w:line="342" w:lineRule="auto"/>
        <w:rPr>
          <w:sz w:val="20"/>
          <w:szCs w:val="20"/>
          <w:color w:val="auto"/>
        </w:rPr>
      </w:pPr>
      <w:r>
        <w:rPr>
          <w:rFonts w:ascii="Arial" w:cs="Arial" w:eastAsia="Arial" w:hAnsi="Arial"/>
          <w:sz w:val="16"/>
          <w:szCs w:val="16"/>
          <w:color w:val="auto"/>
        </w:rPr>
        <w:t>As a result of the refinancing of the $350 Million 5% Senior Notes, the Company wrote off $1.7 million of unamortized DFCs, which are recorded as interest expense in the accompanying consolidated statement of operations for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$400 Million 5% Senior Notes Due 2023</w:t>
      </w:r>
    </w:p>
    <w:p>
      <w:pPr>
        <w:spacing w:after="0" w:line="225" w:lineRule="exact"/>
        <w:rPr>
          <w:sz w:val="20"/>
          <w:szCs w:val="20"/>
          <w:color w:val="auto"/>
        </w:rPr>
      </w:pPr>
    </w:p>
    <w:p>
      <w:pPr>
        <w:ind w:right="19"/>
        <w:spacing w:after="0" w:line="268" w:lineRule="auto"/>
        <w:rPr>
          <w:sz w:val="20"/>
          <w:szCs w:val="20"/>
          <w:color w:val="auto"/>
        </w:rPr>
      </w:pPr>
      <w:r>
        <w:rPr>
          <w:rFonts w:ascii="Arial" w:cs="Arial" w:eastAsia="Arial" w:hAnsi="Arial"/>
          <w:sz w:val="17"/>
          <w:szCs w:val="17"/>
          <w:color w:val="auto"/>
        </w:rPr>
        <w:t>On April 14, 2015, the Operating Partnership and Finco completed the private placement of $400.0 million in aggregate principal amount of senior notes due 2023 (the “$400 Million 5% Senior Notes”), which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83" w:lineRule="exact"/>
        <w:rPr>
          <w:sz w:val="20"/>
          <w:szCs w:val="20"/>
          <w:color w:val="auto"/>
        </w:rPr>
      </w:pPr>
    </w:p>
    <w:p>
      <w:pPr>
        <w:ind w:right="59"/>
        <w:spacing w:after="0" w:line="312" w:lineRule="auto"/>
        <w:rPr>
          <w:sz w:val="20"/>
          <w:szCs w:val="20"/>
          <w:color w:val="auto"/>
        </w:rPr>
      </w:pPr>
      <w:r>
        <w:rPr>
          <w:rFonts w:ascii="Arial" w:cs="Arial" w:eastAsia="Arial" w:hAnsi="Arial"/>
          <w:sz w:val="16"/>
          <w:szCs w:val="16"/>
          <w:color w:val="auto"/>
        </w:rPr>
        <w:t>The $400 Million 5% Senior Notes are redeemable, in whole or in part, at a redemption price expressed as a percentage of the principal amount thereof, which percentage is 102.50%, 101.25% and 100.00% beginning on April 15 of 2019, 2020 and 2021, respectively, plus accrued and unpaid interest thereon to, but not including, the redemption date.</w:t>
      </w:r>
    </w:p>
    <w:p>
      <w:pPr>
        <w:spacing w:after="0" w:line="147"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In connection with the issuance of the $400 Million 5% Senior Notes, in September 2015, the Company completed a registered offer to exchange the $400 Million 5% Senior Notes for registered notes with substantially identical terms as the $400 Million 5% Senior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$700 Million 4.75% Senior Notes Due 2027</w:t>
      </w:r>
    </w:p>
    <w:p>
      <w:pPr>
        <w:spacing w:after="0" w:line="225" w:lineRule="exact"/>
        <w:rPr>
          <w:sz w:val="20"/>
          <w:szCs w:val="20"/>
          <w:color w:val="auto"/>
        </w:rPr>
      </w:pPr>
    </w:p>
    <w:p>
      <w:pPr>
        <w:ind w:right="99"/>
        <w:spacing w:after="0" w:line="270" w:lineRule="auto"/>
        <w:rPr>
          <w:sz w:val="20"/>
          <w:szCs w:val="20"/>
          <w:color w:val="auto"/>
        </w:rPr>
      </w:pPr>
      <w:r>
        <w:rPr>
          <w:rFonts w:ascii="Arial" w:cs="Arial" w:eastAsia="Arial" w:hAnsi="Arial"/>
          <w:sz w:val="17"/>
          <w:szCs w:val="17"/>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 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w:t>
      </w:r>
    </w:p>
    <w:p>
      <w:pPr>
        <w:sectPr>
          <w:pgSz w:w="11900" w:h="16838" w:orient="portrait"/>
          <w:cols w:equalWidth="0" w:num="1">
            <w:col w:w="9039"/>
          </w:cols>
          <w:pgMar w:left="1420" w:top="517" w:right="1440" w:bottom="144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net proceeds from the issuance of the $500 Million 4.75% Senior Notes totaled approximately $493 million, after deducting the initial purchasers’ discounts, commissions and offering expenses. The Company used substantially all of these proceeds to repurchase a portion of the $350 Million 5% Senior Notes validly tendered and accepted for purchase pursuant to the cash tender offer discussed above, redeem the remaining portion of the $350 Million 5% Senior Notes discussed above, and to repay a portion of the amounts outstanding under the Revolver.</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outstanding under the Revolver.</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$700 Million 4.75% Senior Notes are redeemable before October 15, 2022, in whole or in part, at 100.00% of the principal amount thereof, plus accrued and unpaid interest thereon to, but not including, the redemption date plus a make-whole redemption premium. The $700 Million 4.75% Senior Notes will be redeemable, in whole or in part, at any time on or after October 15, 2022 at a redemption price expressed as a percentage of the principal amount thereof, which percentage</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is 103.563%, 102.375%, 101.188%, and 100.00% beginning on October 15 of 2022, 2023, 2024, and 2025, respectively, plus accrued and unpaid interest thereon to, but not including, the redemption date.</w:t>
      </w:r>
    </w:p>
    <w:p>
      <w:pPr>
        <w:spacing w:after="0" w:line="157"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In connection with the issuance of the $700 Million 4.75% Senior Notes, the Company entered into a registration rights agreement that requires it to complete a registered offer to exchange the $700 Million 4.75% Senior Notes for registered notes with substantially identical terms as the $700 Million 4.75% Senior Notes on or before September 18,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$800 Million Term Loan (Gaylord Rockies Joint Venture)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 July 2, 2019, Aurora Convention Center Hotel, LLC (“Hotel Owner”) and Aurora Convention Center Hotel Lessee,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(collectively, “Borrower”), subsidiaries of the entities comprising the Gaylord Rockies joint venture, entered into a Second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Loan Agreement (the “Gaylord Rockies Loan”) with Wells Fargo Bank, National Association,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which refinanced the Gaylord Rockies joint venture’s previous $500 million construction loan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 million mezzanine loan, which were scheduled to mature in December 2019. The Gaylord Rockies Loan consists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$800.0 million secured term loan facility and also includes the option for an additional $80.0 million of borrowing capacity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should the Gaylord Rockies joint venture intend to pursue a future expansion of Gaylord Rockies, which it announced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2020 that it intends to pursue. The Gaylord Rockies Loan matures July 2, 2023 with three, one-year extension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options, subject to certain requirements in the Gaylord Rockies Loan, and bears interest at LIBOR plus 2.50%. Simultaneous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closing, the Gaylord Rockies joint venture entered into an interest rate swap to fix the LIBOR portion of the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1.65% for the first three years of the loan. The Company has designated this interest rate swap as an effective cash flow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hedge.</w:t>
      </w:r>
    </w:p>
    <w:p>
      <w:pPr>
        <w:spacing w:after="0" w:line="184"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The noncontrolling interest owners received a distribution of approximately</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$95 million, and the Company received a distribution of approximately $153 million, which was used to repay a portion of the outstanding indebtedness under the Revolver.</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of the refinancing, the Gaylord Rockies joint venture wrote off $1.1 million of unamortized DFCs, which are recorded as interest expense in the accompanying consolidated statement of operations for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Construction Loan (Gaylord Rockies Joint Venture)</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December 2015, Borrower entered into a Building Loan Agreement (the “Construction Loan”) with Wells Fargo Bank, N.A., as administrative agent, for a senior loan with available borrowings of up to $500.0 million. The Construction Loan bore interest at an annual rate equal to LIBOR plus 3.25% and had an original maturity date of December 18, 2019. The Construction Loan was secured by substantially all of the assets of Hotel Owner and an assignment of the hotel’s management agreement. As discussed above, the Construction Loan was paid off in July 2019 with proceeds from the Gaylord Rockies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 Million Mezzanine Loan (Gaylord Rockies Joint Venture)</w:t>
      </w:r>
    </w:p>
    <w:p>
      <w:pPr>
        <w:spacing w:after="0" w:line="22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In December 2015, Aurora Convention Hotel Mezz, LLC (“Mezz”) and Aurora Convention Center Hotel Lessee Midco Member, LLC (collectively, “Mezz Borrower”), subsidiaries of the entities comprising the Gaylord Rockies joint venture, entered into a Mezzanine Loan Agreement (the “Mezzanine Loan”) with Marriott International Capital Corporation, for a mezzanine loan with available borrowings, as amended, of up to $39.0 million. The Mezzanine Loan bore interest at an annual rate of LIBOR plus 7.00% and had an original maturity date of December 18, 2019. The Mezzanine Loan was secured by Mezz Borrower’s interests in the joint venture. As discussed above, the Mezzanine Loan was paid off in July 2019 with proceeds from the Gaylord Rockies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2019, the Company entered into interest rate swaps to manage interest rate risk associated with the Term Loan B and has designated these swaps as effective cash flow hedges whereby the Company receives variable-rate amounts in exchange for fixed-rate payments over the life of the agreement without exchange of the underlying principal amount. In July 2019, the Gaylord Rockies joint venture entered into an interest rate swap to manage interest rate risk associated with the Gaylord Rockies Loan. The Gaylord Rockies joint venture has designated this swap as a cash flow hedge whereby the joint venture receives variable-rate amounts in exchange for fixed-rate payments over the life of the agreement without exchange of the underlying principal amount.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of the Company’s derivative financial instruments at December 31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Strike</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64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8"/>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42"/>
        </w:trPr>
        <w:tc>
          <w:tcPr>
            <w:tcW w:w="2120" w:type="dxa"/>
            <w:vAlign w:val="bottom"/>
            <w:gridSpan w:val="2"/>
          </w:tcPr>
          <w:p>
            <w:pPr>
              <w:ind w:left="640"/>
              <w:spacing w:after="0" w:line="142" w:lineRule="exact"/>
              <w:rPr>
                <w:sz w:val="20"/>
                <w:szCs w:val="20"/>
                <w:color w:val="auto"/>
              </w:rPr>
            </w:pPr>
            <w:r>
              <w:rPr>
                <w:rFonts w:ascii="Arial" w:cs="Arial" w:eastAsia="Arial" w:hAnsi="Arial"/>
                <w:sz w:val="14"/>
                <w:szCs w:val="14"/>
                <w:b w:val="1"/>
                <w:bCs w:val="1"/>
                <w:color w:val="auto"/>
              </w:rPr>
              <w:t>Hedged Debt</w:t>
            </w:r>
          </w:p>
        </w:tc>
        <w:tc>
          <w:tcPr>
            <w:tcW w:w="13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Type</w:t>
            </w:r>
          </w:p>
        </w:tc>
        <w:tc>
          <w:tcPr>
            <w:tcW w:w="72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Rate</w:t>
            </w:r>
          </w:p>
        </w:tc>
        <w:tc>
          <w:tcPr>
            <w:tcW w:w="11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2"/>
              </w:rPr>
              <w:t>Index</w:t>
            </w:r>
          </w:p>
        </w:tc>
        <w:tc>
          <w:tcPr>
            <w:tcW w:w="10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Maturity Date</w:t>
            </w:r>
          </w:p>
        </w:tc>
        <w:tc>
          <w:tcPr>
            <w:tcW w:w="9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Term Loan B</w:t>
            </w:r>
          </w:p>
        </w:tc>
        <w:tc>
          <w:tcPr>
            <w:tcW w:w="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1-month LIBOR</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13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1-month LIBOR</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13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6"/>
              </w:rPr>
              <w:t>1-month LIBOR</w:t>
            </w:r>
          </w:p>
        </w:tc>
        <w:tc>
          <w:tcPr>
            <w:tcW w:w="1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13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6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1-month LIBOR</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Gaylord Rockies Loan</w:t>
            </w:r>
          </w:p>
        </w:tc>
        <w:tc>
          <w:tcPr>
            <w:tcW w:w="13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6"/>
              </w:rPr>
              <w:t>1-month LIBOR</w:t>
            </w:r>
          </w:p>
        </w:tc>
        <w:tc>
          <w:tcPr>
            <w:tcW w:w="1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August 1, 2022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1,634</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consolidated statements of operations and comprehensive income for the years ended December 31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Pr>
          <w:p>
            <w:pPr>
              <w:spacing w:after="0"/>
              <w:rPr>
                <w:sz w:val="14"/>
                <w:szCs w:val="14"/>
                <w:color w:val="auto"/>
              </w:rPr>
            </w:pPr>
          </w:p>
        </w:tc>
        <w:tc>
          <w:tcPr>
            <w:tcW w:w="1880" w:type="dxa"/>
            <w:vAlign w:val="bottom"/>
            <w:gridSpan w:val="4"/>
          </w:tcPr>
          <w:p>
            <w:pPr>
              <w:jc w:val="center"/>
              <w:ind w:right="25"/>
              <w:spacing w:after="0"/>
              <w:rPr>
                <w:sz w:val="20"/>
                <w:szCs w:val="20"/>
                <w:color w:val="auto"/>
              </w:rPr>
            </w:pPr>
            <w:r>
              <w:rPr>
                <w:rFonts w:ascii="Arial" w:cs="Arial" w:eastAsia="Arial" w:hAnsi="Arial"/>
                <w:sz w:val="14"/>
                <w:szCs w:val="14"/>
                <w:b w:val="1"/>
                <w:bCs w:val="1"/>
                <w:color w:val="auto"/>
                <w:w w:val="94"/>
              </w:rPr>
              <w:t>Amount of Gain (Loss)</w:t>
            </w:r>
          </w:p>
        </w:tc>
      </w:tr>
      <w:tr>
        <w:trPr>
          <w:trHeight w:val="14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205"/>
              <w:spacing w:after="0" w:line="149" w:lineRule="exact"/>
              <w:rPr>
                <w:sz w:val="20"/>
                <w:szCs w:val="20"/>
                <w:color w:val="auto"/>
              </w:rPr>
            </w:pPr>
            <w:r>
              <w:rPr>
                <w:rFonts w:ascii="Arial" w:cs="Arial" w:eastAsia="Arial" w:hAnsi="Arial"/>
                <w:sz w:val="14"/>
                <w:szCs w:val="14"/>
                <w:b w:val="1"/>
                <w:bCs w:val="1"/>
                <w:color w:val="auto"/>
              </w:rPr>
              <w:t>Recognized in OCI</w:t>
            </w:r>
          </w:p>
        </w:tc>
        <w:tc>
          <w:tcPr>
            <w:tcW w:w="10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r>
      <w:tr>
        <w:trPr>
          <w:trHeight w:val="171"/>
        </w:trPr>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on Derivative</w:t>
            </w: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4"/>
                <w:szCs w:val="14"/>
                <w:b w:val="1"/>
                <w:bCs w:val="1"/>
                <w:color w:val="auto"/>
                <w:w w:val="94"/>
              </w:rPr>
              <w:t>OCI into Income (Expense)</w:t>
            </w:r>
          </w:p>
        </w:tc>
      </w:tr>
      <w:tr>
        <w:trPr>
          <w:trHeight w:val="142"/>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87"/>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8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Pr>
          <w:p>
            <w:pPr>
              <w:spacing w:after="0"/>
              <w:rPr>
                <w:sz w:val="12"/>
                <w:szCs w:val="12"/>
                <w:color w:val="auto"/>
              </w:rPr>
            </w:pPr>
          </w:p>
        </w:tc>
        <w:tc>
          <w:tcPr>
            <w:tcW w:w="86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5"/>
              <w:spacing w:after="0" w:line="142" w:lineRule="exact"/>
              <w:rPr>
                <w:sz w:val="20"/>
                <w:szCs w:val="20"/>
                <w:color w:val="auto"/>
              </w:rPr>
            </w:pPr>
            <w:r>
              <w:rPr>
                <w:rFonts w:ascii="Arial" w:cs="Arial" w:eastAsia="Arial" w:hAnsi="Arial"/>
                <w:sz w:val="14"/>
                <w:szCs w:val="14"/>
                <w:b w:val="1"/>
                <w:bCs w:val="1"/>
                <w:color w:val="auto"/>
              </w:rPr>
              <w:t>2018</w:t>
            </w:r>
          </w:p>
        </w:tc>
      </w:tr>
      <w:tr>
        <w:trPr>
          <w:trHeight w:val="156"/>
        </w:trPr>
        <w:tc>
          <w:tcPr>
            <w:tcW w:w="37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2"/>
        </w:trPr>
        <w:tc>
          <w:tcPr>
            <w:tcW w:w="372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rate swaps</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340"/>
              <w:spacing w:after="0" w:line="162" w:lineRule="exact"/>
              <w:rPr>
                <w:sz w:val="20"/>
                <w:szCs w:val="20"/>
                <w:color w:val="auto"/>
              </w:rPr>
            </w:pPr>
            <w:r>
              <w:rPr>
                <w:rFonts w:ascii="Arial" w:cs="Arial" w:eastAsia="Arial" w:hAnsi="Arial"/>
                <w:sz w:val="15"/>
                <w:szCs w:val="15"/>
                <w:color w:val="auto"/>
                <w:w w:val="95"/>
              </w:rPr>
              <w:t>3,539</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gridSpan w:val="2"/>
          </w:tcPr>
          <w:p>
            <w:pPr>
              <w:jc w:val="center"/>
              <w:ind w:right="80"/>
              <w:spacing w:after="0" w:line="162" w:lineRule="exact"/>
              <w:rPr>
                <w:sz w:val="20"/>
                <w:szCs w:val="20"/>
                <w:color w:val="auto"/>
              </w:rPr>
            </w:pPr>
            <w:r>
              <w:rPr>
                <w:rFonts w:ascii="Arial" w:cs="Arial" w:eastAsia="Arial" w:hAnsi="Arial"/>
                <w:sz w:val="15"/>
                <w:szCs w:val="15"/>
                <w:color w:val="auto"/>
                <w:w w:val="90"/>
              </w:rPr>
              <w:t>Interest expense</w:t>
            </w:r>
          </w:p>
        </w:tc>
        <w:tc>
          <w:tcPr>
            <w:tcW w:w="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1,905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ind w:left="540"/>
              <w:spacing w:after="0" w:line="162" w:lineRule="exact"/>
              <w:rPr>
                <w:sz w:val="20"/>
                <w:szCs w:val="20"/>
                <w:color w:val="auto"/>
              </w:rPr>
            </w:pPr>
            <w:r>
              <w:rPr>
                <w:rFonts w:ascii="Arial" w:cs="Arial" w:eastAsia="Arial" w:hAnsi="Arial"/>
                <w:sz w:val="15"/>
                <w:szCs w:val="15"/>
                <w:color w:val="auto"/>
              </w:rPr>
              <w:t>—</w:t>
            </w:r>
          </w:p>
        </w:tc>
      </w:tr>
      <w:tr>
        <w:trPr>
          <w:trHeight w:val="156"/>
        </w:trPr>
        <w:tc>
          <w:tcPr>
            <w:tcW w:w="37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derivatives</w:t>
            </w: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340"/>
              <w:spacing w:after="0" w:line="156" w:lineRule="exact"/>
              <w:rPr>
                <w:sz w:val="20"/>
                <w:szCs w:val="20"/>
                <w:color w:val="auto"/>
              </w:rPr>
            </w:pPr>
            <w:r>
              <w:rPr>
                <w:rFonts w:ascii="Arial" w:cs="Arial" w:eastAsia="Arial" w:hAnsi="Arial"/>
                <w:sz w:val="15"/>
                <w:szCs w:val="15"/>
                <w:color w:val="auto"/>
                <w:w w:val="95"/>
              </w:rPr>
              <w:t>3,539</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1,905</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w:t>
            </w: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2019, 2018 and 2017 was $131.6 million, $75.0 million and $66.1 million, respectively.</w:t>
      </w:r>
    </w:p>
    <w:p>
      <w:pPr>
        <w:spacing w:after="0" w:line="15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December 31, 2019, the fair value of derivatives in a net liability position including accrued interest but excluding any adjustment for nonperformance risk related to these agreements was $2.3 million. As of December 31, 2019,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$2.3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Management Rights Proceeds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 in the accompanying consolidated statements of operations.</w:t>
      </w:r>
    </w:p>
    <w:p>
      <w:pPr>
        <w:spacing w:after="0" w:line="179"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In addition, the Gaylord Rockies joint venture sold its management rights to Marriott for $4.9 million, which was also deferred and is amortized on a straight-line basis over the 70-year term of the hotel management agreement, including extensions, as a reduction in management fee expense in the accompanying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liabilities.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 recorded $2.5 million, $2.2 million and $2.2 million of contingent rental expense related to the Gaylord Palms in 2019, 2018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19"/>
        <w:spacing w:after="0" w:line="277" w:lineRule="auto"/>
        <w:rPr>
          <w:sz w:val="20"/>
          <w:szCs w:val="20"/>
          <w:color w:val="auto"/>
        </w:rPr>
      </w:pPr>
      <w:r>
        <w:rPr>
          <w:rFonts w:ascii="Arial" w:cs="Arial" w:eastAsia="Arial" w:hAnsi="Arial"/>
          <w:sz w:val="18"/>
          <w:szCs w:val="18"/>
          <w:color w:val="auto"/>
        </w:rPr>
        <w:t>2017, respectively. The Company’s lease agreements do not contain any material residual value guarantees or material restrictive covenants.</w:t>
      </w:r>
    </w:p>
    <w:p>
      <w:pPr>
        <w:spacing w:after="0" w:line="170"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As the discount rate implicit in the Company’s operating leases is not readily determinable, the Company applied judgments related to the determination of the discount rates used to calculate the lease liability as required by ASC 842.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cost for the year ended December 31, 2019 is as follows (in thousands):</w:t>
      </w:r>
    </w:p>
    <w:p>
      <w:pPr>
        <w:spacing w:after="0" w:line="311"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r>
      <w:tr>
        <w:trPr>
          <w:trHeight w:val="20"/>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operating leases for 2018 and 2017 was $14.3 million and $12.5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leases at December 31, 2019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10"/>
        </w:trPr>
        <w:tc>
          <w:tcPr>
            <w:tcW w:w="98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98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98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574,244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98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(498,056)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980" w:type="dxa"/>
            <w:vAlign w:val="bottom"/>
            <w:tcBorders>
              <w:right w:val="single" w:sz="8" w:color="CCEEFF"/>
            </w:tcBorders>
          </w:tcPr>
          <w:p>
            <w:pPr>
              <w:spacing w:after="0"/>
              <w:rPr>
                <w:sz w:val="18"/>
                <w:szCs w:val="18"/>
                <w:color w:val="auto"/>
              </w:rPr>
            </w:pPr>
          </w:p>
        </w:tc>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present value of minimum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980" w:type="dxa"/>
            <w:vAlign w:val="bottom"/>
            <w:tcBorders>
              <w:right w:val="single" w:sz="8" w:color="CCEEFF"/>
            </w:tcBorders>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w w:val="92"/>
              </w:rPr>
              <w:t>The remaining lease term and discount rate for the Company’s leases are as follows: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85"/>
              </w:rPr>
              <w:t>50.7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10.1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3"/>
          </w:tcPr>
          <w:p>
            <w:pPr>
              <w:jc w:val="right"/>
              <w:ind w:right="173"/>
              <w:spacing w:after="0"/>
              <w:rPr>
                <w:sz w:val="20"/>
                <w:szCs w:val="20"/>
                <w:color w:val="auto"/>
              </w:rPr>
            </w:pPr>
            <w:r>
              <w:rPr>
                <w:rFonts w:ascii="Arial" w:cs="Arial" w:eastAsia="Arial" w:hAnsi="Arial"/>
                <w:sz w:val="18"/>
                <w:szCs w:val="18"/>
                <w:color w:val="auto"/>
              </w:rPr>
              <w:t>4.0 %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Plans</w:t>
      </w:r>
    </w:p>
    <w:p>
      <w:pPr>
        <w:spacing w:after="0" w:line="229" w:lineRule="exact"/>
        <w:rPr>
          <w:sz w:val="20"/>
          <w:szCs w:val="20"/>
          <w:color w:val="auto"/>
        </w:rPr>
      </w:pPr>
    </w:p>
    <w:p>
      <w:pPr>
        <w:jc w:val="both"/>
        <w:ind w:right="399"/>
        <w:spacing w:after="0" w:line="259" w:lineRule="auto"/>
        <w:rPr>
          <w:sz w:val="20"/>
          <w:szCs w:val="20"/>
          <w:color w:val="auto"/>
        </w:rPr>
      </w:pPr>
      <w:r>
        <w:rPr>
          <w:rFonts w:ascii="Arial" w:cs="Arial" w:eastAsia="Arial" w:hAnsi="Arial"/>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2019, approximately 1.3 million shares of common stock remained available for issuance pursuant to future grants of awards under the Plan.</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Restricted stock units granted to employees vest one to four years from the date of grant,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2019, 2018, and 2017 was $89.29, $71.74, and $66.54,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restricted stock units as of December 31, 2019 and changes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is presented below:</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shares at January 1, 2019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363,122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60.24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150,777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(149,468)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all restricted stock units that vested during 2019, 2018 and 2017 was $12.7 million, $11.7 million and $10.2 million, respectively.</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December 31, 2019, there was $14.1 million of total unrecognized compensation cost related to restricted stock units granted under the Company’s equity incentive plans. That cost is expected to be recognized over a weighted-average period of 2.4 years.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compensation cost that has been charged against pre-tax income for all of the Company’s stock-based compensation plans was $7.8 million, $7.7 million, and $6.6 million for 2019, 2018, and 2017, respectively. The total income tax benefit recognized in the accompanying consolidated statements of operations for all of the Company’s stock-based employee compensation plans was $1.8 million, $1.7 million, and $1.5 million for 2019, 2018, and 2017, respectively.</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actual tax benefit realized from exercise, vesting or cancellation of the stock-based employee compensation arrangements during 2019, 2018, and 2017 totaled $1.5 million, $1.0 million, and $1.0 million, respectively, and is reflected as an adjustment to deferred tax liabilities in the accompanying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9"/>
        <w:spacing w:after="0" w:line="312" w:lineRule="auto"/>
        <w:rPr>
          <w:sz w:val="20"/>
          <w:szCs w:val="20"/>
          <w:color w:val="auto"/>
        </w:rPr>
      </w:pPr>
      <w:r>
        <w:rPr>
          <w:rFonts w:ascii="Arial" w:cs="Arial" w:eastAsia="Arial" w:hAnsi="Arial"/>
          <w:sz w:val="16"/>
          <w:szCs w:val="16"/>
          <w:color w:val="auto"/>
        </w:rPr>
        <w:t>As a result of increased lump-sum distributions from the retirement plan during 2019, 2018 and 2017, net settlement losses of $1.9 million, $1.6 million and $1.7 million were recognized in 2019, 2018 and 2017, respectively. These settlement losses have been classified as other gains and (losses), net in the accompanying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funded status of the retirement plan at December 31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Benefit obligation at beginning of year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85,695</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r>
      <w:tr>
        <w:trPr>
          <w:trHeight w:val="210"/>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obligation at end of year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77,847</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69,245</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return on plan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1,563</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r>
      <w:tr>
        <w:trPr>
          <w:trHeight w:val="210"/>
        </w:trPr>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59,653</w:t>
            </w:r>
          </w:p>
        </w:tc>
      </w:tr>
      <w:tr>
        <w:trPr>
          <w:trHeight w:val="210"/>
        </w:trPr>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Funded status and accrued pension cost</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(16,518)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(18,194)</w:t>
            </w:r>
          </w:p>
        </w:tc>
      </w:tr>
      <w:tr>
        <w:trPr>
          <w:trHeight w:val="20"/>
        </w:trPr>
        <w:tc>
          <w:tcPr>
            <w:tcW w:w="4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99"/>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consolidated statements of operations included the following components for the years ended December 31 (amounts in thousands):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(4,202)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determine the benefit obligation at December 31 are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The weighted-average assumptions used to determine the net periodic pension expense for years ended December 31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6.50 %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6.50 %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r>
    </w:tbl>
    <w:p>
      <w:pPr>
        <w:spacing w:after="0" w:line="202"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The rate of increase in future compensation levels was not applicable for any reported years due to the Company amending the plan to freeze the cash balance benefit as described above.</w:t>
      </w:r>
    </w:p>
    <w:p>
      <w:pPr>
        <w:spacing w:after="0" w:line="170" w:lineRule="exact"/>
        <w:rPr>
          <w:sz w:val="20"/>
          <w:szCs w:val="20"/>
          <w:color w:val="auto"/>
        </w:rPr>
      </w:pPr>
    </w:p>
    <w:p>
      <w:pPr>
        <w:ind w:right="99"/>
        <w:spacing w:after="0" w:line="312" w:lineRule="auto"/>
        <w:rPr>
          <w:sz w:val="20"/>
          <w:szCs w:val="20"/>
          <w:color w:val="auto"/>
        </w:rPr>
      </w:pPr>
      <w:r>
        <w:rPr>
          <w:rFonts w:ascii="Arial" w:cs="Arial" w:eastAsia="Arial" w:hAnsi="Arial"/>
          <w:sz w:val="16"/>
          <w:szCs w:val="16"/>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the Company’s pension obligations and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plan’s overall strategy is to achieve a rate of return necessary to fund benefit payments by utilizing a variety of asset types, investment strategies and investment managers. The plan seeks to achieve a real long-term rate of return over inflation resulting from income, capital gains, or both, which assists the plan in meeting its long-term objectives.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defined benefit pension plan’s assets at December 31 is as follows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Mutual funds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59,491</w:t>
            </w:r>
          </w:p>
        </w:tc>
      </w:tr>
      <w:tr>
        <w:trPr>
          <w:trHeight w:val="210"/>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59,653</w:t>
            </w: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4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Contributions and Benefit Payments</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Company expects to contribute approximately $1.7 million to its defined benefit pension plan in 2020. Based on the Company’s assumptions discussed above, the Company expects to make the following estimated future benefit payments under the plan during the years ending December 31 (amounts in thousands):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6,930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2021</w:t>
            </w:r>
          </w:p>
        </w:tc>
        <w:tc>
          <w:tcPr>
            <w:tcW w:w="3540" w:type="dxa"/>
            <w:vAlign w:val="bottom"/>
          </w:tcPr>
          <w:p>
            <w:pPr>
              <w:jc w:val="right"/>
              <w:spacing w:after="0"/>
              <w:rPr>
                <w:sz w:val="20"/>
                <w:szCs w:val="20"/>
                <w:color w:val="auto"/>
              </w:rPr>
            </w:pPr>
            <w:r>
              <w:rPr>
                <w:rFonts w:ascii="Arial" w:cs="Arial" w:eastAsia="Arial" w:hAnsi="Arial"/>
                <w:sz w:val="18"/>
                <w:szCs w:val="18"/>
                <w:color w:val="auto"/>
              </w:rPr>
              <w:t>4,917</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2023</w:t>
            </w:r>
          </w:p>
        </w:tc>
        <w:tc>
          <w:tcPr>
            <w:tcW w:w="3540" w:type="dxa"/>
            <w:vAlign w:val="bottom"/>
          </w:tcPr>
          <w:p>
            <w:pPr>
              <w:jc w:val="right"/>
              <w:spacing w:after="0"/>
              <w:rPr>
                <w:sz w:val="20"/>
                <w:szCs w:val="20"/>
                <w:color w:val="auto"/>
              </w:rPr>
            </w:pPr>
            <w:r>
              <w:rPr>
                <w:rFonts w:ascii="Arial" w:cs="Arial" w:eastAsia="Arial" w:hAnsi="Arial"/>
                <w:sz w:val="18"/>
                <w:szCs w:val="18"/>
                <w:color w:val="auto"/>
              </w:rPr>
              <w:t>4,956</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2025 - 2029</w:t>
            </w:r>
          </w:p>
        </w:tc>
        <w:tc>
          <w:tcPr>
            <w:tcW w:w="3540" w:type="dxa"/>
            <w:vAlign w:val="bottom"/>
          </w:tcPr>
          <w:p>
            <w:pPr>
              <w:jc w:val="right"/>
              <w:spacing w:after="0"/>
              <w:rPr>
                <w:sz w:val="20"/>
                <w:szCs w:val="20"/>
                <w:color w:val="auto"/>
              </w:rPr>
            </w:pPr>
            <w:r>
              <w:rPr>
                <w:rFonts w:ascii="Arial" w:cs="Arial" w:eastAsia="Arial" w:hAnsi="Arial"/>
                <w:sz w:val="18"/>
                <w:szCs w:val="18"/>
                <w:color w:val="auto"/>
              </w:rPr>
              <w:t>30,300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 also maintains non-qualified pension plans (the “Non-Qualified Plans”) to provide benefits to certain key employees. The Non-Qualified Plans are not funded and the beneficiaries’ rights to receive distributions under these</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plans constitute unsecured claims to be paid from the Company’s general assets. At December 31, 2019, the Non-Qualified Plans’ projected benefit obligations and accumulated benefit obligations were $13.4 million.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accrued cost related to its qualified and non-qualified pension plans of $29.9 million and $31.9 million at December 31, 2019 and 2018, respectively, is included in other liabilities in the accompanying consolidated balance sheets. The change in the deferred net loss related to the Company’s retirement plans during 2019, 2018 and 2017 resulted in an increase (decrease) in equity of $2.1 million, $(1.3) million and $4.5 million, respectively, net of taxes of $0.5 million, $(0.4) million, and $1.5 million, respectively. Each of these adjustments to equity due to the change in the minimum liability are included in other comprehensive loss in the accompanying consolidated statements of stockholders’ equity and noncontrolling interest.</w:t>
      </w:r>
    </w:p>
    <w:p>
      <w:pPr>
        <w:spacing w:after="0" w:line="1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net gain (loss) recognized in other comprehensive income for the years ended December 31, 2019 and 2018 was $2.1 million and $(1.3) million, respectively. Included in accumulated other comprehensive loss at December 31, 2019 and 2018 are unrecognized actuarial losses of $35.2 million and $37.2 million ($28.4 million and $25.9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Postretirement Benefits Other than Pensions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sponsors an unfunded defined benefit postretirement health care plan for certain employees and contributes toward the cost of health insurance benefits. In order to be eligible for these postretirement benefits, an employee must retire after attainment of age 55 and completion of 15 years of service, or attainment of age 65 and completion of 10 years of service. The Company’s Benefits Trust Committee determines retiree premiums. The Company amended the plans effective December 31, 2001 such that only retirees who were receiving benefits under the plans at that time and active employees at that time whose age plus years of service totaled at least 60 and who had at least 10 years of service as of December 31, 2001 remain eligible.</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reconciles the change in benefit obligation of the postretirement plans to the accrued postretirement liability as reflected in other liabilities in the accompanying consolidated balance sheets at December 31 (amounts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Actuarial (gain)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Benefits paid</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postretirement benefit income reflected in other gains and (losses), net in the accompanying consolidated statements of operations included the following components for the years ended December 31 (amounts in thousands):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(1,314)</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discount rate used to determine the benefit obligation at December 31, 2019, 2018 and 2017 was 2.70%, 3.83%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3.15%, respectively. The discount rate used to determine the net postretirement benefit income for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2018 and 2017 was 3.83%, 3.15% and 3.47%, respectively.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expects to contribute $0.3 million to the plan in 2020. Based on the Company’s assumptions discussed above, the Company expects to make the following estimated future benefit payments under the plan during the years ending December 31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3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2023</w:t>
            </w:r>
          </w:p>
        </w:tc>
        <w:tc>
          <w:tcPr>
            <w:tcW w:w="3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2025 - 2029</w:t>
            </w:r>
          </w:p>
        </w:tc>
        <w:tc>
          <w:tcPr>
            <w:tcW w:w="3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893</w:t>
            </w:r>
          </w:p>
        </w:tc>
      </w:tr>
    </w:tbl>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net loss, amortization of net loss and amortization of prior service credit recognized in other comprehensive income for 2019 was $0.2 million, $0.2 million, and $1.3 million, respectively. Included in accumulated other comprehensive loss at December 31, 2019 are the following amounts that have not yet been recognized in net postretirement benefit expense: unrecognized actuarial losses of $3.1 million ($2.2 million net of tax) and unrecognized prior service credits of $9.8 million ($7.0 million net of tax). The net gain, amortization of net loss and amortization of prior service credit recognized in other comprehensive income for 2018 was $0.1 million, $0.3 million, and $1.3 million, respectively. Included in accumulated other comprehensive loss at December 31, 2018 are the following amounts that have not yet been recognized in net postretirement benefit expense: unrecognized actuarial losses of $3.1 million ($1.7 million net of tax) and unrecognized prior service credits of $11.1 million ($6.1 million net of tax). The net loss, amortization of net loss and amortization of prior service credit recognized in other comprehensive income for 2017 was $0.3 million, $0.2 million and $1.3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Company completed an underwritten public offering of approximately 3.5 million shares of its common stock, par value $0.01 per share, at a price to the public of $85.60 per share. Net proceeds to the Company, after deducting underwriting discounts and commissions and other expenses paid by the Company, were approximately $283 million. The Company intends to use a portion of the net proceeds to fund the approximately $134 million cash portion of the consideration for the acquisition of Block 21 discussed in Note 1, “Description of the Business and Summary of Significant Accounting Policies,” and the related fees and expenses of the acquisition. The Company intends to use the remaining net proceeds, or all of the net proceeds if the Block 21 acquisition is not consummated, for general corporate purposes, including future acquisitions or investments and the repayment of any indebtedness outstanding under the Revolver.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2019, the Company’s board of directors declared quarterly dividends totaling $3.60 per share of common stock for the full year, or an aggregate of $188.3 million in cash.</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2018, the Company’s board of directors declared quarterly dividends totaling $3.40 per share of common stock for the full year, or an aggregate of $174.5 million in cash.</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the Company’s board of directors declared quarterly dividends totaling $3.20 per share of common stock for the full year, or an aggregate of $163.7 million in cash.</w:t>
      </w:r>
    </w:p>
    <w:p>
      <w:pPr>
        <w:spacing w:after="0" w:line="17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To maintain its qualification as a REIT for federal income tax purposes, the Company must distribute at least 90% of its REIT taxable income each year. The Company’s board of directors has approved the Company’s current dividend policy pursuant to which the Company plans to pay a quarterly cash dividend to stockholders in an amount equal to an annualized payment of at least 50% of adjusted funds from operations (as defined by the Company) less maintenance capital expenditures or 100% of REIT taxable income on an annual basis, whichever is greater. The declaration, timing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0" w:name="page111"/>
    <w:bookmarkEnd w:id="11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and amount of dividends will be determined by future action of the Company’s board of directors. The dividend policy may be altered at any time by the Company’s board of directors.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left="20" w:right="200"/>
        <w:spacing w:after="0" w:line="285" w:lineRule="auto"/>
        <w:rPr>
          <w:sz w:val="20"/>
          <w:szCs w:val="20"/>
          <w:color w:val="auto"/>
        </w:rPr>
      </w:pPr>
      <w:r>
        <w:rPr>
          <w:rFonts w:ascii="Arial" w:cs="Arial" w:eastAsia="Arial" w:hAnsi="Arial"/>
          <w:sz w:val="16"/>
          <w:szCs w:val="16"/>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2" w:lineRule="exact"/>
        <w:rPr>
          <w:sz w:val="20"/>
          <w:szCs w:val="20"/>
          <w:color w:val="auto"/>
        </w:rPr>
      </w:pPr>
    </w:p>
    <w:p>
      <w:pPr>
        <w:ind w:left="20" w:right="20"/>
        <w:spacing w:after="0" w:line="251" w:lineRule="auto"/>
        <w:rPr>
          <w:sz w:val="20"/>
          <w:szCs w:val="20"/>
          <w:color w:val="auto"/>
        </w:rPr>
      </w:pPr>
      <w:r>
        <w:rPr>
          <w:rFonts w:ascii="Arial" w:cs="Arial" w:eastAsia="Arial" w:hAnsi="Arial"/>
          <w:sz w:val="18"/>
          <w:szCs w:val="18"/>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Changes in accumulated other comprehensive loss by component consisted of the following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Minimum</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Other-Than-</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Temporary</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 Rate</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Impairment of</w:t>
            </w: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Derivatives</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(22,268)</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Gains (losses)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(6,543)</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(6,543)</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Losses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(1,665)</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other comprehensive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Transition adjustment related to adoption of ASU 2018-02 (see Note 1)</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ectPr>
          <w:pgSz w:w="11900" w:h="16838" w:orient="portrait"/>
          <w:cols w:equalWidth="0" w:num="1">
            <w:col w:w="9100"/>
          </w:cols>
          <w:pgMar w:left="1400" w:top="517" w:right="13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379730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for continuing operations consists of the following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Federal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1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provision</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Federal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32,308</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w:t>
            </w: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Effect of federal tax law change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10"/>
        </w:trPr>
        <w:tc>
          <w:tcPr>
            <w:tcW w:w="3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(provision) benefit</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(10,190)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52,637</w:t>
            </w:r>
          </w:p>
        </w:tc>
      </w:tr>
      <w:tr>
        <w:trPr>
          <w:trHeight w:val="210"/>
        </w:trPr>
        <w:tc>
          <w:tcPr>
            <w:tcW w:w="3820" w:type="dxa"/>
            <w:vAlign w:val="bottom"/>
          </w:tcPr>
          <w:p>
            <w:pPr>
              <w:ind w:left="220"/>
              <w:spacing w:after="0"/>
              <w:rPr>
                <w:sz w:val="20"/>
                <w:szCs w:val="20"/>
                <w:color w:val="auto"/>
              </w:rPr>
            </w:pPr>
            <w:r>
              <w:rPr>
                <w:rFonts w:ascii="Arial" w:cs="Arial" w:eastAsia="Arial" w:hAnsi="Arial"/>
                <w:sz w:val="18"/>
                <w:szCs w:val="18"/>
                <w:color w:val="auto"/>
              </w:rPr>
              <w:t>Total (provision) benefit for income taxes</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(18,475)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49,155</w:t>
            </w:r>
          </w:p>
        </w:tc>
      </w:tr>
      <w:tr>
        <w:trPr>
          <w:trHeight w:val="20"/>
        </w:trPr>
        <w:tc>
          <w:tcPr>
            <w:tcW w:w="3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December 22, 2017, the TCJA was enacted and included a reduction to the U.S. federal corporate income tax rate from 35% to 21% for tax years beginning after December 31, 2017. At December 31, 2017, the Company had not completed its accounting for the tax effects of the enactment; however, based on a reasonable estimate, the Company recorded a non-cash tax benefit of $2.0 million during the fourth quarter of 2017 to reflect the impact of this rate change on existing deferred tax amounts, which is included above as a component of the benefit for income taxes for 2017. During 2018, the Company completed its accounting for all of the enactment-date income tax effects of the TCJA and made no adjustments to the provisional amounts recorded at December 31, 2017.</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evaluates its deferred tax assets each reporting period to determine if it is more likely than not that those assets will be realized or if a valuation allowance is needed. In the fourth quarter of 2017, due to projected future taxable income of its TRSs driven by fourth quarter 2017 modifications to internal hotel leases, the Company determined that the release of a significant portion of its federal and state valuation allowance was appropriate. This release of valuation allowance totaling $53.4 million was the primary factor for the income tax benefit for 2017 and is included as a component of the benefit for income taxes for 2017.</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reported for financial reporting purposes. The estimated taxability of cash distributions to common shareholders is as follows (per common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Capital gains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differences between the income tax provision calculated at the statutory U.S. federal income tax rate of 21% for 2019 and 2018 and 35% for 2017 and the actual income tax (provision) benefit recorded for continuing operations are as follows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provision</w:t>
            </w:r>
          </w:p>
        </w:tc>
        <w:tc>
          <w:tcPr>
            <w:tcW w:w="9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(30,822)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(58,047)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(44,431)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Adjustment for nontaxable income of the REIT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15,803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38,272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 benefit)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Permanent share-based compensation adjustment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Change in federal valuation allowance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36,156</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valuation allowance (net of federal tax benefit)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Effect of federal tax law change</w:t>
            </w:r>
          </w:p>
        </w:tc>
        <w:tc>
          <w:tcPr>
            <w:tcW w:w="9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(18,475)</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(11,745)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49,155</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Significant components of the Company’s deferred tax assets and liabilities at December 31 are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Accounting reserves and accruals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14,594</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Defined benefit plan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Deferred management rights proceeds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44,189</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59,382</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Tax credits and other carryforwards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10"/>
        </w:trPr>
        <w:tc>
          <w:tcPr>
            <w:tcW w:w="472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128,082</w:t>
            </w: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(14,210)</w:t>
            </w:r>
          </w:p>
        </w:tc>
      </w:tr>
      <w:tr>
        <w:trPr>
          <w:trHeight w:val="21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assets, net of valuation allowance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102,056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113,872</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57,931</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 joint ventures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Goodwill and other intangibles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1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73,315</w:t>
            </w:r>
          </w:p>
        </w:tc>
      </w:tr>
      <w:tr>
        <w:trPr>
          <w:trHeight w:val="210"/>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assets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40,557</w:t>
            </w:r>
          </w:p>
        </w:tc>
      </w:tr>
      <w:tr>
        <w:trPr>
          <w:trHeight w:val="20"/>
        </w:trPr>
        <w:tc>
          <w:tcPr>
            <w:tcW w:w="4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Federal net operating loss carryforwards at December 31, 2019 totaled $114.5 million, resulting in a deferred tax benefit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$24.0 million, which will begin to expire in 2033. The use of certain federal net operating losses, credits and other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assets are limited to the Company’s future taxable earnings. As a result, a valuation allowance has been provided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federal deferred tax assets. The valuation allowance related to federal deferred tax assets decreased $0.5 million, $0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$60.6 million in 2019, 2018 and 2017, respectively. State net operating loss carryforwards at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totaled $393.3 million, resulting in a deferred tax benefit of $21.8 million, which will expire between 2020 and 2039.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 of certain state net operating losses, credits and other state deferred tax assets are limited to the future taxable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separate legal entities. As a result, a valuation allowance has been provided for certain state deferred tax assets,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 carryforwards. The valuation allowance related to state deferred tax assets decreased $1.3 million, $0.4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 million in 2019, 2018 and 2017, respectively. The total 2017 decrease in federal and state valuation allowance of $74.0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differs from the amounts shown in the rate reconciliation of $53.4 million due primarily to the effects of the 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change enacted as a result of the TCJA, which resulted in a reduction in deferred tax assets and liabilities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in the corresponding valuation allowance. Management believes that it is more likely than not that the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will generate sufficient taxable income to realize the deferred tax assets after giving consideration to the valuation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allowance.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concluded IRS examinations of the TRS through the 2015 tax year. For federal income tax purposes and substantially all the states with which the Company has nexus, the statute of limitations has expired through 2015. However, the Company has state net operating loss carryforwards from closed years, which could be adjusted upon audit. The Company is routinely subject to other various jurisdictional income tax audits; however, there were no outstanding state or local audits at December 31, 2019.</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December 31, 2019 and 2018, the Company had no accruals for unrecognized tax benefits. The Company recognizes interest and penalties related to uncertain tax positions, if any, in income tax expense. At December 31, 2019 and 2018, the Company has accrued no interest or penalties related to uncertain tax positions.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April 2019, the Company acquired a 50% equity interest in Circle for an initial capital contribution of $2.0 million. The Company contributed an additional $2.0 million in December 2019. The joint venture agreement requires the Company to contribute up to an additional $11.0 million through December 31, 2021.</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has subsequently transitioned to a low or no deductible program. The Company has purchased stop-loss coverage in order to limit its exposure to any significant levels of claims relating to workers’ compensation, employee medical benefits and general liability for which it is self-insured.</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after a change of control.</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assets and liabilities that are required to be measured at fair value on a recurring basis at December 31,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to fixed interest rate swaps</w:t>
            </w: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interest rate swaps</w:t>
            </w:r>
          </w:p>
        </w:tc>
        <w:tc>
          <w:tcPr>
            <w:tcW w:w="11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11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remainder of the assets and liabilities held by the Company at December 31, 2019 and 2018 are not required to be measured at fair value, and the carrying value of the majority of these assets and liabilities approximates fair value. The carrying value of certain of these liabilities do not approximate fair value, as describe below.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5, “Debt,” the Company has outstanding $400.0 million in aggregate principal amount of the $400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5% Senior Notes. The carrying value of these notes at December 31, 2019 was $396.8 million, net of unamortized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DFCs. The fair value of these notes, based upon quoted market prices (Level 1), was $409.0 million at 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5, “Debt,” the Company has outstanding $700.0 million in aggregate principal amount of the $700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4.75% Senior Notes. The carrying value of these notes at December 31, 2019 was $690.6 million, net of unamortized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DFCs. The fair value of these notes, based upon quoted market prices (Level 1), was $724.1 million at December 31, 2019.</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Note 4, “Investment in Gaylord Rockies Joint Venture,” for additional disclosures related to the fair value measurements used in accounting for the purchase of an additional interest in the Gaylord Rockies joint venture.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Reporting By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continuing operations are organized into the following principal business segments:</w:t>
      </w:r>
    </w:p>
    <w:p>
      <w:pPr>
        <w:spacing w:after="0" w:line="225" w:lineRule="exact"/>
        <w:rPr>
          <w:sz w:val="20"/>
          <w:szCs w:val="20"/>
          <w:color w:val="auto"/>
        </w:rPr>
      </w:pPr>
    </w:p>
    <w:p>
      <w:pPr>
        <w:ind w:left="680" w:right="200" w:hanging="320"/>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the AC Hotel, and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the Gaylord Rockies joint venture;</w:t>
      </w:r>
    </w:p>
    <w:p>
      <w:pPr>
        <w:spacing w:after="0" w:line="170" w:lineRule="exact"/>
        <w:rPr>
          <w:rFonts w:ascii="Arial" w:cs="Arial" w:eastAsia="Arial" w:hAnsi="Arial"/>
          <w:sz w:val="18"/>
          <w:szCs w:val="18"/>
          <w:color w:val="auto"/>
        </w:rPr>
      </w:pPr>
    </w:p>
    <w:p>
      <w:pPr>
        <w:ind w:left="680" w:right="220" w:hanging="320"/>
        <w:spacing w:after="0" w:line="308"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Entertainment</w:t>
      </w:r>
      <w:r>
        <w:rPr>
          <w:rFonts w:ascii="Arial" w:cs="Arial" w:eastAsia="Arial" w:hAnsi="Arial"/>
          <w:sz w:val="17"/>
          <w:szCs w:val="17"/>
          <w:color w:val="auto"/>
        </w:rPr>
        <w:t>, which includes the Grand Ole Opry, the Ryman Auditorium, WSM-AM, Ole Red,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other Nashville-based attractions, and the Company’s investment in the Circle joint venture; and</w:t>
      </w:r>
    </w:p>
    <w:p>
      <w:pPr>
        <w:spacing w:after="0" w:line="146" w:lineRule="exact"/>
        <w:rPr>
          <w:rFonts w:ascii="Arial" w:cs="Arial" w:eastAsia="Arial" w:hAnsi="Arial"/>
          <w:sz w:val="17"/>
          <w:szCs w:val="17"/>
          <w:color w:val="auto"/>
        </w:rPr>
      </w:pPr>
    </w:p>
    <w:p>
      <w:pPr>
        <w:ind w:left="680" w:hanging="3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information (amounts in thousands) is derived directly from the segments’ internal financial reports used for corporate management purposes.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r>
      <w:tr>
        <w:trPr>
          <w:trHeight w:val="210"/>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1,421,446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1,127,903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1,059,660</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125,059</w:t>
            </w: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1,604,566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1,184,719</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201,068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108,779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102,759</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r>
      <w:tr>
        <w:trPr>
          <w:trHeight w:val="210"/>
        </w:trPr>
        <w:tc>
          <w:tcPr>
            <w:tcW w:w="58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111,959</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Hospitality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263,203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247,885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223,302</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33,472</w:t>
            </w: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(32,650)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(33,513)</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Preopening costs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Impairment charges (2)</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(23,783)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(35,418)</w:t>
            </w:r>
          </w:p>
        </w:tc>
      </w:tr>
      <w:tr>
        <w:trPr>
          <w:trHeight w:val="210"/>
        </w:trPr>
        <w:tc>
          <w:tcPr>
            <w:tcW w:w="58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185,917</w:t>
            </w: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(131,620)</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(74,961)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(66,051)</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r>
      <w:tr>
        <w:trPr>
          <w:trHeight w:val="216"/>
        </w:trPr>
        <w:tc>
          <w:tcPr>
            <w:tcW w:w="58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unconsolidated joint ventures (3)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gains and (losses), net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10"/>
        </w:trPr>
        <w:tc>
          <w:tcPr>
            <w:tcW w:w="58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276,415</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126,945</w:t>
            </w:r>
          </w:p>
        </w:tc>
      </w:tr>
      <w:tr>
        <w:trPr>
          <w:trHeight w:val="20"/>
        </w:trPr>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96"/>
        </w:trPr>
        <w:tc>
          <w:tcPr>
            <w:tcW w:w="5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67" w:lineRule="exact"/>
        <w:rPr>
          <w:sz w:val="20"/>
          <w:szCs w:val="20"/>
          <w:color w:val="auto"/>
        </w:rPr>
      </w:pPr>
    </w:p>
    <w:p>
      <w:pPr>
        <w:ind w:left="680" w:right="80" w:hanging="320"/>
        <w:spacing w:after="0" w:line="254"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Preopening costs for 2019 include $1.3 million and $1.9 million for the Hospitality and Entertainment segments, respectively. Preopening costs for 2018 include $2.9 million and $1.9 million for the Hospitality and Entertainment segments, respectively. Preopening costs for 2017 include $0.3 million and $1.6 million for the Hospitality and Entertainment segments, respectively.</w:t>
      </w:r>
    </w:p>
    <w:p>
      <w:pPr>
        <w:spacing w:after="0" w:line="2" w:lineRule="exact"/>
        <w:rPr>
          <w:rFonts w:ascii="Arial" w:cs="Arial" w:eastAsia="Arial" w:hAnsi="Arial"/>
          <w:sz w:val="18"/>
          <w:szCs w:val="18"/>
          <w:color w:val="auto"/>
        </w:rPr>
      </w:pPr>
    </w:p>
    <w:p>
      <w:pPr>
        <w:ind w:left="680" w:right="600" w:hanging="320"/>
        <w:spacing w:after="0" w:line="250"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 charges for 2018 relate to the Entertainment segment. Impairment charges for 2017 relate to the Hospitality segment.</w:t>
      </w:r>
    </w:p>
    <w:p>
      <w:pPr>
        <w:ind w:left="680" w:right="100" w:hanging="320"/>
        <w:spacing w:after="0" w:line="295" w:lineRule="auto"/>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Loss from unconsolidated joint ventures for 2019 relates to the Entertainment segment. Income from unconsolidated joint ventures for 2018 includes $124.4 million (which includes the gain discussed in Note 4) and $0.6 million for the Hospitality and Entertainment segments, respectively. Loss from unconsolidated joint ventures for 2017 includes $1.9 million and $2.5 million for the Hospitality and Entertainment segments,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3,494,084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3,547,638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Other</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assets</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4,088,468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3,853,883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80" w:type="dxa"/>
            <w:vAlign w:val="bottom"/>
            <w:vMerge w:val="restart"/>
          </w:tcPr>
          <w:p>
            <w:pPr>
              <w:jc w:val="right"/>
              <w:ind w:right="135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capital expenditures by segment for the years ended December 31 (amounts 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10"/>
        </w:trPr>
        <w:tc>
          <w:tcPr>
            <w:tcW w:w="33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Hospitality</w:t>
            </w:r>
          </w:p>
        </w:tc>
        <w:tc>
          <w:tcPr>
            <w:tcW w:w="1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$ 120,899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$ 142,738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163,227</w:t>
            </w: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Entertainment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44,863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18,814</w:t>
            </w: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0"/>
        </w:trPr>
        <w:tc>
          <w:tcPr>
            <w:tcW w:w="330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1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$ 152,541</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$ 188,217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182,565</w:t>
            </w: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selected unaudited quarterly financial data for the fiscal years ended December 31, 2019 and 2018 (amounts in thousands, except per share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quarterly per share amounts may not equal the annual totals due to rounding.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Second</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Fourth</w:t>
            </w: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$ 370,775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$ 407,719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$ 379,787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$ 446,285</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53,009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53,553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53,998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53,287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71,748</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24,644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54,516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43,182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22,670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46,284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38,450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0.86</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 available to common 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37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Second</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Fourth</w:t>
            </w: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$ 288,370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$ 333,934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$ 292,249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$ 360,565</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28,666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31,221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51,526</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29,548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61,222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161,191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27,339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55,546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22,591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159,194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159,194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 available to common 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r>
    </w:tbl>
    <w:p>
      <w:pPr>
        <w:spacing w:after="0" w:line="202"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During the fourth quarter of 2018, the Company recognized a $131.4 million gain associated with the revaluation of its investment interest in the Gaylord Rockies joint venture, as described in Note 4. This gain is included in income from unconsolidated joint ventures in the accompanying consolidated statement of operations.</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fourth quarter of 2018, the Company incurred an impairment charge of $18.0 million associated with the closure of Opry City Stage, as described in Note 1. This impairment charge is included in impairment charges in the accompanying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Information Concerning Guarantor and Non-Guarantor Subsidiaries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$400 Million 5% Senior Notes and the $700 Million 4.75% Senior Notes were each issued by the Operating Partnership and Finco and are guaranteed on a senior unsecured basis by the Company, each of the Company’s four wholly-owned subsidiaries that own the Gaylord Hotels properties, and certain other of the Company’s subsidiaries, each</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59"/>
        <w:spacing w:after="0" w:line="312" w:lineRule="auto"/>
        <w:rPr>
          <w:sz w:val="20"/>
          <w:szCs w:val="20"/>
          <w:color w:val="auto"/>
        </w:rPr>
      </w:pPr>
      <w:r>
        <w:rPr>
          <w:rFonts w:ascii="Arial" w:cs="Arial" w:eastAsia="Arial" w:hAnsi="Arial"/>
          <w:sz w:val="16"/>
          <w:szCs w:val="16"/>
          <w:color w:val="auto"/>
        </w:rPr>
        <w:t>of which guarantees the Credit Agreement (such subsidiary guarantors, together with the Company, the “Guarantors”). The subsidiary Guarantors are 100% owned, and the guarantees are full and unconditional and joint and several. Not all of the Company’s subsidiaries have guaranteed the $400 Million 5% Senior Notes and the $700 Million 4.75% Senior Notes.</w:t>
      </w:r>
    </w:p>
    <w:p>
      <w:pPr>
        <w:spacing w:after="0" w:line="147" w:lineRule="exact"/>
        <w:rPr>
          <w:sz w:val="20"/>
          <w:szCs w:val="20"/>
          <w:color w:val="auto"/>
        </w:rPr>
      </w:pPr>
    </w:p>
    <w:p>
      <w:pPr>
        <w:ind w:right="119"/>
        <w:spacing w:after="0" w:line="264"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As of December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1,632,744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1,497,508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3,130,252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2,113,481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1,050,955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2,949,445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708,588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2,077,984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1,050,984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3,162,369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4,454,406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4,328,011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4,088,468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and finance lease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1,766,675</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2,559,968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244,734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1,514,770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4"/>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1,185,168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2,894,830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2,843,450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(6,053,960)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1,447,837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4,342,668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2,577,118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1,050,984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3,162,369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4,454,406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4,328,011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As of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Guarantor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1,646,946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1,502,149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3,149,095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1,895,086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(1,895,086)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1,101,740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2,950,457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710,516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1,898,756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(6,661,469)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1,101,821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2,951,148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4,252,158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4,106,565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(8,557,809)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and finance lease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1,946,699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2,441,895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255,089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587,175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(1,895,086)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287,433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900,795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2,895,842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2,668,134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(6,063,098)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1,248,994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4,144,837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2,372,413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(6,661,469)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1,101,821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2,951,148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4,252,158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4,106,565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(8,557,809)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Year Ended December 31,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Rooms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557,562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323,769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(380,707)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323,769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1,664,607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(383,810)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Rooms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(368,265)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1,278,014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(368,265)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124,823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1,590,376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(383,810)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1,337,035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198,946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(95,501)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7"/>
              </w:rPr>
              <w:t>Loss from unconsolidated joint ventures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198,946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132,204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128,294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(97,399)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198,843</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(132,204)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shd w:val="clear" w:color="auto" w:fill="CCEEFF"/>
          </w:tcPr>
          <w:p>
            <w:pPr>
              <w:ind w:left="100"/>
              <w:spacing w:after="0" w:line="156" w:lineRule="exact"/>
              <w:rPr>
                <w:sz w:val="20"/>
                <w:szCs w:val="20"/>
                <w:color w:val="auto"/>
              </w:rPr>
            </w:pPr>
            <w:r>
              <w:rPr>
                <w:rFonts w:ascii="Arial" w:cs="Arial" w:eastAsia="Arial" w:hAnsi="Arial"/>
                <w:sz w:val="18"/>
                <w:szCs w:val="18"/>
                <w:color w:val="auto"/>
              </w:rPr>
              <w:t>Comprehensive income (loss), net of</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130,866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(93,591)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198,843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29,524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(134,776)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130,866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00"/>
              <w:spacing w:after="0" w:line="195" w:lineRule="exact"/>
              <w:rPr>
                <w:sz w:val="20"/>
                <w:szCs w:val="20"/>
                <w:color w:val="auto"/>
              </w:rPr>
            </w:pPr>
            <w:r>
              <w:rPr>
                <w:rFonts w:ascii="Arial" w:cs="Arial" w:eastAsia="Arial" w:hAnsi="Arial"/>
                <w:sz w:val="18"/>
                <w:szCs w:val="18"/>
                <w:color w:val="auto"/>
                <w:w w:val="96"/>
              </w:rPr>
              <w:t>Net income (loss) available to common</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145,794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(97,399)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198,843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30,760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3"/>
              </w:rPr>
              <w:t>(132,204)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145,794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shareholders</w:t>
            </w:r>
          </w:p>
        </w:tc>
        <w:tc>
          <w:tcPr>
            <w:tcW w:w="20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Comprehensive income (loss), net of</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vMerge w:val="continue"/>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149,194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(93,591)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198,843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30,352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(135,604)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taxes, available to common shareholders</w:t>
            </w: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Year Ended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Rooms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454,393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305,802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(320,183)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305,802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1,290,347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(321,031)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1,275,118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(306,254)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1,031,917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(306,254)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0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overhead allocation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118,363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1,258,094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(321,031)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1,060,849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187,439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(74,936)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unconsolidated joint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187,439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268,551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(268,551)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264,670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(76,478)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187,159</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(268,551)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263,338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(76,478)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187,159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156,538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(267,219)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Year Ended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431,768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316,402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159,162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(331,617)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316,402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1,200,719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(332,402)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(316,863)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1,006,076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(316,863)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overhead allocation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110,955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1,209,785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(332,402)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205,447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5"/>
              </w:rPr>
              <w:t>Loss from unconsolidated joint ventures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(67,621)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205,447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184,968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(184,968)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176,100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(67,621)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205,410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(184,968)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171,676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(67,621)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205,410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42,755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(180,544)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Year Ended December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Net cash provided by (used in) operating</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(104,258)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Purchase of additional interest in Gaylord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Rockies joint venture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3"/>
              </w:rPr>
              <w:t>Earnest money deposit for potential Block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21 acquisition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(48,283)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(114,754)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repayments under revolving credit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(525,000)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Borrowings under term loan A</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senior notes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Borrowing under Gaylord Rockies term</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loan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Repayment of Gaylord Rockies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mezzanine loans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(496,612)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(9,166)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(183,346)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(183,346)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from consolidated joint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3"/>
              </w:rPr>
              <w:t>venture to noncontrolling interest partners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(113,894)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Payment of tax withholdings for share-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based compensation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line="182" w:lineRule="exact"/>
              <w:rPr>
                <w:sz w:val="20"/>
                <w:szCs w:val="20"/>
                <w:color w:val="auto"/>
              </w:rPr>
            </w:pPr>
            <w:r>
              <w:rPr>
                <w:rFonts w:ascii="Arial" w:cs="Arial" w:eastAsia="Arial" w:hAnsi="Arial"/>
                <w:sz w:val="18"/>
                <w:szCs w:val="18"/>
                <w:color w:val="auto"/>
                <w:w w:val="97"/>
              </w:rPr>
              <w:t>Net cash provided by (used in) financing</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(196,000)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180,048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w w:val="92"/>
              </w:rPr>
              <w:t>Net change in cash, cash equivalents,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199,877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71,533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148,297</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line="182" w:lineRule="exact"/>
              <w:rPr>
                <w:sz w:val="20"/>
                <w:szCs w:val="20"/>
                <w:color w:val="auto"/>
              </w:rPr>
            </w:pPr>
            <w:r>
              <w:rPr>
                <w:rFonts w:ascii="Arial" w:cs="Arial" w:eastAsia="Arial" w:hAnsi="Arial"/>
                <w:sz w:val="18"/>
                <w:szCs w:val="18"/>
                <w:color w:val="auto"/>
              </w:rPr>
              <w:t>Cash, cash equivalents, and restricted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200,534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219,830</w:t>
            </w: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420,396</w:t>
            </w:r>
          </w:p>
        </w:tc>
        <w:tc>
          <w:tcPr>
            <w:tcW w:w="0" w:type="dxa"/>
            <w:vAlign w:val="bottom"/>
          </w:tcPr>
          <w:p>
            <w:pPr>
              <w:spacing w:after="0"/>
              <w:rPr>
                <w:sz w:val="1"/>
                <w:szCs w:val="1"/>
                <w:color w:val="auto"/>
              </w:rPr>
            </w:pPr>
          </w:p>
        </w:tc>
      </w:tr>
      <w:tr>
        <w:trPr>
          <w:trHeight w:val="217"/>
        </w:trPr>
        <w:tc>
          <w:tcPr>
            <w:tcW w:w="316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Year Ended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Net cash provided by (used in) operating</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(348,460)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419,338</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(113,805)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Purchase of additional interest in Gaylord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Rockies joint venture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(223,564)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Purchase of remaining interest in Opry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City Stage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(74,412)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(348,898)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(423,310)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(172,415)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(172,415)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Payment of tax withholdings for share-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Net cash provided by (used in) financing</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(176,568)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348,358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change in cash, cash equivalents, and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77,877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vMerge w:val="continue"/>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148,297</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149,089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Year Ended December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Net cash provided by (used in) operating</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116,897</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in Gaylord Rockies joint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venture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(96,516)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(118,905)</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(215,421)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(211,400)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 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Borrowings under term loan B</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(393,750)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Payment of tax withholdings for share-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based compensation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line="182" w:lineRule="exact"/>
              <w:rPr>
                <w:sz w:val="20"/>
                <w:szCs w:val="20"/>
                <w:color w:val="auto"/>
              </w:rPr>
            </w:pPr>
            <w:r>
              <w:rPr>
                <w:rFonts w:ascii="Arial" w:cs="Arial" w:eastAsia="Arial" w:hAnsi="Arial"/>
                <w:sz w:val="18"/>
                <w:szCs w:val="18"/>
                <w:color w:val="auto"/>
                <w:w w:val="97"/>
              </w:rPr>
              <w:t>Net cash provided by (used in) financing</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(165,451)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82,582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5"/>
              </w:rPr>
              <w:t>Net change in cash and cash equivalents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Cash and cash equivalents at beginning of</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81,190</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w w:val="90"/>
              </w:rPr>
              <w:t>Cash and cash equivalents at end of period</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77,877</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6" w:name="page127"/>
    <w:bookmarkEnd w:id="126"/>
    <w:p>
      <w:pPr>
        <w:ind w:left="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Costs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ind w:left="20"/>
              <w:spacing w:after="0"/>
              <w:rPr>
                <w:sz w:val="20"/>
                <w:szCs w:val="20"/>
                <w:color w:val="auto"/>
              </w:rPr>
            </w:pPr>
            <w:r>
              <w:rPr>
                <w:rFonts w:ascii="Arial" w:cs="Arial" w:eastAsia="Arial" w:hAnsi="Arial"/>
                <w:sz w:val="13"/>
                <w:szCs w:val="13"/>
                <w:b w:val="1"/>
                <w:bCs w:val="1"/>
                <w:color w:val="auto"/>
              </w:rPr>
              <w:t>Initital Cost to Company</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Capitalized</w:t>
            </w:r>
          </w:p>
        </w:tc>
        <w:tc>
          <w:tcPr>
            <w:tcW w:w="2680" w:type="dxa"/>
            <w:vAlign w:val="bottom"/>
            <w:gridSpan w:val="12"/>
          </w:tcPr>
          <w:p>
            <w:pPr>
              <w:ind w:left="460"/>
              <w:spacing w:after="0"/>
              <w:rPr>
                <w:sz w:val="20"/>
                <w:szCs w:val="20"/>
                <w:color w:val="auto"/>
              </w:rPr>
            </w:pPr>
            <w:r>
              <w:rPr>
                <w:rFonts w:ascii="Arial" w:cs="Arial" w:eastAsia="Arial" w:hAnsi="Arial"/>
                <w:sz w:val="13"/>
                <w:szCs w:val="13"/>
                <w:b w:val="1"/>
                <w:bCs w:val="1"/>
                <w:color w:val="auto"/>
              </w:rPr>
              <w:t>Gross Amount at End of Year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Date Acq/</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Depr Life</w:t>
            </w: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Encmbr</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Land</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Bldgs &amp; Impr</w:t>
            </w:r>
          </w:p>
        </w:tc>
        <w:tc>
          <w:tcPr>
            <w:tcW w:w="16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4"/>
              </w:rPr>
              <w:t>Subs to Acq</w:t>
            </w:r>
          </w:p>
        </w:tc>
        <w:tc>
          <w:tcPr>
            <w:tcW w:w="80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3"/>
                <w:szCs w:val="13"/>
                <w:b w:val="1"/>
                <w:bCs w:val="1"/>
                <w:color w:val="auto"/>
              </w:rPr>
              <w:t>Land</w:t>
            </w:r>
          </w:p>
        </w:tc>
        <w:tc>
          <w:tcPr>
            <w:tcW w:w="80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3"/>
                <w:szCs w:val="13"/>
                <w:b w:val="1"/>
                <w:bCs w:val="1"/>
                <w:color w:val="auto"/>
                <w:w w:val="93"/>
              </w:rPr>
              <w:t>Bldgs &amp; Impr</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3"/>
                <w:szCs w:val="13"/>
                <w:b w:val="1"/>
                <w:bCs w:val="1"/>
                <w:color w:val="auto"/>
                <w:w w:val="94"/>
              </w:rPr>
              <w:t>Total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jc w:val="right"/>
              <w:ind w:right="357"/>
              <w:spacing w:after="0" w:line="129" w:lineRule="exact"/>
              <w:rPr>
                <w:sz w:val="20"/>
                <w:szCs w:val="20"/>
                <w:color w:val="auto"/>
              </w:rPr>
            </w:pPr>
            <w:r>
              <w:rPr>
                <w:rFonts w:ascii="Arial" w:cs="Arial" w:eastAsia="Arial" w:hAnsi="Arial"/>
                <w:sz w:val="13"/>
                <w:szCs w:val="13"/>
                <w:b w:val="1"/>
                <w:bCs w:val="1"/>
                <w:color w:val="auto"/>
                <w:w w:val="87"/>
              </w:rPr>
              <w:t>Acc Depr</w:t>
            </w:r>
          </w:p>
        </w:tc>
        <w:tc>
          <w:tcPr>
            <w:tcW w:w="5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76"/>
              </w:rPr>
              <w:t>Constr</w:t>
            </w:r>
          </w:p>
        </w:tc>
        <w:tc>
          <w:tcPr>
            <w:tcW w:w="5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(yrs)</w:t>
            </w: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Gaylord Opryland</w:t>
            </w:r>
          </w:p>
        </w:tc>
        <w:tc>
          <w:tcPr>
            <w:tcW w:w="240" w:type="dxa"/>
            <w:vAlign w:val="bottom"/>
            <w:tcBorders>
              <w:top w:val="single" w:sz="8" w:color="CCEEFF"/>
              <w:lef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9,817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77,125</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683,817</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69,279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701,480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770,759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373,052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center"/>
              <w:ind w:right="69"/>
              <w:spacing w:after="0" w:line="142" w:lineRule="exact"/>
              <w:rPr>
                <w:sz w:val="20"/>
                <w:szCs w:val="20"/>
                <w:color w:val="auto"/>
              </w:rPr>
            </w:pPr>
            <w:r>
              <w:rPr>
                <w:rFonts w:ascii="Arial" w:cs="Arial" w:eastAsia="Arial" w:hAnsi="Arial"/>
                <w:sz w:val="14"/>
                <w:szCs w:val="14"/>
                <w:color w:val="auto"/>
                <w:w w:val="89"/>
              </w:rPr>
              <w:t>1983</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Gaylord Palms</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21,564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314,661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66,612</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402,837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175,126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Gaylord Texan</w:t>
            </w:r>
          </w:p>
        </w:tc>
        <w:tc>
          <w:tcPr>
            <w:tcW w:w="840" w:type="dxa"/>
            <w:vAlign w:val="bottom"/>
            <w:tcBorders>
              <w:lef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21,235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388,030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181,165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542,042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186,944</w:t>
            </w: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color w:val="auto"/>
                <w:w w:val="89"/>
              </w:rPr>
              <w:t>2004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Gaylord National</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43,212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840,261</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39,265</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875,214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922,738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253,011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89"/>
              </w:rPr>
              <w:t>2008</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Gaylord Rockies (4)</w:t>
            </w:r>
          </w:p>
        </w:tc>
        <w:tc>
          <w:tcPr>
            <w:tcW w:w="840" w:type="dxa"/>
            <w:vAlign w:val="bottom"/>
            <w:tcBorders>
              <w:lef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53,338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760,664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53,343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760,904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814,247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23,004</w:t>
            </w: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color w:val="auto"/>
                <w:w w:val="89"/>
              </w:rPr>
              <w:t>2018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Inn at Opryland</w:t>
            </w:r>
          </w:p>
        </w:tc>
        <w:tc>
          <w:tcPr>
            <w:tcW w:w="2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7,248</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18,860</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89"/>
              </w:rPr>
              <w:t>1998</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 Hotel</w:t>
            </w:r>
          </w:p>
        </w:tc>
        <w:tc>
          <w:tcPr>
            <w:tcW w:w="24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2,674</w:t>
            </w:r>
          </w:p>
        </w:tc>
        <w:tc>
          <w:tcPr>
            <w:tcW w:w="1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color w:val="auto"/>
                <w:w w:val="89"/>
              </w:rPr>
              <w:t>2014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Miscellaneous</w:t>
            </w:r>
          </w:p>
        </w:tc>
        <w:tc>
          <w:tcPr>
            <w:tcW w:w="24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21,290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17,496</w:t>
            </w: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55,036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N/A</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4"/>
              </w:rPr>
              <w:t>182,210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2,421,579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$ 1,011,236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$ 301,898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3,313,127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3,615,025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$ 1,044,689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Borders>
              <w:lef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w w:val="88"/>
              </w:rPr>
              <w:t>Investment in real estate: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gridSpan w:val="10"/>
          </w:tcPr>
          <w:p>
            <w:pPr>
              <w:ind w:left="100"/>
              <w:spacing w:after="0"/>
              <w:rPr>
                <w:sz w:val="20"/>
                <w:szCs w:val="20"/>
                <w:color w:val="auto"/>
              </w:rPr>
            </w:pPr>
            <w:r>
              <w:rPr>
                <w:rFonts w:ascii="Arial" w:cs="Arial" w:eastAsia="Arial" w:hAnsi="Arial"/>
                <w:sz w:val="18"/>
                <w:szCs w:val="18"/>
                <w:color w:val="auto"/>
              </w:rPr>
              <w:t>Balance at beginning of year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$ 3,563,304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2,570,390</w:t>
            </w:r>
          </w:p>
        </w:tc>
        <w:tc>
          <w:tcPr>
            <w:tcW w:w="8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$ 2,529,641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Borders>
              <w:left w:val="single" w:sz="8" w:color="CCEEFF"/>
            </w:tcBorders>
            <w:gridSpan w:val="7"/>
            <w:shd w:val="clear" w:color="auto" w:fill="CCEEFF"/>
          </w:tcPr>
          <w:p>
            <w:pPr>
              <w:ind w:left="10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814,765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7"/>
          </w:tcPr>
          <w:p>
            <w:pPr>
              <w:ind w:left="100"/>
              <w:spacing w:after="0"/>
              <w:rPr>
                <w:sz w:val="20"/>
                <w:szCs w:val="20"/>
                <w:color w:val="auto"/>
              </w:rPr>
            </w:pPr>
            <w:r>
              <w:rPr>
                <w:rFonts w:ascii="Arial" w:cs="Arial" w:eastAsia="Arial" w:hAnsi="Arial"/>
                <w:sz w:val="18"/>
                <w:szCs w:val="18"/>
                <w:color w:val="auto"/>
              </w:rPr>
              <w:t>Improvements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53,373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179,787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40,749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2"/>
              </w:rPr>
              <w:t>Disposals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0" w:type="dxa"/>
            <w:vAlign w:val="bottom"/>
            <w:tcBorders>
              <w:bottom w:val="single" w:sz="8" w:color="CCEEFF"/>
            </w:tcBorders>
            <w:gridSpan w:val="8"/>
          </w:tcPr>
          <w:p>
            <w:pPr>
              <w:ind w:left="100"/>
              <w:spacing w:after="0"/>
              <w:rPr>
                <w:sz w:val="20"/>
                <w:szCs w:val="20"/>
                <w:color w:val="auto"/>
              </w:rPr>
            </w:pPr>
            <w:r>
              <w:rPr>
                <w:rFonts w:ascii="Arial" w:cs="Arial" w:eastAsia="Arial" w:hAnsi="Arial"/>
                <w:sz w:val="18"/>
                <w:szCs w:val="18"/>
                <w:color w:val="auto"/>
                <w:w w:val="93"/>
              </w:rPr>
              <w:t>Balance at end of year</w:t>
            </w: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$ 3,615,025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4"/>
              </w:rPr>
              <w:t>3,563,304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$ 2,570,390</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17"/>
                <w:szCs w:val="17"/>
                <w:color w:val="auto"/>
              </w:rPr>
            </w:pPr>
          </w:p>
        </w:tc>
        <w:tc>
          <w:tcPr>
            <w:tcW w:w="920" w:type="dxa"/>
            <w:vAlign w:val="bottom"/>
            <w:vMerge w:val="restart"/>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0" w:type="dxa"/>
            <w:vAlign w:val="bottom"/>
            <w:gridSpan w:val="10"/>
          </w:tcPr>
          <w:p>
            <w:pPr>
              <w:spacing w:after="0"/>
              <w:rPr>
                <w:sz w:val="20"/>
                <w:szCs w:val="20"/>
                <w:color w:val="auto"/>
              </w:rPr>
            </w:pPr>
            <w:r>
              <w:rPr>
                <w:rFonts w:ascii="Arial" w:cs="Arial" w:eastAsia="Arial" w:hAnsi="Arial"/>
                <w:sz w:val="18"/>
                <w:szCs w:val="18"/>
                <w:color w:val="auto"/>
              </w:rPr>
              <w:t>Accumulated depreciation: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Borders>
              <w:left w:val="single" w:sz="8" w:color="CCEEFF"/>
            </w:tcBorders>
            <w:gridSpan w:val="10"/>
            <w:shd w:val="clear" w:color="auto" w:fill="CCEEFF"/>
          </w:tcPr>
          <w:p>
            <w:pPr>
              <w:ind w:left="100"/>
              <w:spacing w:after="0"/>
              <w:rPr>
                <w:sz w:val="20"/>
                <w:szCs w:val="20"/>
                <w:color w:val="auto"/>
              </w:rPr>
            </w:pPr>
            <w:r>
              <w:rPr>
                <w:rFonts w:ascii="Arial" w:cs="Arial" w:eastAsia="Arial" w:hAnsi="Arial"/>
                <w:sz w:val="18"/>
                <w:szCs w:val="18"/>
                <w:color w:val="auto"/>
              </w:rPr>
              <w:t>Balance at beginning of year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949,630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883,445</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818,323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7"/>
          </w:tcPr>
          <w:p>
            <w:pPr>
              <w:ind w:left="1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95,415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65,122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w w:val="92"/>
              </w:rPr>
              <w:t>Disposals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8"/>
          </w:tcPr>
          <w:p>
            <w:pPr>
              <w:ind w:left="100"/>
              <w:spacing w:after="0"/>
              <w:rPr>
                <w:sz w:val="20"/>
                <w:szCs w:val="20"/>
                <w:color w:val="auto"/>
              </w:rPr>
            </w:pPr>
            <w:r>
              <w:rPr>
                <w:rFonts w:ascii="Arial" w:cs="Arial" w:eastAsia="Arial" w:hAnsi="Arial"/>
                <w:sz w:val="18"/>
                <w:szCs w:val="18"/>
                <w:color w:val="auto"/>
                <w:w w:val="93"/>
              </w:rPr>
              <w:t>Balance at end of year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88"/>
              </w:rPr>
              <w:t>$ 1,044,689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949,630</w:t>
            </w: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883,445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right="660" w:hanging="331"/>
        <w:spacing w:after="0" w:line="25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Pledged as collateral under the Company’s credit facility. At December 31, 2019, $687.1 million in borrowings and letters of credit were outstanding under such facility.</w:t>
      </w:r>
    </w:p>
    <w:p>
      <w:pPr>
        <w:spacing w:after="0" w:line="1" w:lineRule="exact"/>
        <w:rPr>
          <w:rFonts w:ascii="Arial" w:cs="Arial" w:eastAsia="Arial" w:hAnsi="Arial"/>
          <w:sz w:val="18"/>
          <w:szCs w:val="18"/>
          <w:color w:val="auto"/>
        </w:rPr>
      </w:pPr>
    </w:p>
    <w:p>
      <w:pPr>
        <w:ind w:left="580" w:right="740" w:hanging="331"/>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Pledged as collateral under the Gaylord Rockies joint venture term loan. At December 31, 2019, $800.0 million in borrowings were outstanding under such loan.</w:t>
      </w:r>
    </w:p>
    <w:p>
      <w:pPr>
        <w:ind w:left="580" w:hanging="331"/>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cost of properties for federal income tax purposes is approximately $3.5 billion at December 31, 2019.</w:t>
      </w:r>
    </w:p>
    <w:p>
      <w:pPr>
        <w:spacing w:after="0" w:line="20" w:lineRule="exact"/>
        <w:rPr>
          <w:rFonts w:ascii="Arial" w:cs="Arial" w:eastAsia="Arial" w:hAnsi="Arial"/>
          <w:sz w:val="17"/>
          <w:szCs w:val="17"/>
          <w:color w:val="auto"/>
        </w:rPr>
      </w:pPr>
    </w:p>
    <w:p>
      <w:pPr>
        <w:ind w:left="580" w:hanging="331"/>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owns a 62.1% investment in the joint venture that owns Gaylord Rockies.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358140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40"/>
          </w:cols>
          <w:pgMar w:left="1180" w:top="517" w:right="1179" w:bottom="1440" w:gutter="0" w:footer="0" w:header="0"/>
        </w:sectPr>
      </w:pPr>
    </w:p>
    <w:bookmarkStart w:id="127" w:name="page128"/>
    <w:bookmarkEnd w:id="127"/>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REGISTRANT’S SECURITIES</w:t>
      </w:r>
    </w:p>
    <w:p>
      <w:pPr>
        <w:jc w:val="center"/>
        <w:ind w:right="-20"/>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128" w:lineRule="exact"/>
        <w:rPr>
          <w:sz w:val="20"/>
          <w:szCs w:val="20"/>
          <w:color w:val="auto"/>
        </w:rPr>
      </w:pPr>
    </w:p>
    <w:p>
      <w:pPr>
        <w:ind w:left="160" w:right="139" w:firstLine="648"/>
        <w:spacing w:after="0" w:line="225" w:lineRule="auto"/>
        <w:rPr>
          <w:sz w:val="20"/>
          <w:szCs w:val="20"/>
          <w:color w:val="auto"/>
        </w:rPr>
      </w:pPr>
      <w:r>
        <w:rPr>
          <w:rFonts w:ascii="Arial" w:cs="Arial" w:eastAsia="Arial" w:hAnsi="Arial"/>
          <w:sz w:val="17"/>
          <w:szCs w:val="17"/>
          <w:color w:val="auto"/>
        </w:rPr>
        <w:t>The following description of the capital stock of Ryman Hospitality Properties, Inc. (“us,” “our” or “we,”) is a summary of the rights of our common stock and certain provisions of our amended and restated certificate of incorporation, or the Charter, and amended and restated bylaws, or the Bylaws, as currently in effect. This summary does not purport to be complete and is qualified in its entirety by the provisions of the Charter and Bylaws, copies of which are filed as exhibits to this Annual Report on Form 10-K and are incorporated by reference herein, and to the applicable provisions of Delaware and U.S. federal law. We encourage you to read the Charter and Bylaws, and the applicable provisions of Delaware and U.S. federal law for additional information.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Capital</w:t>
      </w:r>
    </w:p>
    <w:p>
      <w:pPr>
        <w:spacing w:after="0" w:line="148" w:lineRule="exact"/>
        <w:rPr>
          <w:sz w:val="20"/>
          <w:szCs w:val="20"/>
          <w:color w:val="auto"/>
        </w:rPr>
      </w:pPr>
    </w:p>
    <w:p>
      <w:pPr>
        <w:ind w:left="160" w:right="319" w:firstLine="648"/>
        <w:spacing w:after="0" w:line="285" w:lineRule="auto"/>
        <w:rPr>
          <w:sz w:val="20"/>
          <w:szCs w:val="20"/>
          <w:color w:val="auto"/>
        </w:rPr>
      </w:pPr>
      <w:r>
        <w:rPr>
          <w:rFonts w:ascii="Arial" w:cs="Arial" w:eastAsia="Arial" w:hAnsi="Arial"/>
          <w:sz w:val="17"/>
          <w:szCs w:val="17"/>
          <w:color w:val="auto"/>
        </w:rPr>
        <w:t>The Charter authorizes us to issue up to 500,000,000 shares of capital stock, consisting of 400,000,000 shares of common stock, par value $.01 per share, and 100,000,000 shares of preferred stock, par value $.01 per share. All shares of our common stock will be validly issued, fully paid and non-assessable. Under Delaware law, stockholders generally are not personally liable for a corporation’s acts or debts.</w:t>
      </w:r>
    </w:p>
    <w:p>
      <w:pPr>
        <w:spacing w:after="0" w:line="98" w:lineRule="exact"/>
        <w:rPr>
          <w:sz w:val="20"/>
          <w:szCs w:val="20"/>
          <w:color w:val="auto"/>
        </w:rPr>
      </w:pPr>
    </w:p>
    <w:p>
      <w:pPr>
        <w:ind w:left="160" w:right="159" w:firstLine="648"/>
        <w:spacing w:after="0" w:line="22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With respect to all matters upon which stockholders are entitled to vote, except as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 the holders of our common stock will be entitled to one vote in person or by proxy for each share of our common stock outstanding in the name of such stockholder on the record of stockholders. Generally, all matters to be voted on by our stockholders must be approved by a majority (or by a plurality in the case of election of directors where the number of candidates nominated for election exceeds the number of directors to be elected) of the votes entitled to be cast by all shares of our common stock present in person or by proxy.</w:t>
      </w:r>
    </w:p>
    <w:p>
      <w:pPr>
        <w:spacing w:after="0" w:line="111" w:lineRule="exact"/>
        <w:rPr>
          <w:sz w:val="20"/>
          <w:szCs w:val="20"/>
          <w:color w:val="auto"/>
        </w:rPr>
      </w:pPr>
    </w:p>
    <w:p>
      <w:pPr>
        <w:ind w:left="160" w:right="239" w:firstLine="648"/>
        <w:spacing w:after="0" w:line="259"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applicable law and rights, if any, of the holders of any outstanding class or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having a preference over our common stock with respect to the payment of dividends, dividends may be declared and paid on our common stock from time to time and in amounts as our board of directors may determine.</w:t>
      </w:r>
    </w:p>
    <w:p>
      <w:pPr>
        <w:spacing w:after="0" w:line="93" w:lineRule="exact"/>
        <w:rPr>
          <w:sz w:val="20"/>
          <w:szCs w:val="20"/>
          <w:color w:val="auto"/>
        </w:rPr>
      </w:pPr>
    </w:p>
    <w:p>
      <w:pPr>
        <w:jc w:val="both"/>
        <w:ind w:left="160" w:right="239" w:firstLine="648"/>
        <w:spacing w:after="0" w:line="21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or dissolution or the winding up of our business, whether 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or involuntarily, the holders of our common stock will be entitled to share ratably in all assets available for distribution after payment or provision for the payment of our debt and liabilities and to holders of preferred stock then outstanding of any amount required to be paid to them.</w:t>
      </w:r>
    </w:p>
    <w:p>
      <w:pPr>
        <w:spacing w:after="0" w:line="109" w:lineRule="exact"/>
        <w:rPr>
          <w:sz w:val="20"/>
          <w:szCs w:val="20"/>
          <w:color w:val="auto"/>
        </w:rPr>
      </w:pPr>
    </w:p>
    <w:p>
      <w:pPr>
        <w:ind w:left="160" w:right="519" w:firstLine="648"/>
        <w:spacing w:after="0" w:line="235" w:lineRule="auto"/>
        <w:rPr>
          <w:sz w:val="20"/>
          <w:szCs w:val="20"/>
          <w:color w:val="auto"/>
        </w:rPr>
      </w:pPr>
      <w:r>
        <w:rPr>
          <w:rFonts w:ascii="Arial" w:cs="Arial" w:eastAsia="Arial" w:hAnsi="Arial"/>
          <w:sz w:val="18"/>
          <w:szCs w:val="18"/>
          <w:i w:val="1"/>
          <w:iCs w:val="1"/>
          <w:color w:val="auto"/>
        </w:rPr>
        <w:t>Other Provisions</w:t>
      </w:r>
      <w:r>
        <w:rPr>
          <w:rFonts w:ascii="Arial" w:cs="Arial" w:eastAsia="Arial" w:hAnsi="Arial"/>
          <w:sz w:val="18"/>
          <w:szCs w:val="18"/>
          <w:color w:val="auto"/>
        </w:rPr>
        <w:t>. The holders of our common stock will not be entitled to any preemptive, subscription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rights, and will not be entitled to the benefit of any sinking fund.</w:t>
      </w:r>
    </w:p>
    <w:p>
      <w:pPr>
        <w:spacing w:after="0" w:line="108" w:lineRule="exact"/>
        <w:rPr>
          <w:sz w:val="20"/>
          <w:szCs w:val="20"/>
          <w:color w:val="auto"/>
        </w:rPr>
      </w:pPr>
    </w:p>
    <w:p>
      <w:pPr>
        <w:ind w:left="160" w:right="519" w:firstLine="648"/>
        <w:spacing w:after="0" w:line="235" w:lineRule="auto"/>
        <w:rPr>
          <w:sz w:val="20"/>
          <w:szCs w:val="20"/>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The transfer agent and registrar for our common stock is Computershare, Inc.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listed on the NYSE under the symbol “RHP.”</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160" w:right="159" w:firstLine="648"/>
        <w:spacing w:after="0" w:line="222" w:lineRule="auto"/>
        <w:rPr>
          <w:sz w:val="20"/>
          <w:szCs w:val="20"/>
          <w:color w:val="auto"/>
        </w:rPr>
      </w:pPr>
      <w:r>
        <w:rPr>
          <w:rFonts w:ascii="Arial" w:cs="Arial" w:eastAsia="Arial" w:hAnsi="Arial"/>
          <w:sz w:val="17"/>
          <w:szCs w:val="17"/>
          <w:color w:val="auto"/>
        </w:rPr>
        <w:t>Pursuant to the Charter, our board of directors is empowered, without any approval of our stockholders, to issue shares of preferred stock in one or more classes or series, to establish the number of shares in each class or series, and to fix the voting powers, designations, powers, preferences and relative, participating, optional or other rights, of each such class or series, and any qualifications, limitations or restrictions thereof. The specific rights and powers that may be determined by our board of directors include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us; or (iv) convertible into, or exchangeable for, shares of any other class or classes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327660</wp:posOffset>
            </wp:positionV>
            <wp:extent cx="554863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8" w:name="page129"/>
    <w:bookmarkEnd w:id="128"/>
    <w:p>
      <w:pPr>
        <w:ind w:left="800"/>
        <w:spacing w:after="0"/>
        <w:rPr>
          <w:sz w:val="20"/>
          <w:szCs w:val="20"/>
          <w:color w:val="auto"/>
        </w:rPr>
      </w:pPr>
      <w:r>
        <w:rPr>
          <w:rFonts w:ascii="Arial" w:cs="Arial" w:eastAsia="Arial" w:hAnsi="Arial"/>
          <w:sz w:val="18"/>
          <w:szCs w:val="18"/>
          <w:color w:val="auto"/>
        </w:rPr>
        <w:t>Currently, there are no shares of our preferred stock issued and outstanding.</w:t>
      </w:r>
    </w:p>
    <w:p>
      <w:pPr>
        <w:spacing w:after="0" w:line="131"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color w:val="auto"/>
        </w:rPr>
        <w:t>Because our board of directors will have the power to establish the preferences and rights of each class or series of preferred stock, it may afford the stockholders of any series of preferred stock preferences, powers and rights senior to the rights of holders of shares of our common stock, which could have the effect of delaying, deferring or preventing a change in control of us.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35" w:lineRule="exact"/>
        <w:rPr>
          <w:sz w:val="20"/>
          <w:szCs w:val="20"/>
          <w:color w:val="auto"/>
        </w:rPr>
      </w:pPr>
    </w:p>
    <w:p>
      <w:pPr>
        <w:ind w:left="160" w:right="579" w:firstLine="648"/>
        <w:spacing w:after="0" w:line="232" w:lineRule="auto"/>
        <w:rPr>
          <w:sz w:val="20"/>
          <w:szCs w:val="20"/>
          <w:color w:val="auto"/>
        </w:rPr>
      </w:pPr>
      <w:r>
        <w:rPr>
          <w:rFonts w:ascii="Arial" w:cs="Arial" w:eastAsia="Arial" w:hAnsi="Arial"/>
          <w:sz w:val="17"/>
          <w:szCs w:val="17"/>
          <w:color w:val="auto"/>
        </w:rPr>
        <w:t>For us to comply with and have maximum business flexibility under the Federal Communications Laws (defined in the Charter and including the Communications Act of 1934, as amended), and for us to qualify as a real estate investment trust, or REIT, under the Internal Revenue Code of 1986, as amended, or the Code, the Charter contains restrictions on stock ownership and stock transfers summarized below.</w:t>
      </w:r>
    </w:p>
    <w:p>
      <w:pPr>
        <w:spacing w:after="0" w:line="109" w:lineRule="exact"/>
        <w:rPr>
          <w:sz w:val="20"/>
          <w:szCs w:val="20"/>
          <w:color w:val="auto"/>
        </w:rPr>
      </w:pPr>
    </w:p>
    <w:p>
      <w:pPr>
        <w:ind w:left="160" w:right="259" w:firstLine="648"/>
        <w:spacing w:after="0" w:line="219" w:lineRule="auto"/>
        <w:rPr>
          <w:sz w:val="20"/>
          <w:szCs w:val="20"/>
          <w:color w:val="auto"/>
        </w:rPr>
      </w:pPr>
      <w:r>
        <w:rPr>
          <w:rFonts w:ascii="Arial" w:cs="Arial" w:eastAsia="Arial" w:hAnsi="Arial"/>
          <w:sz w:val="18"/>
          <w:szCs w:val="18"/>
          <w:color w:val="auto"/>
        </w:rPr>
        <w:t>All certificates, if any, representing shares of our capital stock will bear legends describing or referencing both sets of restrictions. Further, these ownership and transfer restrictions could delay, defer or prevent a transaction or a change in control that might involve a premium price for our common stock or otherwise be in the best interest of our stockholders.</w:t>
      </w:r>
    </w:p>
    <w:p>
      <w:pPr>
        <w:spacing w:after="0" w:line="109" w:lineRule="exact"/>
        <w:rPr>
          <w:sz w:val="20"/>
          <w:szCs w:val="20"/>
          <w:color w:val="auto"/>
        </w:rPr>
      </w:pPr>
    </w:p>
    <w:p>
      <w:pPr>
        <w:ind w:left="160" w:right="219" w:firstLine="648"/>
        <w:spacing w:after="0" w:line="233" w:lineRule="auto"/>
        <w:rPr>
          <w:sz w:val="20"/>
          <w:szCs w:val="20"/>
          <w:color w:val="auto"/>
        </w:rPr>
      </w:pPr>
      <w:r>
        <w:rPr>
          <w:rFonts w:ascii="Arial" w:cs="Arial" w:eastAsia="Arial" w:hAnsi="Arial"/>
          <w:sz w:val="16"/>
          <w:szCs w:val="16"/>
          <w:i w:val="1"/>
          <w:iCs w:val="1"/>
          <w:color w:val="auto"/>
        </w:rPr>
        <w:t>Federal Communications Laws Restrictions</w:t>
      </w:r>
      <w:r>
        <w:rPr>
          <w:rFonts w:ascii="Arial" w:cs="Arial" w:eastAsia="Arial" w:hAnsi="Arial"/>
          <w:sz w:val="16"/>
          <w:szCs w:val="16"/>
          <w:color w:val="auto"/>
        </w:rPr>
        <w:t>. The Charter permits us to restrict the ownership or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shares of our common stock if such ownership or proposed ownership, or the exercise of any rights of ownership with respect to such ownership, by any person could result in any inconsistency with, or violation of, Federal Communications Laws (as defined in the Charter). Under the Charter, we may require any person whose ownership, or proposed ownership, or the exercise of any rights of ownership with respect to such ownership, of shares of our capital stock by any person may be inconsistent with, or in violation of, any provision of the Federal Communications Laws to promptly furnish to us such information (including, without limitation, information with respect to the citizenship, other ownership interests and affiliations) as we may reasonably request to determine whether the ownership of, or the exercise of any rights with respect to, shares of our capital stock by any such person could result in any inconsistency with, or violation of, the Federal Communications Laws. If such person fails to furnish all of the information that we request, or we conclude that such person’s ownership or proposed ownership of our common stock, or the exercise by such person of any rights of stock ownership in connection with our common stock, may be inconsistent with, or in violation of, the Federal Communications Laws, under the terms of the Charter, we may (i) refuse to permit the transfer of shares of our capital stock to any proposed transferee, (ii) suspend those rights of stock ownership the exercise of which would result in any inconsistency with, or violation of, the Federal Communications Laws, or (iii) redeem such shares of our capital stock pursuant to the procedures set forth below.</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procedures apply to the redemption of such person’s capital stock:</w:t>
      </w:r>
    </w:p>
    <w:p>
      <w:pPr>
        <w:spacing w:after="0" w:line="185" w:lineRule="exact"/>
        <w:rPr>
          <w:sz w:val="20"/>
          <w:szCs w:val="20"/>
          <w:color w:val="auto"/>
        </w:rPr>
      </w:pPr>
    </w:p>
    <w:p>
      <w:pPr>
        <w:ind w:left="1120" w:right="159" w:hanging="321"/>
        <w:spacing w:after="0" w:line="219"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price of any redeemed shares of our capital stock shall be the lesser of (i) the Market Price (as defined in the Charter) of such shares on the date of the notice of redemption, and (ii) if such capital stock was purchased by a Disqualified Holder (as defined in the Charter) within one year of the redemption date, such Disqualified Holder’s purchase price per share;</w:t>
      </w:r>
    </w:p>
    <w:p>
      <w:pPr>
        <w:spacing w:after="0" w:line="162" w:lineRule="exact"/>
        <w:rPr>
          <w:rFonts w:ascii="Arial" w:cs="Arial" w:eastAsia="Arial" w:hAnsi="Arial"/>
          <w:sz w:val="18"/>
          <w:szCs w:val="18"/>
          <w:color w:val="auto"/>
        </w:rPr>
      </w:pPr>
    </w:p>
    <w:p>
      <w:pPr>
        <w:ind w:left="1120" w:right="779" w:hanging="321"/>
        <w:spacing w:after="0" w:line="235"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price may be paid in cash, Redemption Securities (as defined in the Charter) or any combination thereof;</w:t>
      </w:r>
    </w:p>
    <w:p>
      <w:pPr>
        <w:spacing w:after="0" w:line="161" w:lineRule="exact"/>
        <w:rPr>
          <w:rFonts w:ascii="Arial" w:cs="Arial" w:eastAsia="Arial" w:hAnsi="Arial"/>
          <w:sz w:val="18"/>
          <w:szCs w:val="18"/>
          <w:color w:val="auto"/>
        </w:rPr>
      </w:pPr>
    </w:p>
    <w:p>
      <w:pPr>
        <w:ind w:left="1120" w:right="319" w:hanging="321"/>
        <w:spacing w:after="0" w:line="259"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board of directors in its sole discretion may decide to only redeem some (but not all) of a disqualified holder’s shares, which may include the selection of the most recently purchased or acquired shares, selection by lot or selection by such other manner as determined by the board of directors;</w:t>
      </w:r>
    </w:p>
    <w:p>
      <w:pPr>
        <w:spacing w:after="0" w:line="147" w:lineRule="exact"/>
        <w:rPr>
          <w:rFonts w:ascii="Arial" w:cs="Arial" w:eastAsia="Arial" w:hAnsi="Arial"/>
          <w:sz w:val="16"/>
          <w:szCs w:val="16"/>
          <w:color w:val="auto"/>
        </w:rPr>
      </w:pPr>
    </w:p>
    <w:p>
      <w:pPr>
        <w:ind w:left="1120" w:right="159" w:hanging="321"/>
        <w:spacing w:after="0" w:line="244"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provide at least 30 days’ prior written notice to each record holder of the shares selected to be redeemed of the date on which we plan to effect the redemption (unless waived by such record holder); provided, that the redemption date may be the date on which written notice is given to such record holder if the cash or Redemption Securities necessary to effect the redemption have been deposited in trust for the benefit of such record holder and are subject to immediate withdrawal by such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324485</wp:posOffset>
            </wp:positionV>
            <wp:extent cx="554863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9" w:name="page130"/>
    <w:bookmarkEnd w:id="129"/>
    <w:p>
      <w:pPr>
        <w:ind w:left="1120" w:right="579"/>
        <w:spacing w:after="0" w:line="235" w:lineRule="auto"/>
        <w:rPr>
          <w:sz w:val="20"/>
          <w:szCs w:val="20"/>
          <w:color w:val="auto"/>
        </w:rPr>
      </w:pPr>
      <w:r>
        <w:rPr>
          <w:rFonts w:ascii="Arial" w:cs="Arial" w:eastAsia="Arial" w:hAnsi="Arial"/>
          <w:sz w:val="18"/>
          <w:szCs w:val="18"/>
          <w:color w:val="auto"/>
        </w:rPr>
        <w:t>holder upon surrender of the stock certificates (or, in the case of uncertificated shares, evidence of the transfer thereof) for the redeemed shares;</w:t>
      </w:r>
    </w:p>
    <w:p>
      <w:pPr>
        <w:spacing w:after="0" w:line="162" w:lineRule="exact"/>
        <w:rPr>
          <w:sz w:val="20"/>
          <w:szCs w:val="20"/>
          <w:color w:val="auto"/>
        </w:rPr>
      </w:pPr>
    </w:p>
    <w:p>
      <w:pPr>
        <w:ind w:left="1120" w:right="199" w:hanging="321"/>
        <w:spacing w:after="0" w:line="224"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and after the date of the redemption, any and all rights relating to the redeemed shares shall cease and terminate and such record holder shall only possess the right to obtain cash (or any other of our debt or equity securities) payable upon the redemption; and</w:t>
      </w:r>
    </w:p>
    <w:p>
      <w:pPr>
        <w:spacing w:after="0" w:line="163" w:lineRule="exact"/>
        <w:rPr>
          <w:rFonts w:ascii="Arial" w:cs="Arial" w:eastAsia="Arial" w:hAnsi="Arial"/>
          <w:sz w:val="18"/>
          <w:szCs w:val="18"/>
          <w:color w:val="auto"/>
        </w:rPr>
      </w:pPr>
    </w:p>
    <w:p>
      <w:pPr>
        <w:ind w:left="1120" w:hanging="32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other terms and condition as our board of directors determines.</w:t>
      </w:r>
    </w:p>
    <w:p>
      <w:pPr>
        <w:spacing w:after="0" w:line="131" w:lineRule="exact"/>
        <w:rPr>
          <w:sz w:val="20"/>
          <w:szCs w:val="20"/>
          <w:color w:val="auto"/>
        </w:rPr>
      </w:pPr>
    </w:p>
    <w:p>
      <w:pPr>
        <w:ind w:left="160" w:right="159" w:firstLine="648"/>
        <w:spacing w:after="0" w:line="214" w:lineRule="auto"/>
        <w:rPr>
          <w:sz w:val="20"/>
          <w:szCs w:val="20"/>
          <w:color w:val="auto"/>
        </w:rPr>
      </w:pPr>
      <w:r>
        <w:rPr>
          <w:rFonts w:ascii="Arial" w:cs="Arial" w:eastAsia="Arial" w:hAnsi="Arial"/>
          <w:sz w:val="18"/>
          <w:szCs w:val="18"/>
          <w:i w:val="1"/>
          <w:iCs w:val="1"/>
          <w:color w:val="auto"/>
        </w:rPr>
        <w:t xml:space="preserve">REIT-Related Restrictions. </w:t>
      </w:r>
      <w:r>
        <w:rPr>
          <w:rFonts w:ascii="Arial" w:cs="Arial" w:eastAsia="Arial" w:hAnsi="Arial"/>
          <w:sz w:val="18"/>
          <w:szCs w:val="18"/>
          <w:color w:val="auto"/>
        </w:rPr>
        <w:t>In order to qualify as a REIT under the Code for each taxable year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our shares of capital stock must be beneficially owned by 100 or more persons during at least 335 days of a taxable year of 12 months or during a proportionate part of a shorter taxable year. Also, for our taxable years beginning after December 31, 2013, no more than 50% of the value of the outstanding shares of our capital stock may be owned, directly or constructively, by five or fewer individuals (as defined in the Code to include certain entities) during the second half of any calendar year.</w:t>
      </w:r>
    </w:p>
    <w:p>
      <w:pPr>
        <w:spacing w:after="0" w:line="108" w:lineRule="exact"/>
        <w:rPr>
          <w:sz w:val="20"/>
          <w:szCs w:val="20"/>
          <w:color w:val="auto"/>
        </w:rPr>
      </w:pPr>
    </w:p>
    <w:p>
      <w:pPr>
        <w:ind w:left="160" w:right="199" w:firstLine="648"/>
        <w:spacing w:after="0" w:line="223" w:lineRule="auto"/>
        <w:rPr>
          <w:sz w:val="20"/>
          <w:szCs w:val="20"/>
          <w:color w:val="auto"/>
        </w:rPr>
      </w:pPr>
      <w:r>
        <w:rPr>
          <w:rFonts w:ascii="Arial" w:cs="Arial" w:eastAsia="Arial" w:hAnsi="Arial"/>
          <w:sz w:val="17"/>
          <w:szCs w:val="17"/>
          <w:color w:val="auto"/>
        </w:rPr>
        <w:t>The Charter contains restrictions on the number of shares of our capital stock that a person may own, subject to certain exceptions. The Charter provides that (subject to certain exceptions described below) no person may beneficially own, or be deemed to own by virtue of the attribution provisions of the Code, more than 9.8% in value or in number of shares, whichever is more restrictive, of the aggregate of the outstanding shares of our capital stock, or any class or series of our capital stock. For purposes of these calculations, shares of capital stock that may be acquired upon conversion, exchange or exercise of any of our securities held by a person, but not capital stock issuable with respect to the conversion, exchange or exercise of our securities held by other persons, will be deemed to be outstanding prior to conversion, exchange or exercise.</w:t>
      </w:r>
    </w:p>
    <w:p>
      <w:pPr>
        <w:spacing w:after="0" w:line="114" w:lineRule="exact"/>
        <w:rPr>
          <w:sz w:val="20"/>
          <w:szCs w:val="20"/>
          <w:color w:val="auto"/>
        </w:rPr>
      </w:pPr>
    </w:p>
    <w:p>
      <w:pPr>
        <w:ind w:left="160" w:right="159" w:firstLine="648"/>
        <w:spacing w:after="0" w:line="225" w:lineRule="auto"/>
        <w:rPr>
          <w:sz w:val="20"/>
          <w:szCs w:val="20"/>
          <w:color w:val="auto"/>
        </w:rPr>
      </w:pPr>
      <w:r>
        <w:rPr>
          <w:rFonts w:ascii="Arial" w:cs="Arial" w:eastAsia="Arial" w:hAnsi="Arial"/>
          <w:sz w:val="17"/>
          <w:szCs w:val="17"/>
          <w:color w:val="auto"/>
        </w:rPr>
        <w:t>The applicable constructive ownership rules under the Code are complex and may cause stock owned actually or constructively by a group of related individuals and/or entities to be treated as owned by one individual or entity. As a result, the acquisition of less than 9.8% in value or number of our outstanding capital stock or any class or series of our capital stock (including through the acquisition of an interest in an entity that owns, actually or constructively, any of our capital stock) by an individual or entity could nevertheless cause that individual or entity, or another individual or entity, to own, constructively or beneficially, in excess of 9.8% in value or number of our outstanding capital stock or any class or series of our capital stock.</w:t>
      </w:r>
    </w:p>
    <w:p>
      <w:pPr>
        <w:spacing w:after="0" w:line="108" w:lineRule="exact"/>
        <w:rPr>
          <w:sz w:val="20"/>
          <w:szCs w:val="20"/>
          <w:color w:val="auto"/>
        </w:rPr>
      </w:pPr>
    </w:p>
    <w:p>
      <w:pPr>
        <w:ind w:left="160" w:right="279" w:firstLine="648"/>
        <w:spacing w:after="0" w:line="237" w:lineRule="auto"/>
        <w:rPr>
          <w:sz w:val="20"/>
          <w:szCs w:val="20"/>
          <w:color w:val="auto"/>
        </w:rPr>
      </w:pPr>
      <w:r>
        <w:rPr>
          <w:rFonts w:ascii="Arial" w:cs="Arial" w:eastAsia="Arial" w:hAnsi="Arial"/>
          <w:sz w:val="16"/>
          <w:szCs w:val="16"/>
          <w:color w:val="auto"/>
        </w:rPr>
        <w:t>Pursuant to the Charter, our board of directors has the power (prospectively or retroactively) to increase or decrease the 9.8% ownership limit referenced above. However, any decreased stock ownership limit will not apply to any person whose percentage ownership of our capital stock or any class or series of our capital stock, as the case may be, is in excess of such decreased stock ownership limit until that person’s percentage ownership of our capital stock or any class or series of our capital stock, as the case may be, equals or falls below the decreased stock ownership limit. Until such a person’s percentage ownership of our capital stock or any class or series of our capital stock, as the case may be, falls below such decreased stock ownership limit, any further acquisition of capital stock or any class or series of our capital stock, as the case may be, will be in violation of the decreased stock ownership limit.</w:t>
      </w:r>
    </w:p>
    <w:p>
      <w:pPr>
        <w:spacing w:after="0" w:line="113" w:lineRule="exact"/>
        <w:rPr>
          <w:sz w:val="20"/>
          <w:szCs w:val="20"/>
          <w:color w:val="auto"/>
        </w:rPr>
      </w:pPr>
    </w:p>
    <w:p>
      <w:pPr>
        <w:ind w:left="160" w:right="179" w:firstLine="648"/>
        <w:spacing w:after="0" w:line="235" w:lineRule="auto"/>
        <w:rPr>
          <w:sz w:val="20"/>
          <w:szCs w:val="20"/>
          <w:color w:val="auto"/>
        </w:rPr>
      </w:pPr>
      <w:r>
        <w:rPr>
          <w:rFonts w:ascii="Arial" w:cs="Arial" w:eastAsia="Arial" w:hAnsi="Arial"/>
          <w:sz w:val="16"/>
          <w:szCs w:val="16"/>
          <w:color w:val="auto"/>
        </w:rPr>
        <w:t>Our board of directors, in its sole discretion, may exempt a person from the foregoing restrictions (as defined in the Charter, an “Excepted Holder”). The person seeking an exemption must provide to our board of directors such representations and undertakings and satisfy such conditions, in each case as our board of directors may deem necessary or advisable to conclude that granting the exemption will not cause us to lose our qualification as a REIT. Our board of directors may also require a ruling from the Internal Revenue Service or an opinion of counsel in order to determine or ensure our qualification as a REIT in the context of granting such exemptions. In addition to our board of directors having the discretion to exempt an Excepted Holder, the Charter provides that any other person that holds shares of common stock in excess of 9.8% of the outstanding shares of common stock on the date of the completion of the merger will be permitted to hold shares in an amount not to exceed the amount of shares held as of such date (provided, that in no event will any individual (within the meaning of Section 542(a)(2) of the Code as modified by Section 856 of the Code) be permitted to beneficially own or constructively own shares in excess of the 9.8% ownership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0" w:name="page131"/>
    <w:bookmarkEnd w:id="130"/>
    <w:p>
      <w:pPr>
        <w:ind w:left="160" w:right="159" w:firstLine="648"/>
        <w:spacing w:after="0" w:line="233" w:lineRule="auto"/>
        <w:rPr>
          <w:sz w:val="20"/>
          <w:szCs w:val="20"/>
          <w:color w:val="auto"/>
        </w:rPr>
      </w:pPr>
      <w:r>
        <w:rPr>
          <w:rFonts w:ascii="Arial" w:cs="Arial" w:eastAsia="Arial" w:hAnsi="Arial"/>
          <w:sz w:val="16"/>
          <w:szCs w:val="16"/>
          <w:color w:val="auto"/>
        </w:rPr>
        <w:t>Pursuant to the Charter, our board of directors may only reduce the revised ownership limit for an Excepted Holder (i) with the written consent of such Excepted Holder, or (ii) pursuant to the terms and conditions of the agreements and undertakings entered into with such Excepted Holder in connection with the establishment of the revised ownership limit for that Excepted Holder. Notwithstanding the foregoing, our board of directors also may reduce the revised ownership limit then applicable to one or more particular Excepted Holders if such reduction is, in the judgment of the board of directors, in its sole discretion, necessary or advisable in enabling us to maintain its qualification as a REIT or is otherwise in our best interest. Any such decreased stock ownership limit, however, will not apply to any person whose percentage ownership of our capital stock or any class or series of capital stock, as the case may be, is in excess of such decreased stock ownership limit until that person’s percentage ownership of our capital stock or any class or series of capital stock, as the case may be, equals or falls below the decreased stock ownership limit. Until such a person’s percentage ownership of our capital stock or any class or series of capital stock, as the case may be, falls below such decreased stock ownership limit, any further acquisition of capital stock or any class or series of capital stock, as the case may be, will be in violation of the decreased stock ownership limit. The Charter also provides that no such decreased stock ownership limit applicable to any Excepted Holder shall be reduced to a percentage that is less than the stock ownership limit applicable to our stockholders generally.</w:t>
      </w:r>
    </w:p>
    <w:p>
      <w:pPr>
        <w:spacing w:after="0" w:line="116" w:lineRule="exact"/>
        <w:rPr>
          <w:sz w:val="20"/>
          <w:szCs w:val="20"/>
          <w:color w:val="auto"/>
        </w:rPr>
      </w:pPr>
    </w:p>
    <w:p>
      <w:pPr>
        <w:ind w:left="160" w:right="179" w:firstLine="648"/>
        <w:spacing w:after="0" w:line="223" w:lineRule="auto"/>
        <w:rPr>
          <w:sz w:val="20"/>
          <w:szCs w:val="20"/>
          <w:color w:val="auto"/>
        </w:rPr>
      </w:pPr>
      <w:r>
        <w:rPr>
          <w:rFonts w:ascii="Arial" w:cs="Arial" w:eastAsia="Arial" w:hAnsi="Arial"/>
          <w:sz w:val="17"/>
          <w:szCs w:val="17"/>
          <w:color w:val="auto"/>
        </w:rPr>
        <w:t>The Charter also (i) prohibits any person from beneficially or constructively owning shares of our capital stock that would result in us being “closely held” under Section 856(h) of the Code or otherwise cause us to fail to qualify as a REIT or (ii) any transfer of shares of capital stock if the transfer would result in our capital stock being beneficially owned by fewer than 100 persons. In addition, the Charter provides that (i) no person shall beneficially own shares of capital stock to the extent such beneficial ownership of capital stock would result in our failing to qualify as a “domestically controlled qualified investment entity” within the meaning of Section 897(h) of the Code, and (ii) no person shall beneficially own shares of capital stock to the extent such beneficial ownership of capital stock would result in our being “predominantly held” (within the meaning of Section 856(h)(3)(D) of the Code) by “qualified trusts” (within the meaning of Section 856(h)(3)(E) of the Code).</w:t>
      </w:r>
    </w:p>
    <w:p>
      <w:pPr>
        <w:spacing w:after="0" w:line="108" w:lineRule="exact"/>
        <w:rPr>
          <w:sz w:val="20"/>
          <w:szCs w:val="20"/>
          <w:color w:val="auto"/>
        </w:rPr>
      </w:pPr>
    </w:p>
    <w:p>
      <w:pPr>
        <w:ind w:left="160" w:right="299" w:firstLine="648"/>
        <w:spacing w:after="0" w:line="225" w:lineRule="auto"/>
        <w:rPr>
          <w:sz w:val="20"/>
          <w:szCs w:val="20"/>
          <w:color w:val="auto"/>
        </w:rPr>
      </w:pPr>
      <w:r>
        <w:rPr>
          <w:rFonts w:ascii="Arial" w:cs="Arial" w:eastAsia="Arial" w:hAnsi="Arial"/>
          <w:sz w:val="17"/>
          <w:szCs w:val="17"/>
          <w:color w:val="auto"/>
        </w:rPr>
        <w:t>The Charter provides that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108" w:lineRule="exact"/>
        <w:rPr>
          <w:sz w:val="20"/>
          <w:szCs w:val="20"/>
          <w:color w:val="auto"/>
        </w:rPr>
      </w:pPr>
    </w:p>
    <w:p>
      <w:pPr>
        <w:ind w:left="160" w:right="159" w:firstLine="648"/>
        <w:spacing w:after="0" w:line="237" w:lineRule="auto"/>
        <w:rPr>
          <w:sz w:val="20"/>
          <w:szCs w:val="20"/>
          <w:color w:val="auto"/>
        </w:rPr>
      </w:pPr>
      <w:r>
        <w:rPr>
          <w:rFonts w:ascii="Arial" w:cs="Arial" w:eastAsia="Arial" w:hAnsi="Arial"/>
          <w:sz w:val="16"/>
          <w:szCs w:val="16"/>
          <w:color w:val="auto"/>
        </w:rPr>
        <w:t xml:space="preserve">The Charter provides that any attempted transfer of shares of our capital stock or other event which, if effective, would result in a violation of the foregoing restrictions will cause the number of shares causing the violation to be automatically transferred to a trust for the exclusive benefit of one or more charitable beneficiaries, and the proposed transferee or stockholder whose shares would result in this violation will not acquire any rights in such shares. The automatic transfer will be deemed to be effective as of the close of business on the Business Day (as defined in the Charter) prior to the date of the transfer or other event (but in no event earlier than the date of the closing of the merger). If, for any reason, the transfer to the trust does not occur or would not prevent a violation of the restrictions on ownership contained in the Charter, the Charter provides that the purported transfer will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13" w:lineRule="exact"/>
        <w:rPr>
          <w:sz w:val="20"/>
          <w:szCs w:val="20"/>
          <w:color w:val="auto"/>
        </w:rPr>
      </w:pPr>
    </w:p>
    <w:p>
      <w:pPr>
        <w:ind w:left="160" w:right="259" w:firstLine="648"/>
        <w:spacing w:after="0" w:line="220" w:lineRule="auto"/>
        <w:rPr>
          <w:sz w:val="20"/>
          <w:szCs w:val="20"/>
          <w:color w:val="auto"/>
        </w:rPr>
      </w:pPr>
      <w:r>
        <w:rPr>
          <w:rFonts w:ascii="Arial" w:cs="Arial" w:eastAsia="Arial" w:hAnsi="Arial"/>
          <w:sz w:val="17"/>
          <w:szCs w:val="17"/>
          <w:color w:val="auto"/>
        </w:rPr>
        <w:t>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or stockholder whose shares would result in this violation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330835</wp:posOffset>
            </wp:positionV>
            <wp:extent cx="554863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ind w:left="160" w:right="159" w:firstLine="648"/>
        <w:spacing w:after="0" w:line="233" w:lineRule="auto"/>
        <w:rPr>
          <w:sz w:val="20"/>
          <w:szCs w:val="20"/>
          <w:color w:val="auto"/>
        </w:rPr>
      </w:pPr>
      <w:r>
        <w:rPr>
          <w:rFonts w:ascii="Arial" w:cs="Arial" w:eastAsia="Arial" w:hAnsi="Arial"/>
          <w:sz w:val="16"/>
          <w:szCs w:val="16"/>
          <w:color w:val="auto"/>
        </w:rPr>
        <w:t>Within 20 days after receiving notice from us that shares of our capital stock have been transferred to the trust, the Charter provides that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or stockholder whose ownership would result in the violation and to the charitable beneficiary as follows: the proposed transferee or such stockholder will receive the lesser of (i) the price paid by the proposed transferee or stockholder for the shares or, if the proposed transferee did not give value for the shares in connection with the event causing the shares to be held in the trust (e.g., a gift, devise or other similar transaction or in the case of a non-transfer event), the Market Price (as defined in the Charter) of the shares on the day of the event causing the shares to be held in the trust and (ii)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or stockholder whose ownership would result in the violation, then (i) the shares shall be deemed to have been sold on behalf of the trust and (ii) to the extent that the proposed transferee received an amount for the shares that exceeds the amount the proposed transferee was entitled to receive, the excess shall be paid to the trustee upon demand.</w:t>
      </w:r>
    </w:p>
    <w:p>
      <w:pPr>
        <w:spacing w:after="0" w:line="116" w:lineRule="exact"/>
        <w:rPr>
          <w:sz w:val="20"/>
          <w:szCs w:val="20"/>
          <w:color w:val="auto"/>
        </w:rPr>
      </w:pPr>
    </w:p>
    <w:p>
      <w:pPr>
        <w:ind w:left="160" w:right="159" w:firstLine="648"/>
        <w:spacing w:after="0" w:line="239" w:lineRule="auto"/>
        <w:rPr>
          <w:sz w:val="20"/>
          <w:szCs w:val="20"/>
          <w:color w:val="auto"/>
        </w:rPr>
      </w:pPr>
      <w:r>
        <w:rPr>
          <w:rFonts w:ascii="Arial" w:cs="Arial" w:eastAsia="Arial" w:hAnsi="Arial"/>
          <w:sz w:val="16"/>
          <w:szCs w:val="16"/>
          <w:color w:val="auto"/>
        </w:rPr>
        <w:t>In addition, the Charter provides that shares of capital stock held in the trust will be deemed to have been offered for sale to us or our designee at a price per share equal to the lesser of the price per share in the transaction that resulted in the transfer to the trust (or, in the case of a devise or gift or non-transfer event, the market price at the time of the devise or gift or non-transfer event) and the market price on the date that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 or stockholder whose ownership would have resulted in the violation.</w:t>
      </w:r>
    </w:p>
    <w:p>
      <w:pPr>
        <w:spacing w:after="0" w:line="109" w:lineRule="exact"/>
        <w:rPr>
          <w:sz w:val="20"/>
          <w:szCs w:val="20"/>
          <w:color w:val="auto"/>
        </w:rPr>
      </w:pPr>
    </w:p>
    <w:p>
      <w:pPr>
        <w:ind w:left="160" w:right="159" w:firstLine="648"/>
        <w:spacing w:after="0" w:line="236" w:lineRule="auto"/>
        <w:rPr>
          <w:sz w:val="20"/>
          <w:szCs w:val="20"/>
          <w:color w:val="auto"/>
        </w:rPr>
      </w:pPr>
      <w:r>
        <w:rPr>
          <w:rFonts w:ascii="Arial" w:cs="Arial" w:eastAsia="Arial" w:hAnsi="Arial"/>
          <w:sz w:val="16"/>
          <w:szCs w:val="16"/>
          <w:color w:val="auto"/>
        </w:rPr>
        <w:t>The Charter provides that every owner of more than 5% (or such lower percentage as required by the Code or the regulations promulgated thereunder) in number or in value of the outstanding shares of capital stock, within 30 days after the end of each taxable year, will be required to give written notice to us stating the name and address of such owner, the number of shares of our capital stock that the owner beneficially owns or constructively owns and a description of the manner in which the shares are held. Each owner must provide to us such additional information as we may request to determine the effect, if any, of the beneficial ownership or constructive ownership on our qualification as a REIT and to ensure compliance with the ownership limitations. In addition, the Charter provides that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the Charter.</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Effect of Certain Provisions of the Charter and Bylaws</w:t>
      </w:r>
    </w:p>
    <w:p>
      <w:pPr>
        <w:spacing w:after="0" w:line="135"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color w:val="auto"/>
        </w:rPr>
        <w:t>Certain provisions of the Charter and Bylaws, described below, as well as the ability of our board of directors to issue shares of preferred stock and to set voting rights, preferences and other terms of the preferred stock, could delay, defer or prevent a transaction or a change in control in us that might involve a premium for the holders of our common stock or might otherwise not be in their best interests.</w:t>
      </w:r>
    </w:p>
    <w:p>
      <w:pPr>
        <w:spacing w:after="0" w:line="109" w:lineRule="exact"/>
        <w:rPr>
          <w:sz w:val="20"/>
          <w:szCs w:val="20"/>
          <w:color w:val="auto"/>
        </w:rPr>
      </w:pPr>
    </w:p>
    <w:p>
      <w:pPr>
        <w:ind w:left="160" w:right="199" w:firstLine="648"/>
        <w:spacing w:after="0" w:line="241" w:lineRule="auto"/>
        <w:rPr>
          <w:sz w:val="20"/>
          <w:szCs w:val="20"/>
          <w:color w:val="auto"/>
        </w:rPr>
      </w:pPr>
      <w:r>
        <w:rPr>
          <w:rFonts w:ascii="Arial" w:cs="Arial" w:eastAsia="Arial" w:hAnsi="Arial"/>
          <w:sz w:val="16"/>
          <w:szCs w:val="16"/>
          <w:i w:val="1"/>
          <w:iCs w:val="1"/>
          <w:color w:val="auto"/>
        </w:rPr>
        <w:t xml:space="preserve">Size of the Board of Directors; Filling of Vacancies. </w:t>
      </w:r>
      <w:r>
        <w:rPr>
          <w:rFonts w:ascii="Arial" w:cs="Arial" w:eastAsia="Arial" w:hAnsi="Arial"/>
          <w:sz w:val="16"/>
          <w:szCs w:val="16"/>
          <w:color w:val="auto"/>
        </w:rPr>
        <w:t>The Charter provides that our board of directors shall</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not less than one and not more than 15 persons, with the exact number fixed from time to time by the majority voting of the entire board of directors. The Charter provides that any vacancy on the board of directors, including one created by an increase in the number of directors, may be filled only by a majority of the directors then in office (even if less than a quorum), or by a sole remaining director. The combined result of these provisions is that our stockholders cannot increase the size of the board and fill newly created directorships without amending the Charter.</w:t>
      </w:r>
    </w:p>
    <w:p>
      <w:pPr>
        <w:spacing w:after="0" w:line="107" w:lineRule="exact"/>
        <w:rPr>
          <w:sz w:val="20"/>
          <w:szCs w:val="20"/>
          <w:color w:val="auto"/>
        </w:rPr>
      </w:pPr>
    </w:p>
    <w:p>
      <w:pPr>
        <w:ind w:left="160" w:right="259" w:firstLine="648"/>
        <w:spacing w:after="0" w:line="216" w:lineRule="auto"/>
        <w:rPr>
          <w:sz w:val="20"/>
          <w:szCs w:val="20"/>
          <w:color w:val="auto"/>
        </w:rPr>
      </w:pPr>
      <w:r>
        <w:rPr>
          <w:rFonts w:ascii="Arial" w:cs="Arial" w:eastAsia="Arial" w:hAnsi="Arial"/>
          <w:sz w:val="18"/>
          <w:szCs w:val="18"/>
          <w:i w:val="1"/>
          <w:iCs w:val="1"/>
          <w:color w:val="auto"/>
        </w:rPr>
        <w:t xml:space="preserve">Special Meeting of Stockholders; No Stockholder Action by Written Consent. </w:t>
      </w:r>
      <w:r>
        <w:rPr>
          <w:rFonts w:ascii="Arial" w:cs="Arial" w:eastAsia="Arial" w:hAnsi="Arial"/>
          <w:sz w:val="18"/>
          <w:szCs w:val="18"/>
          <w:color w:val="auto"/>
        </w:rPr>
        <w:t>The Charter provides that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stockholders may be called only by the chairman of the board of directors or a majority of the board of directors. The Charter also prohibits stockholders from taking any action by written consent. These provisions limit the ability of stockholders to take certain actions, except at an annual meeting of stockholders, which may hinder or delay the ability of others to acquire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326390</wp:posOffset>
            </wp:positionV>
            <wp:extent cx="554863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2" w:name="page133"/>
    <w:bookmarkEnd w:id="132"/>
    <w:p>
      <w:pPr>
        <w:ind w:left="160" w:right="419" w:firstLine="648"/>
        <w:spacing w:after="0" w:line="216" w:lineRule="auto"/>
        <w:rPr>
          <w:sz w:val="20"/>
          <w:szCs w:val="20"/>
          <w:color w:val="auto"/>
        </w:rPr>
      </w:pPr>
      <w:r>
        <w:rPr>
          <w:rFonts w:ascii="Arial" w:cs="Arial" w:eastAsia="Arial" w:hAnsi="Arial"/>
          <w:sz w:val="18"/>
          <w:szCs w:val="18"/>
          <w:i w:val="1"/>
          <w:iCs w:val="1"/>
          <w:color w:val="auto"/>
        </w:rPr>
        <w:t xml:space="preserve">Advance Notice of Director Nominations and Stockholder Proposals. </w:t>
      </w:r>
      <w:r>
        <w:rPr>
          <w:rFonts w:ascii="Arial" w:cs="Arial" w:eastAsia="Arial" w:hAnsi="Arial"/>
          <w:sz w:val="18"/>
          <w:szCs w:val="18"/>
          <w:color w:val="auto"/>
        </w:rPr>
        <w:t>The Bylaws include an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informational requirements and time limitations on any director nomination or stockholder proposal that a stockholder wishes to make at a meeting of stockholders. Failure to comply with these advance notice, timing and informational requirements can result in a stockholder’s director nomination or proposal not being considered at a meeting of stockholders.</w:t>
      </w:r>
    </w:p>
    <w:p>
      <w:pPr>
        <w:spacing w:after="0" w:line="109" w:lineRule="exact"/>
        <w:rPr>
          <w:sz w:val="20"/>
          <w:szCs w:val="20"/>
          <w:color w:val="auto"/>
        </w:rPr>
      </w:pPr>
    </w:p>
    <w:p>
      <w:pPr>
        <w:ind w:left="160" w:right="159" w:firstLine="648"/>
        <w:spacing w:after="0" w:line="223" w:lineRule="auto"/>
        <w:rPr>
          <w:sz w:val="20"/>
          <w:szCs w:val="20"/>
          <w:color w:val="auto"/>
        </w:rPr>
      </w:pPr>
      <w:r>
        <w:rPr>
          <w:rFonts w:ascii="Arial" w:cs="Arial" w:eastAsia="Arial" w:hAnsi="Arial"/>
          <w:sz w:val="17"/>
          <w:szCs w:val="17"/>
          <w:i w:val="1"/>
          <w:iCs w:val="1"/>
          <w:color w:val="auto"/>
        </w:rPr>
        <w:t xml:space="preserve">Supermajority Voting Requirements. </w:t>
      </w:r>
      <w:r>
        <w:rPr>
          <w:rFonts w:ascii="Arial" w:cs="Arial" w:eastAsia="Arial" w:hAnsi="Arial"/>
          <w:sz w:val="17"/>
          <w:szCs w:val="17"/>
          <w:color w:val="auto"/>
        </w:rPr>
        <w:t>As required by Delaware law, any amendment to the Charter must first be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by our board of directors and, if required by law, thereafter approved by a majority of the outstanding shares entitled to vote with respect to the amendment. In addition, under the Charter, the amendment, repeal, or adoption of any provision inconsistent with certain sections of the Charter requires the affirmative vote of the holders of at least 66 2/3% of the issued and outstanding stock entitled to vote thereon, voting together as a single class. The Charter and the Bylaws also provide that the Bylaws may be amended by the affirmative vote of at least 66 2/3% of the issued and outstanding stock entitled to vote thereon, voting together as a single class. These supermajority voting provisions could delay, deter or prevent a change in control of us or our management.</w:t>
      </w:r>
    </w:p>
    <w:p>
      <w:pPr>
        <w:spacing w:after="0" w:line="114" w:lineRule="exact"/>
        <w:rPr>
          <w:sz w:val="20"/>
          <w:szCs w:val="20"/>
          <w:color w:val="auto"/>
        </w:rPr>
      </w:pPr>
    </w:p>
    <w:p>
      <w:pPr>
        <w:ind w:left="160" w:right="239" w:firstLine="648"/>
        <w:spacing w:after="0" w:line="244" w:lineRule="auto"/>
        <w:rPr>
          <w:sz w:val="20"/>
          <w:szCs w:val="20"/>
          <w:color w:val="auto"/>
        </w:rPr>
      </w:pPr>
      <w:r>
        <w:rPr>
          <w:rFonts w:ascii="Arial" w:cs="Arial" w:eastAsia="Arial" w:hAnsi="Arial"/>
          <w:sz w:val="16"/>
          <w:szCs w:val="16"/>
          <w:i w:val="1"/>
          <w:iCs w:val="1"/>
          <w:color w:val="auto"/>
        </w:rPr>
        <w:t xml:space="preserve">Ownership Limitations. </w:t>
      </w:r>
      <w:r>
        <w:rPr>
          <w:rFonts w:ascii="Arial" w:cs="Arial" w:eastAsia="Arial" w:hAnsi="Arial"/>
          <w:sz w:val="16"/>
          <w:szCs w:val="16"/>
          <w:color w:val="auto"/>
        </w:rPr>
        <w:t>Primarily to protect us against the risk of losing our status as a REIT, the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provisions that limit the ownership by any person of shares of any class or series of our capital stock. Additionally, because we are subject to the regulations of the Federal Communications Commission, the Charter contains provisions limiting ownership of our capital stock if such ownership would violate or be inconsistent with U.S. federal communications laws. These provisions may have the effect of inhibiting or impeding a change in control.</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Effect of Delaware Law</w:t>
      </w:r>
    </w:p>
    <w:p>
      <w:pPr>
        <w:spacing w:after="0" w:line="135"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color w:val="auto"/>
        </w:rPr>
        <w:t>We are subject to Section 203 of the Delaware General Corporation Law, which regulates corporate acquisitions. In general, Section 203 prohibits a publicly held Delaware corporation from engaging in a business combination with an interested stockholder for a period of three years following the date the person became an interested stockholder, unless:</w:t>
      </w:r>
    </w:p>
    <w:p>
      <w:pPr>
        <w:spacing w:after="0" w:line="163" w:lineRule="exact"/>
        <w:rPr>
          <w:sz w:val="20"/>
          <w:szCs w:val="20"/>
          <w:color w:val="auto"/>
        </w:rPr>
      </w:pPr>
    </w:p>
    <w:p>
      <w:pPr>
        <w:ind w:left="1120" w:right="279" w:hanging="321"/>
        <w:spacing w:after="0" w:line="235"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approved the transaction in which the stockholder became an interested stockholder prior to the date the interested stockholder attained such status;</w:t>
      </w:r>
    </w:p>
    <w:p>
      <w:pPr>
        <w:spacing w:after="0" w:line="161" w:lineRule="exact"/>
        <w:rPr>
          <w:rFonts w:ascii="Arial" w:cs="Arial" w:eastAsia="Arial" w:hAnsi="Arial"/>
          <w:sz w:val="18"/>
          <w:szCs w:val="18"/>
          <w:color w:val="auto"/>
        </w:rPr>
      </w:pPr>
    </w:p>
    <w:p>
      <w:pPr>
        <w:jc w:val="both"/>
        <w:ind w:left="1120" w:right="179" w:hanging="321"/>
        <w:spacing w:after="0" w:line="244" w:lineRule="auto"/>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120" w:right="219" w:hanging="321"/>
        <w:spacing w:after="0" w:line="289" w:lineRule="auto"/>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combination is approved by a majority of the board of directors and by the affirmative vote of at least two-thirds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525145</wp:posOffset>
            </wp:positionV>
            <wp:extent cx="554863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3" w:name="page134"/>
    <w:bookmarkEnd w:id="133"/>
    <w:p>
      <w:pPr>
        <w:jc w:val="right"/>
        <w:ind w:right="139"/>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Ryman Hospitality Properties, Inc. (the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252" w:lineRule="exact"/>
        <w:rPr>
          <w:sz w:val="20"/>
          <w:szCs w:val="20"/>
          <w:color w:val="auto"/>
        </w:rPr>
      </w:pPr>
    </w:p>
    <w:p>
      <w:pPr>
        <w:jc w:val="both"/>
        <w:ind w:left="580" w:right="299" w:hanging="429"/>
        <w:spacing w:after="0" w:line="26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serving as directors of the Company. The following table sets forth current rates of cash compensation for the Company’s non-employee directors.</w:t>
      </w:r>
    </w:p>
    <w:p>
      <w:pPr>
        <w:spacing w:after="0" w:line="200" w:lineRule="exact"/>
        <w:rPr>
          <w:sz w:val="20"/>
          <w:szCs w:val="20"/>
          <w:color w:val="auto"/>
        </w:rPr>
      </w:pP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254"/>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Retainer</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r>
      <w:tr>
        <w:trPr>
          <w:trHeight w:val="203"/>
        </w:trPr>
        <w:tc>
          <w:tcPr>
            <w:tcW w:w="6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Board retainer</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3"/>
              </w:rPr>
              <w:t>65,000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Lead Non-Management Director retainer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30,000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Audit chair retainer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25,000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Human Resources chair retainer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 retainer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15,000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Audit member retainer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Human Resources member retainer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10,000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Nominating member retainer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100"/>
              <w:spacing w:after="0"/>
              <w:rPr>
                <w:sz w:val="20"/>
                <w:szCs w:val="20"/>
                <w:color w:val="auto"/>
              </w:rPr>
            </w:pPr>
            <w:r>
              <w:rPr>
                <w:rFonts w:ascii="Arial" w:cs="Arial" w:eastAsia="Arial" w:hAnsi="Arial"/>
                <w:sz w:val="18"/>
                <w:szCs w:val="18"/>
                <w:color w:val="auto"/>
                <w:w w:val="84"/>
              </w:rPr>
              <w:t>7,500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40" w:right="359"/>
        <w:spacing w:after="0" w:line="276" w:lineRule="auto"/>
        <w:rPr>
          <w:sz w:val="20"/>
          <w:szCs w:val="20"/>
          <w:color w:val="auto"/>
        </w:rPr>
      </w:pPr>
      <w:r>
        <w:rPr>
          <w:rFonts w:ascii="Arial" w:cs="Arial" w:eastAsia="Arial" w:hAnsi="Arial"/>
          <w:sz w:val="17"/>
          <w:szCs w:val="17"/>
          <w:color w:val="auto"/>
        </w:rPr>
        <w:t>Non-employee directors may elect payment in cash or may defer this portion of their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173" w:lineRule="exact"/>
        <w:rPr>
          <w:sz w:val="20"/>
          <w:szCs w:val="20"/>
          <w:color w:val="auto"/>
        </w:rPr>
      </w:pPr>
    </w:p>
    <w:p>
      <w:pPr>
        <w:ind w:left="640" w:right="179"/>
        <w:spacing w:after="0" w:line="255" w:lineRule="auto"/>
        <w:rPr>
          <w:sz w:val="20"/>
          <w:szCs w:val="20"/>
          <w:color w:val="auto"/>
        </w:rPr>
      </w:pPr>
      <w:r>
        <w:rPr>
          <w:rFonts w:ascii="Arial" w:cs="Arial" w:eastAsia="Arial" w:hAnsi="Arial"/>
          <w:sz w:val="18"/>
          <w:szCs w:val="18"/>
          <w:color w:val="auto"/>
        </w:rPr>
        <w:t>In addition, as of the date of our board meeting following our annual meeting of stockholders, each non-employee director will receive an annual grant of restricted stock units having a dollar value of $95,000, based on the fair market value of the Company’s common stock on the date of grant. The restricted stock units vest fully on the first anniversary of the date of grant, pursuant to the Company’s 2016 Omnibus Incentive Plan, unless deferred by the director until either a specified date or the end of the director’s service on the Board of Directors. Directors will not receive fees for attending meetings.</w:t>
      </w:r>
    </w:p>
    <w:p>
      <w:pPr>
        <w:spacing w:after="0" w:line="112" w:lineRule="exact"/>
        <w:rPr>
          <w:sz w:val="20"/>
          <w:szCs w:val="20"/>
          <w:color w:val="auto"/>
        </w:rPr>
      </w:pPr>
    </w:p>
    <w:p>
      <w:pPr>
        <w:ind w:left="640" w:right="159"/>
        <w:spacing w:after="0" w:line="279" w:lineRule="auto"/>
        <w:rPr>
          <w:sz w:val="20"/>
          <w:szCs w:val="20"/>
          <w:color w:val="auto"/>
        </w:rPr>
      </w:pPr>
      <w:r>
        <w:rPr>
          <w:rFonts w:ascii="Arial" w:cs="Arial" w:eastAsia="Arial" w:hAnsi="Arial"/>
          <w:sz w:val="17"/>
          <w:szCs w:val="17"/>
          <w:color w:val="auto"/>
        </w:rPr>
        <w:t>The following table sets forth the 2020 annual base salaries and the fiscal 2019 short-term cash incentive compensation provided to the Company’s Chief Executive Officer, the Company’s Chief Financial Officer and the three other most highly compensated executive officers to be named in the Company’s proxy statement to be filed in connection with the 2020 annual meeting of stockholders (the “Named Executive Officers”).</w:t>
      </w:r>
    </w:p>
    <w:p>
      <w:pPr>
        <w:spacing w:after="0" w:line="200" w:lineRule="exact"/>
        <w:rPr>
          <w:sz w:val="20"/>
          <w:szCs w:val="20"/>
          <w:color w:val="auto"/>
        </w:rPr>
      </w:pPr>
    </w:p>
    <w:p>
      <w:pPr>
        <w:spacing w:after="0" w:line="24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2020 Salary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Bonus Amount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Reed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Mark Fioravanti</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Patrick Chaffin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475,000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199"/>
        <w:spacing w:after="0" w:line="312" w:lineRule="auto"/>
        <w:rPr>
          <w:sz w:val="20"/>
          <w:szCs w:val="20"/>
          <w:color w:val="auto"/>
        </w:rPr>
      </w:pPr>
      <w:r>
        <w:rPr>
          <w:rFonts w:ascii="Arial" w:cs="Arial" w:eastAsia="Arial" w:hAnsi="Arial"/>
          <w:sz w:val="16"/>
          <w:szCs w:val="16"/>
          <w:color w:val="auto"/>
        </w:rPr>
        <w:t>Bonus Amounts were paid pursuant to the Company’s short-term cash incentive compensation program under the Company’s Amended and Restated 2006 Omnibus Incentive Plan. In addition, certain performance-based restricted stock unit awards under the Company’s Amended and Restated 2006 Omnibus Incentive Plan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307975</wp:posOffset>
            </wp:positionV>
            <wp:extent cx="554863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4" w:name="page135"/>
    <w:bookmarkEnd w:id="134"/>
    <w:p>
      <w:pPr>
        <w:ind w:left="640" w:right="519"/>
        <w:spacing w:after="0" w:line="277" w:lineRule="auto"/>
        <w:rPr>
          <w:sz w:val="20"/>
          <w:szCs w:val="20"/>
          <w:color w:val="auto"/>
        </w:rPr>
      </w:pPr>
      <w:r>
        <w:rPr>
          <w:rFonts w:ascii="Arial" w:cs="Arial" w:eastAsia="Arial" w:hAnsi="Arial"/>
          <w:sz w:val="18"/>
          <w:szCs w:val="18"/>
          <w:color w:val="auto"/>
        </w:rPr>
        <w:t>respect to performance periods ended December 31, 2019 will vest on March 15, 2020, as will be reflected in Form 4 filings to be made with the SEC.</w:t>
      </w:r>
    </w:p>
    <w:p>
      <w:pPr>
        <w:spacing w:after="0" w:line="170" w:lineRule="exact"/>
        <w:rPr>
          <w:sz w:val="20"/>
          <w:szCs w:val="20"/>
          <w:color w:val="auto"/>
        </w:rPr>
      </w:pPr>
    </w:p>
    <w:p>
      <w:pPr>
        <w:ind w:left="560" w:right="319"/>
        <w:spacing w:after="0" w:line="277" w:lineRule="auto"/>
        <w:rPr>
          <w:sz w:val="20"/>
          <w:szCs w:val="20"/>
          <w:color w:val="auto"/>
        </w:rPr>
      </w:pPr>
      <w:r>
        <w:rPr>
          <w:rFonts w:ascii="Arial" w:cs="Arial" w:eastAsia="Arial" w:hAnsi="Arial"/>
          <w:sz w:val="18"/>
          <w:szCs w:val="18"/>
          <w:color w:val="auto"/>
        </w:rPr>
        <w:t>The following table sets forth the fiscal 2020 bonus targets as a percentage of 2020 base salary set for the Named Executive Officers:</w:t>
      </w:r>
    </w:p>
    <w:p>
      <w:pPr>
        <w:spacing w:after="0" w:line="200" w:lineRule="exact"/>
        <w:rPr>
          <w:sz w:val="20"/>
          <w:szCs w:val="20"/>
          <w:color w:val="auto"/>
        </w:rPr>
      </w:pPr>
    </w:p>
    <w:p>
      <w:pPr>
        <w:spacing w:after="0" w:line="237"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30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Threshold</w:t>
            </w:r>
          </w:p>
        </w:tc>
        <w:tc>
          <w:tcPr>
            <w:tcW w:w="6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Target</w:t>
            </w:r>
          </w:p>
        </w:tc>
        <w:tc>
          <w:tcPr>
            <w:tcW w:w="6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Maximum</w:t>
            </w:r>
          </w:p>
        </w:tc>
        <w:tc>
          <w:tcPr>
            <w:tcW w:w="240" w:type="dxa"/>
            <w:vAlign w:val="bottom"/>
            <w:tcBorders>
              <w:bottom w:val="single" w:sz="8" w:color="CCEEFF"/>
            </w:tcBorders>
          </w:tcPr>
          <w:p>
            <w:pPr>
              <w:spacing w:after="0"/>
              <w:rPr>
                <w:sz w:val="20"/>
                <w:szCs w:val="20"/>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Colin V. Reed</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Mark Fioravanti</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62.5%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Patrick Chaffin</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ind w:left="560" w:right="839"/>
        <w:spacing w:after="0" w:line="264" w:lineRule="auto"/>
        <w:rPr>
          <w:sz w:val="20"/>
          <w:szCs w:val="20"/>
          <w:color w:val="auto"/>
        </w:rPr>
      </w:pPr>
      <w:r>
        <w:rPr>
          <w:rFonts w:ascii="Arial" w:cs="Arial" w:eastAsia="Arial" w:hAnsi="Arial"/>
          <w:sz w:val="18"/>
          <w:szCs w:val="18"/>
          <w:color w:val="auto"/>
        </w:rPr>
        <w:t>The fiscal 2020 bonuses will be determined based upon the achievement of certain goals and Company performance criteria, and if earned, will be paid pursuant to the Company’s cash bonus program under the Company’s 2016 Omnibus Incentive Plan.</w:t>
      </w:r>
    </w:p>
    <w:p>
      <w:pPr>
        <w:spacing w:after="0" w:line="181" w:lineRule="exact"/>
        <w:rPr>
          <w:sz w:val="20"/>
          <w:szCs w:val="20"/>
          <w:color w:val="auto"/>
        </w:rPr>
      </w:pPr>
    </w:p>
    <w:p>
      <w:pPr>
        <w:ind w:left="560" w:right="699"/>
        <w:spacing w:after="0" w:line="277" w:lineRule="auto"/>
        <w:rPr>
          <w:sz w:val="20"/>
          <w:szCs w:val="20"/>
          <w:color w:val="auto"/>
        </w:rPr>
      </w:pPr>
      <w:r>
        <w:rPr>
          <w:rFonts w:ascii="Arial" w:cs="Arial" w:eastAsia="Arial" w:hAnsi="Arial"/>
          <w:sz w:val="18"/>
          <w:szCs w:val="18"/>
          <w:color w:val="auto"/>
        </w:rPr>
        <w:t>The Named Executive Officers also receive long-term incentive awards, as discussed below, pursuant to the Company’s stockholder-approved equity incentive plans.</w:t>
      </w:r>
    </w:p>
    <w:p>
      <w:pPr>
        <w:spacing w:after="0" w:line="170" w:lineRule="exact"/>
        <w:rPr>
          <w:sz w:val="20"/>
          <w:szCs w:val="20"/>
          <w:color w:val="auto"/>
        </w:rPr>
      </w:pPr>
    </w:p>
    <w:p>
      <w:pPr>
        <w:ind w:left="560" w:right="359"/>
        <w:spacing w:after="0" w:line="257" w:lineRule="auto"/>
        <w:rPr>
          <w:sz w:val="20"/>
          <w:szCs w:val="20"/>
          <w:color w:val="auto"/>
        </w:rPr>
      </w:pPr>
      <w:r>
        <w:rPr>
          <w:rFonts w:ascii="Arial" w:cs="Arial" w:eastAsia="Arial" w:hAnsi="Arial"/>
          <w:sz w:val="18"/>
          <w:szCs w:val="18"/>
          <w:color w:val="auto"/>
        </w:rPr>
        <w:t>On February 20, 2020, the Named Executive Officers were granted the following awards of time-based vesting restricted stock units (vesting ratably over four years beginning on March 15, 2021) and the following awards of performance-vesting restricted stock units for the 2020-2022 performance period (of which up to 150% will vest on March 15, 2023 based on the achievement of designated financial goals), pursuant to the Company’s 2016 Omnibus Incentive Plan.</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Time-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Performance-</w:t>
            </w:r>
          </w:p>
        </w:tc>
      </w:tr>
      <w:tr>
        <w:trPr>
          <w:trHeight w:val="216"/>
        </w:trPr>
        <w:tc>
          <w:tcPr>
            <w:tcW w:w="4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Based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Based</w:t>
            </w:r>
          </w:p>
        </w:tc>
      </w:tr>
      <w:tr>
        <w:trPr>
          <w:trHeight w:val="234"/>
        </w:trPr>
        <w:tc>
          <w:tcPr>
            <w:tcW w:w="4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RSUs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RSUs</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18,571</w:t>
            </w:r>
          </w:p>
        </w:tc>
        <w:tc>
          <w:tcPr>
            <w:tcW w:w="8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Mark Fioravanti</w:t>
            </w:r>
          </w:p>
        </w:tc>
        <w:tc>
          <w:tcPr>
            <w:tcW w:w="560" w:type="dxa"/>
            <w:vAlign w:val="bottom"/>
          </w:tcPr>
          <w:p>
            <w:pPr>
              <w:jc w:val="right"/>
              <w:spacing w:after="0"/>
              <w:rPr>
                <w:sz w:val="20"/>
                <w:szCs w:val="20"/>
                <w:color w:val="auto"/>
              </w:rPr>
            </w:pPr>
            <w:r>
              <w:rPr>
                <w:rFonts w:ascii="Arial" w:cs="Arial" w:eastAsia="Arial" w:hAnsi="Arial"/>
                <w:sz w:val="18"/>
                <w:szCs w:val="18"/>
                <w:color w:val="auto"/>
              </w:rPr>
              <w:t>8,000</w:t>
            </w:r>
          </w:p>
        </w:tc>
        <w:tc>
          <w:tcPr>
            <w:tcW w:w="8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Bennett Westbrook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Patrick Chaffin</w:t>
            </w:r>
          </w:p>
        </w:tc>
        <w:tc>
          <w:tcPr>
            <w:tcW w:w="560" w:type="dxa"/>
            <w:vAlign w:val="bottom"/>
          </w:tcPr>
          <w:p>
            <w:pPr>
              <w:jc w:val="right"/>
              <w:spacing w:after="0"/>
              <w:rPr>
                <w:sz w:val="20"/>
                <w:szCs w:val="20"/>
                <w:color w:val="auto"/>
              </w:rPr>
            </w:pPr>
            <w:r>
              <w:rPr>
                <w:rFonts w:ascii="Arial" w:cs="Arial" w:eastAsia="Arial" w:hAnsi="Arial"/>
                <w:sz w:val="18"/>
                <w:szCs w:val="18"/>
                <w:color w:val="auto"/>
              </w:rPr>
              <w:t>3,500</w:t>
            </w:r>
          </w:p>
        </w:tc>
        <w:tc>
          <w:tcPr>
            <w:tcW w:w="8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Scott Lynn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8"/>
                <w:szCs w:val="18"/>
                <w:color w:val="auto"/>
              </w:rPr>
            </w:pPr>
          </w:p>
        </w:tc>
      </w:tr>
    </w:tbl>
    <w:p>
      <w:pPr>
        <w:spacing w:after="0" w:line="252" w:lineRule="exact"/>
        <w:rPr>
          <w:sz w:val="20"/>
          <w:szCs w:val="20"/>
          <w:color w:val="auto"/>
        </w:rPr>
      </w:pPr>
    </w:p>
    <w:p>
      <w:pPr>
        <w:jc w:val="both"/>
        <w:ind w:left="580" w:right="279" w:hanging="429"/>
        <w:spacing w:after="0" w:line="314"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Additional Information</w:t>
      </w:r>
      <w:r>
        <w:rPr>
          <w:rFonts w:ascii="Arial" w:cs="Arial" w:eastAsia="Arial" w:hAnsi="Arial"/>
          <w:sz w:val="16"/>
          <w:szCs w:val="16"/>
          <w:color w:val="auto"/>
        </w:rPr>
        <w:t>. The foregoing information is summary in nature. Additional information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directors and named executive officers may be provided in the Company’s filings with the SEC, including the proxy statement to be filed in connection with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453390</wp:posOffset>
            </wp:positionV>
            <wp:extent cx="554863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5" w:name="page136"/>
    <w:bookmarkEnd w:id="135"/>
    <w:p>
      <w:pPr>
        <w:ind w:left="8120"/>
        <w:spacing w:after="0"/>
        <w:rPr>
          <w:sz w:val="20"/>
          <w:szCs w:val="20"/>
          <w:color w:val="auto"/>
        </w:rPr>
      </w:pPr>
      <w:r>
        <w:rPr>
          <w:rFonts w:ascii="Arial" w:cs="Arial" w:eastAsia="Arial" w:hAnsi="Arial"/>
          <w:sz w:val="17"/>
          <w:szCs w:val="17"/>
          <w:color w:val="auto"/>
        </w:rPr>
        <w:t>Exhibit 21</w:t>
      </w:r>
    </w:p>
    <w:p>
      <w:pPr>
        <w:spacing w:after="0" w:line="200" w:lineRule="exact"/>
        <w:rPr>
          <w:sz w:val="20"/>
          <w:szCs w:val="20"/>
          <w:color w:val="auto"/>
        </w:rPr>
      </w:pPr>
    </w:p>
    <w:p>
      <w:pPr>
        <w:spacing w:after="0" w:line="298" w:lineRule="exact"/>
        <w:rPr>
          <w:sz w:val="20"/>
          <w:szCs w:val="20"/>
          <w:color w:val="auto"/>
        </w:rPr>
      </w:pPr>
    </w:p>
    <w:tbl>
      <w:tblPr>
        <w:tblLayout w:type="fixed"/>
        <w:tblInd w:w="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4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2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300 Broadway, LLC</w:t>
            </w:r>
          </w:p>
        </w:tc>
        <w:tc>
          <w:tcPr>
            <w:tcW w:w="180" w:type="dxa"/>
            <w:vAlign w:val="bottom"/>
          </w:tcPr>
          <w:p>
            <w:pPr>
              <w:spacing w:after="0"/>
              <w:rPr>
                <w:sz w:val="16"/>
                <w:szCs w:val="16"/>
                <w:color w:val="auto"/>
              </w:rPr>
            </w:pPr>
          </w:p>
        </w:tc>
        <w:tc>
          <w:tcPr>
            <w:tcW w:w="4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300 Broadway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300 Broadway MidCo,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300 Broadway Operations, Inc.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Attractions IP,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Country Music Television International,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GN Bond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GOO Broadway,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GOOSPK 1604 Broadway,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GPSI, Inc.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Grand Ole Opry,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Grand Ole Opry IP,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Corporate Properties,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Creative Group,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Finance Corporation</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Hotel Operations HoldCo,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Hotel Properties, LP</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Hotels,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and Attractions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DC,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GP,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GT,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Inn at Opryland,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NH,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Operations OH,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Partner,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Property DC,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Property GP, LP</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Florida</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Property GT, LP</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Property GT,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Property NH,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 Sub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RHPA Management,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RHPAHP,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RHPAHO,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Ole Red Gatlinburg,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Ole Red Holdings, Inc.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Ole Red Orlando,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OLH,GP</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OLH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Opry Attractions HoldCo,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Opry Entertainment Group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Opryland Attractions,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Opryland Hospitality,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Park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Springhouse Golf,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Wildhorse Saloon Entertainment Ventures,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NCV Holdings, LLC</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790"/>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40" w:right="120" w:hanging="317"/>
        <w:spacing w:after="0" w:line="277" w:lineRule="auto"/>
        <w:tabs>
          <w:tab w:leader="none" w:pos="6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S-3 No. 333-235419) pertaining to the Shelf Registration for common stock of Ryman Hospitality Properties, Inc.;</w:t>
      </w:r>
    </w:p>
    <w:p>
      <w:pPr>
        <w:spacing w:after="0" w:line="170" w:lineRule="exact"/>
        <w:rPr>
          <w:rFonts w:ascii="Arial" w:cs="Arial" w:eastAsia="Arial" w:hAnsi="Arial"/>
          <w:sz w:val="18"/>
          <w:szCs w:val="18"/>
          <w:color w:val="auto"/>
        </w:rPr>
      </w:pPr>
    </w:p>
    <w:p>
      <w:pPr>
        <w:ind w:left="640" w:right="80" w:hanging="317"/>
        <w:spacing w:after="0" w:line="223" w:lineRule="exact"/>
        <w:tabs>
          <w:tab w:leader="none" w:pos="6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211214) pertaining to the Ryman Hospitality Properties, Inc. 2016 Omnibus Incentive Plan;</w:t>
      </w:r>
    </w:p>
    <w:p>
      <w:pPr>
        <w:spacing w:after="0" w:line="203" w:lineRule="exact"/>
        <w:rPr>
          <w:rFonts w:ascii="Arial" w:cs="Arial" w:eastAsia="Arial" w:hAnsi="Arial"/>
          <w:sz w:val="18"/>
          <w:szCs w:val="18"/>
          <w:color w:val="auto"/>
        </w:rPr>
      </w:pPr>
    </w:p>
    <w:p>
      <w:pPr>
        <w:ind w:left="660" w:hanging="337"/>
        <w:spacing w:after="0" w:line="207" w:lineRule="exact"/>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3 No. 333</w:t>
      </w:r>
      <w:r>
        <w:rPr>
          <w:rFonts w:ascii="MS PGothic" w:cs="MS PGothic" w:eastAsia="MS PGothic" w:hAnsi="MS PGothic"/>
          <w:sz w:val="18"/>
          <w:szCs w:val="18"/>
          <w:color w:val="auto"/>
        </w:rPr>
        <w:t>‑</w:t>
      </w:r>
      <w:r>
        <w:rPr>
          <w:rFonts w:ascii="Arial" w:cs="Arial" w:eastAsia="Arial" w:hAnsi="Arial"/>
          <w:sz w:val="18"/>
          <w:szCs w:val="18"/>
          <w:color w:val="auto"/>
        </w:rPr>
        <w:t>183105) of Ryman Hospitality Properties, Inc.;</w:t>
      </w:r>
    </w:p>
    <w:p>
      <w:pPr>
        <w:spacing w:after="0" w:line="225" w:lineRule="exact"/>
        <w:rPr>
          <w:rFonts w:ascii="Arial" w:cs="Arial" w:eastAsia="Arial" w:hAnsi="Arial"/>
          <w:sz w:val="18"/>
          <w:szCs w:val="18"/>
          <w:color w:val="auto"/>
        </w:rPr>
      </w:pPr>
    </w:p>
    <w:p>
      <w:pPr>
        <w:ind w:left="640" w:right="180" w:hanging="317"/>
        <w:spacing w:after="0" w:line="223" w:lineRule="exact"/>
        <w:tabs>
          <w:tab w:leader="none" w:pos="6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136494) pertaining to the Gaylord Entertainment Company 2006 Omnibus Incentive Plan;</w:t>
      </w:r>
    </w:p>
    <w:p>
      <w:pPr>
        <w:spacing w:after="0" w:line="203" w:lineRule="exact"/>
        <w:rPr>
          <w:rFonts w:ascii="Arial" w:cs="Arial" w:eastAsia="Arial" w:hAnsi="Arial"/>
          <w:sz w:val="18"/>
          <w:szCs w:val="18"/>
          <w:color w:val="auto"/>
        </w:rPr>
      </w:pPr>
    </w:p>
    <w:p>
      <w:pPr>
        <w:ind w:left="640" w:right="280" w:hanging="317"/>
        <w:spacing w:after="0" w:line="223" w:lineRule="exact"/>
        <w:tabs>
          <w:tab w:leader="none" w:pos="6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174070) pertaining to the Gaylord Entertainment Company Amended and Restated 2006 Omnibus Incentive Plan;</w:t>
      </w:r>
    </w:p>
    <w:p>
      <w:pPr>
        <w:spacing w:after="0" w:line="203" w:lineRule="exact"/>
        <w:rPr>
          <w:rFonts w:ascii="Arial" w:cs="Arial" w:eastAsia="Arial" w:hAnsi="Arial"/>
          <w:sz w:val="18"/>
          <w:szCs w:val="18"/>
          <w:color w:val="auto"/>
        </w:rPr>
      </w:pPr>
    </w:p>
    <w:p>
      <w:pPr>
        <w:ind w:left="640" w:right="380" w:hanging="317"/>
        <w:spacing w:after="0" w:line="223" w:lineRule="exact"/>
        <w:tabs>
          <w:tab w:leader="none" w:pos="6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 (Form S</w:t>
      </w:r>
      <w:r>
        <w:rPr>
          <w:rFonts w:ascii="MS PGothic" w:cs="MS PGothic" w:eastAsia="MS PGothic" w:hAnsi="MS PGothic"/>
          <w:sz w:val="18"/>
          <w:szCs w:val="18"/>
          <w:color w:val="auto"/>
        </w:rPr>
        <w:t>‑</w:t>
      </w:r>
      <w:r>
        <w:rPr>
          <w:rFonts w:ascii="Arial" w:cs="Arial" w:eastAsia="Arial" w:hAnsi="Arial"/>
          <w:sz w:val="18"/>
          <w:szCs w:val="18"/>
          <w:color w:val="auto"/>
        </w:rPr>
        <w:t>8 No. 333</w:t>
      </w:r>
      <w:r>
        <w:rPr>
          <w:rFonts w:ascii="MS PGothic" w:cs="MS PGothic" w:eastAsia="MS PGothic" w:hAnsi="MS PGothic"/>
          <w:sz w:val="18"/>
          <w:szCs w:val="18"/>
          <w:color w:val="auto"/>
        </w:rPr>
        <w:t>‑</w:t>
      </w:r>
      <w:r>
        <w:rPr>
          <w:rFonts w:ascii="Arial" w:cs="Arial" w:eastAsia="Arial" w:hAnsi="Arial"/>
          <w:sz w:val="18"/>
          <w:szCs w:val="18"/>
          <w:color w:val="auto"/>
        </w:rPr>
        <w:t>37051) pertaining to the Amended and Restated Gaylord Entertainment Company 401(K) Savings Plan;</w:t>
      </w:r>
    </w:p>
    <w:p>
      <w:pPr>
        <w:spacing w:after="0" w:line="203" w:lineRule="exact"/>
        <w:rPr>
          <w:sz w:val="20"/>
          <w:szCs w:val="20"/>
          <w:color w:val="auto"/>
        </w:rPr>
      </w:pPr>
    </w:p>
    <w:p>
      <w:pPr>
        <w:ind w:right="80"/>
        <w:spacing w:after="0" w:line="221" w:lineRule="exact"/>
        <w:rPr>
          <w:sz w:val="20"/>
          <w:szCs w:val="20"/>
          <w:color w:val="auto"/>
        </w:rPr>
      </w:pPr>
      <w:r>
        <w:rPr>
          <w:rFonts w:ascii="Arial" w:cs="Arial" w:eastAsia="Arial" w:hAnsi="Arial"/>
          <w:sz w:val="16"/>
          <w:szCs w:val="16"/>
          <w:color w:val="auto"/>
        </w:rPr>
        <w:t>of our reports dated February 25, 2020 with respect to the consolidated financial statements and schedule of Ryman Hospitality Properties, Inc. and subsidiaries and the effectiveness of internal control over financial reporting of Ryman Hospitality Properties, Inc. and subsidiaries, included in this Annual Report (Form 10</w:t>
      </w:r>
      <w:r>
        <w:rPr>
          <w:rFonts w:ascii="MS PGothic" w:cs="MS PGothic" w:eastAsia="MS PGothic" w:hAnsi="MS PGothic"/>
          <w:sz w:val="16"/>
          <w:szCs w:val="16"/>
          <w:color w:val="auto"/>
        </w:rPr>
        <w:t>‑</w:t>
      </w:r>
      <w:r>
        <w:rPr>
          <w:rFonts w:ascii="Arial" w:cs="Arial" w:eastAsia="Arial" w:hAnsi="Arial"/>
          <w:sz w:val="16"/>
          <w:szCs w:val="16"/>
          <w:color w:val="auto"/>
        </w:rPr>
        <w:t>K) of Ryman Hospitality Properties, Inc. for the year ended December 31, 2019.</w:t>
      </w:r>
    </w:p>
    <w:p>
      <w:pPr>
        <w:spacing w:after="0" w:line="2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11" w:lineRule="exact"/>
        <w:rPr>
          <w:sz w:val="20"/>
          <w:szCs w:val="20"/>
          <w:color w:val="auto"/>
        </w:rPr>
      </w:pPr>
    </w:p>
    <w:p>
      <w:pPr>
        <w:ind w:left="820" w:hanging="497"/>
        <w:spacing w:after="0" w:line="207" w:lineRule="exact"/>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Ryman Hospitality Properties, Inc.;</w:t>
      </w:r>
    </w:p>
    <w:p>
      <w:pPr>
        <w:spacing w:after="0" w:line="225" w:lineRule="exact"/>
        <w:rPr>
          <w:rFonts w:ascii="Arial" w:cs="Arial" w:eastAsia="Arial" w:hAnsi="Arial"/>
          <w:sz w:val="18"/>
          <w:szCs w:val="18"/>
          <w:color w:val="auto"/>
        </w:rPr>
      </w:pPr>
    </w:p>
    <w:p>
      <w:pPr>
        <w:ind w:left="820" w:right="180" w:hanging="497"/>
        <w:spacing w:after="0" w:line="264" w:lineRule="auto"/>
        <w:tabs>
          <w:tab w:leader="none" w:pos="8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260" w:hanging="497"/>
        <w:spacing w:after="0" w:line="264" w:lineRule="auto"/>
        <w:tabs>
          <w:tab w:leader="none" w:pos="8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820" w:right="20" w:hanging="497"/>
        <w:spacing w:after="0" w:line="221" w:lineRule="exact"/>
        <w:tabs>
          <w:tab w:leader="none" w:pos="8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1" w:lineRule="exact"/>
        <w:rPr>
          <w:rFonts w:ascii="Arial" w:cs="Arial" w:eastAsia="Arial" w:hAnsi="Arial"/>
          <w:sz w:val="18"/>
          <w:szCs w:val="18"/>
          <w:color w:val="auto"/>
        </w:rPr>
      </w:pPr>
    </w:p>
    <w:p>
      <w:pPr>
        <w:ind w:left="1440" w:right="180" w:hanging="365"/>
        <w:spacing w:after="0" w:line="259" w:lineRule="auto"/>
        <w:tabs>
          <w:tab w:leader="none" w:pos="14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100" w:hanging="365"/>
        <w:spacing w:after="0" w:line="312" w:lineRule="auto"/>
        <w:tabs>
          <w:tab w:leader="none" w:pos="14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1440" w:right="280" w:hanging="365"/>
        <w:spacing w:after="0" w:line="264" w:lineRule="auto"/>
        <w:tabs>
          <w:tab w:leader="none" w:pos="14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40" w:right="80" w:hanging="365"/>
        <w:spacing w:after="0" w:line="259" w:lineRule="auto"/>
        <w:tabs>
          <w:tab w:leader="none" w:pos="14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340" w:hanging="497"/>
        <w:spacing w:after="0" w:line="264" w:lineRule="auto"/>
        <w:tabs>
          <w:tab w:leader="none" w:pos="8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40" w:right="440" w:hanging="365"/>
        <w:spacing w:after="0" w:line="264" w:lineRule="auto"/>
        <w:tabs>
          <w:tab w:leader="none" w:pos="143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40" w:right="300" w:hanging="365"/>
        <w:spacing w:after="0" w:line="277" w:lineRule="auto"/>
        <w:tabs>
          <w:tab w:leader="none" w:pos="139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February 25, 2020</w:t>
            </w:r>
          </w:p>
        </w:tc>
        <w:tc>
          <w:tcPr>
            <w:tcW w:w="6660" w:type="dxa"/>
            <w:vAlign w:val="bottom"/>
            <w:gridSpan w:val="2"/>
          </w:tcPr>
          <w:p>
            <w:pPr>
              <w:ind w:left="1640"/>
              <w:spacing w:after="0"/>
              <w:rPr>
                <w:sz w:val="20"/>
                <w:szCs w:val="20"/>
                <w:color w:val="auto"/>
              </w:rPr>
            </w:pPr>
            <w:r>
              <w:rPr>
                <w:rFonts w:ascii="Arial" w:cs="Arial" w:eastAsia="Arial" w:hAnsi="Arial"/>
                <w:sz w:val="18"/>
                <w:szCs w:val="18"/>
                <w:color w:val="auto"/>
              </w:rPr>
              <w:t>By: /s/ Colin V. Reed</w:t>
            </w:r>
          </w:p>
        </w:tc>
      </w:tr>
      <w:tr>
        <w:trPr>
          <w:trHeight w:val="195"/>
        </w:trPr>
        <w:tc>
          <w:tcPr>
            <w:tcW w:w="3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3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11" w:lineRule="exact"/>
        <w:rPr>
          <w:sz w:val="20"/>
          <w:szCs w:val="20"/>
          <w:color w:val="auto"/>
        </w:rPr>
      </w:pPr>
    </w:p>
    <w:p>
      <w:pPr>
        <w:ind w:left="820" w:hanging="497"/>
        <w:spacing w:after="0" w:line="207" w:lineRule="exact"/>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Ryman Hospitality Properties, Inc.;</w:t>
      </w:r>
    </w:p>
    <w:p>
      <w:pPr>
        <w:spacing w:after="0" w:line="225" w:lineRule="exact"/>
        <w:rPr>
          <w:rFonts w:ascii="Arial" w:cs="Arial" w:eastAsia="Arial" w:hAnsi="Arial"/>
          <w:sz w:val="18"/>
          <w:szCs w:val="18"/>
          <w:color w:val="auto"/>
        </w:rPr>
      </w:pPr>
    </w:p>
    <w:p>
      <w:pPr>
        <w:ind w:left="820" w:right="180" w:hanging="497"/>
        <w:spacing w:after="0" w:line="264" w:lineRule="auto"/>
        <w:tabs>
          <w:tab w:leader="none" w:pos="8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260" w:hanging="497"/>
        <w:spacing w:after="0" w:line="264" w:lineRule="auto"/>
        <w:tabs>
          <w:tab w:leader="none" w:pos="8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820" w:right="20" w:hanging="497"/>
        <w:spacing w:after="0" w:line="221" w:lineRule="exact"/>
        <w:tabs>
          <w:tab w:leader="none" w:pos="8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1" w:lineRule="exact"/>
        <w:rPr>
          <w:rFonts w:ascii="Arial" w:cs="Arial" w:eastAsia="Arial" w:hAnsi="Arial"/>
          <w:sz w:val="18"/>
          <w:szCs w:val="18"/>
          <w:color w:val="auto"/>
        </w:rPr>
      </w:pPr>
    </w:p>
    <w:p>
      <w:pPr>
        <w:ind w:left="1440" w:right="180" w:hanging="365"/>
        <w:spacing w:after="0" w:line="259" w:lineRule="auto"/>
        <w:tabs>
          <w:tab w:leader="none" w:pos="144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100" w:hanging="365"/>
        <w:spacing w:after="0" w:line="312" w:lineRule="auto"/>
        <w:tabs>
          <w:tab w:leader="none" w:pos="14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ind w:left="1440" w:right="280" w:hanging="365"/>
        <w:spacing w:after="0" w:line="264" w:lineRule="auto"/>
        <w:tabs>
          <w:tab w:leader="none" w:pos="144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40" w:right="80" w:hanging="365"/>
        <w:spacing w:after="0" w:line="259" w:lineRule="auto"/>
        <w:tabs>
          <w:tab w:leader="none" w:pos="14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340" w:hanging="497"/>
        <w:spacing w:after="0" w:line="264" w:lineRule="auto"/>
        <w:tabs>
          <w:tab w:leader="none" w:pos="8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40" w:right="440" w:hanging="365"/>
        <w:spacing w:after="0" w:line="264" w:lineRule="auto"/>
        <w:tabs>
          <w:tab w:leader="none" w:pos="14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40" w:right="300" w:hanging="365"/>
        <w:spacing w:after="0" w:line="277" w:lineRule="auto"/>
        <w:tabs>
          <w:tab w:leader="none" w:pos="139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February 25, 2020</w:t>
            </w:r>
          </w:p>
        </w:tc>
        <w:tc>
          <w:tcPr>
            <w:tcW w:w="6660" w:type="dxa"/>
            <w:vAlign w:val="bottom"/>
            <w:gridSpan w:val="2"/>
          </w:tcPr>
          <w:p>
            <w:pPr>
              <w:ind w:left="1640"/>
              <w:spacing w:after="0"/>
              <w:rPr>
                <w:sz w:val="20"/>
                <w:szCs w:val="20"/>
                <w:color w:val="auto"/>
              </w:rPr>
            </w:pPr>
            <w:r>
              <w:rPr>
                <w:rFonts w:ascii="Arial" w:cs="Arial" w:eastAsia="Arial" w:hAnsi="Arial"/>
                <w:sz w:val="18"/>
                <w:szCs w:val="18"/>
                <w:color w:val="auto"/>
              </w:rPr>
              <w:t>By: /s/ Mark Fioravanti</w:t>
            </w:r>
          </w:p>
        </w:tc>
      </w:tr>
      <w:tr>
        <w:trPr>
          <w:trHeight w:val="195"/>
        </w:trPr>
        <w:tc>
          <w:tcPr>
            <w:tcW w:w="3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777"/>
        </w:trPr>
        <w:tc>
          <w:tcPr>
            <w:tcW w:w="3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In connection with the Annual Report of Ryman Hospitality Properties,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2019, as filed with the Securities and Exchange Commission on the date hereof (the "Report"), I, Colin V. Reed, Chairman of the Board of Directors and Chief Executive Officer of the Company, certify, pursuant to 18 U.S.C. Section 1350, as adopted pursuant to Section 906 of the Sarbanes-Oxley Act of 2002, to the best of my knowledge, that:</w:t>
      </w:r>
    </w:p>
    <w:p>
      <w:pPr>
        <w:spacing w:after="0" w:line="204" w:lineRule="exact"/>
        <w:rPr>
          <w:sz w:val="20"/>
          <w:szCs w:val="20"/>
          <w:color w:val="auto"/>
        </w:rPr>
      </w:pPr>
    </w:p>
    <w:p>
      <w:pPr>
        <w:ind w:left="840" w:hanging="517"/>
        <w:spacing w:after="0"/>
        <w:tabs>
          <w:tab w:leader="none" w:pos="8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60" w:hanging="537"/>
        <w:spacing w:after="0" w:line="277" w:lineRule="auto"/>
        <w:tabs>
          <w:tab w:leader="none" w:pos="8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Colin V.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In connection with the Annual Report of Ryman Hospitality Properties,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2019, as filed with the Securities and Exchange Commission on the date hereof (the "Report"), I, Mark Fioravanti, Executive Vice President and Chief Financial Officer of the Company, certify, pursuant to 18 U.S.C. Section 1350, as adopted pursuant to Section 906 of the Sarbanes-Oxley Act of 2002, to the best of my knowledge, that:</w:t>
      </w:r>
    </w:p>
    <w:p>
      <w:pPr>
        <w:spacing w:after="0" w:line="204" w:lineRule="exact"/>
        <w:rPr>
          <w:sz w:val="20"/>
          <w:szCs w:val="20"/>
          <w:color w:val="auto"/>
        </w:rPr>
      </w:pPr>
    </w:p>
    <w:p>
      <w:pPr>
        <w:ind w:left="840" w:hanging="517"/>
        <w:spacing w:after="0"/>
        <w:tabs>
          <w:tab w:leader="none" w:pos="8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60" w:hanging="537"/>
        <w:spacing w:after="0" w:line="277" w:lineRule="auto"/>
        <w:tabs>
          <w:tab w:leader="none" w:pos="8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upperLetter"/>
      <w:start w:val="9"/>
    </w:lvl>
  </w:abstractNum>
  <w:abstractNum w:abstractNumId="51">
    <w:nsid w:val="4F4EF005"/>
    <w:multiLevelType w:val="hybridMultilevel"/>
    <w:lvl w:ilvl="0">
      <w:lvlJc w:val="left"/>
      <w:lvlText w:val="%1."/>
      <w:numFmt w:val="upperLetter"/>
      <w:start w:val="6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2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82" Type="http://schemas.openxmlformats.org/officeDocument/2006/relationships/hyperlink" Target="http://www.sec.gov/Archives/edgar/data/1040829/000119312518273605/d625000dex21.htm" TargetMode="External"/><Relationship Id="rId83" Type="http://schemas.openxmlformats.org/officeDocument/2006/relationships/hyperlink" Target="http://www.sec.gov/Archives/edgar/data/1040829/000119312519003774/d682468dex21.htm" TargetMode="External"/><Relationship Id="rId84" Type="http://schemas.openxmlformats.org/officeDocument/2006/relationships/hyperlink" Target="http://www.sec.gov/Archives/edgar/data/1040829/000119312512410191/d419132dex31.htm" TargetMode="External"/><Relationship Id="rId85" Type="http://schemas.openxmlformats.org/officeDocument/2006/relationships/hyperlink" Target="http://www.sec.gov/Archives/edgar/data/1040829/000119312512410191/d419132dex32.htm" TargetMode="External"/><Relationship Id="rId86" Type="http://schemas.openxmlformats.org/officeDocument/2006/relationships/hyperlink" Target="http://www.sec.gov/Archives/edgar/data/1040829/000119312512401709/d415216dex41.htm" TargetMode="External"/><Relationship Id="rId87" Type="http://schemas.openxmlformats.org/officeDocument/2006/relationships/hyperlink" Target="http://www.sec.gov/Archives/edgar/data/1040829/000119312515129495/d909526dex41.htm" TargetMode="External"/><Relationship Id="rId88" Type="http://schemas.openxmlformats.org/officeDocument/2006/relationships/hyperlink" Target="http://www.sec.gov/Archives/edgar/data/1040829/000141057819001323/tv529738_ex4-1.htm" TargetMode="External"/><Relationship Id="rId89" Type="http://schemas.openxmlformats.org/officeDocument/2006/relationships/hyperlink" Target="http://www.sec.gov/Archives/edgar/data/1040829/000141057819001323/tv529738_ex4-3.htm" TargetMode="External"/><Relationship Id="rId90" Type="http://schemas.openxmlformats.org/officeDocument/2006/relationships/hyperlink" Target="http://www.sec.gov/Archives/edgar/data/1040829/000141057819001570/tv530763_ex4-3.htm" TargetMode="External"/><Relationship Id="rId91" Type="http://schemas.openxmlformats.org/officeDocument/2006/relationships/hyperlink" Target="http://www.sec.gov/Archives/edgar/data/1040829/000141057819001570/tv530763_ex4-4.htm" TargetMode="External"/><Relationship Id="rId92" Type="http://schemas.openxmlformats.org/officeDocument/2006/relationships/hyperlink" Target="http://www.sec.gov/Archives/edgar/data/1040829/000110465919059038/tm1921656d1_ex10-1.htm" TargetMode="External"/><Relationship Id="rId93" Type="http://schemas.openxmlformats.org/officeDocument/2006/relationships/hyperlink" Target="http://www.sec.gov/Archives/edgar/data/1040829/0000950144-00-004089-index.html" TargetMode="External"/><Relationship Id="rId94" Type="http://schemas.openxmlformats.org/officeDocument/2006/relationships/hyperlink" Target="http://www.sec.gov/Archives/edgar/data/1040829/000095014403004173/g81512exv10w21.txt" TargetMode="External"/><Relationship Id="rId95" Type="http://schemas.openxmlformats.org/officeDocument/2006/relationships/hyperlink" Target="http://www.sec.gov/Archives/edgar/data/1040829/000095014403004173/g81512exv10w22.txt" TargetMode="External"/><Relationship Id="rId96" Type="http://schemas.openxmlformats.org/officeDocument/2006/relationships/hyperlink" Target="http://www.sec.gov/Archives/edgar/data/1040829/000119312519003774/d682468dex101.htm" TargetMode="External"/><Relationship Id="rId97" Type="http://schemas.openxmlformats.org/officeDocument/2006/relationships/hyperlink" Target="http://www.sec.gov/Archives/edgar/data/1040829/000119312519189493/d758656dex101.htm" TargetMode="External"/><Relationship Id="rId98" Type="http://schemas.openxmlformats.org/officeDocument/2006/relationships/hyperlink" Target="http://www.sec.gov/Archives/edgar/data/1040829/000095014401004631/g68099ex10-19.txt" TargetMode="External"/><Relationship Id="rId99" Type="http://schemas.openxmlformats.org/officeDocument/2006/relationships/hyperlink" Target="http://www.sec.gov/Archives/edgar/data/1040829/000095014408001431/g11970exv10w1.htm" TargetMode="External"/><Relationship Id="rId100" Type="http://schemas.openxmlformats.org/officeDocument/2006/relationships/hyperlink" Target="http://www.sec.gov/Archives/edgar/data/1040829/000095014408009526/g17124exv10w3.htm" TargetMode="External"/><Relationship Id="rId101" Type="http://schemas.openxmlformats.org/officeDocument/2006/relationships/hyperlink" Target="http://www.sec.gov/Archives/edgar/data/1040829/000095012310101559/g25095exv10w2.htm" TargetMode="External"/><Relationship Id="rId102" Type="http://schemas.openxmlformats.org/officeDocument/2006/relationships/hyperlink" Target="http://www.sec.gov/Archives/edgar/data/1040829/000119312512456947/d412761dex105.htm" TargetMode="External"/><Relationship Id="rId103" Type="http://schemas.openxmlformats.org/officeDocument/2006/relationships/hyperlink" Target="http://www.sec.gov/Archives/edgar/data/1040829/000095014402003186/g74977ex10-30.txt" TargetMode="External"/><Relationship Id="rId104" Type="http://schemas.openxmlformats.org/officeDocument/2006/relationships/hyperlink" Target="http://www.sec.gov/Archives/edgar/data/1040829/000095014408001431/g11970exv10w3.htm" TargetMode="External"/><Relationship Id="rId105" Type="http://schemas.openxmlformats.org/officeDocument/2006/relationships/hyperlink" Target="http://www.sec.gov/Archives/edgar/data/1040829/000095012310017849/g22218exv10w38.htm" TargetMode="External"/><Relationship Id="rId106" Type="http://schemas.openxmlformats.org/officeDocument/2006/relationships/hyperlink" Target="http://www.sec.gov/Archives/edgar/data/1040829/000095012310101559/g25095exv10w5.htm" TargetMode="External"/><Relationship Id="rId107" Type="http://schemas.openxmlformats.org/officeDocument/2006/relationships/hyperlink" Target="http://www.sec.gov/Archives/edgar/data/1040829/000119312512456947/d412761dex106.htm" TargetMode="External"/><Relationship Id="rId108" Type="http://schemas.openxmlformats.org/officeDocument/2006/relationships/hyperlink" Target="http://www.sec.gov/Archives/edgar/data/1040829/000119312513079938/d449941dex1045.htm" TargetMode="External"/><Relationship Id="rId109" Type="http://schemas.openxmlformats.org/officeDocument/2006/relationships/hyperlink" Target="http://www.sec.gov/Archives/edgar/data/1040829/000119312513079938/d449941dex1046.htm" TargetMode="External"/><Relationship Id="rId110" Type="http://schemas.openxmlformats.org/officeDocument/2006/relationships/hyperlink" Target="http://www.sec.gov/Archives/edgar/data/1040829/000119312513079938/d449941dex1047.htm" TargetMode="External"/><Relationship Id="rId111" Type="http://schemas.openxmlformats.org/officeDocument/2006/relationships/hyperlink" Target="http://www.sec.gov/Archives/edgar/data/1040829/000119312516758483/d249965dex101.htm" TargetMode="External"/><Relationship Id="rId112" Type="http://schemas.openxmlformats.org/officeDocument/2006/relationships/hyperlink" Target="http://www.sec.gov/Archives/edgar/data/1040829/000119312518060772/d503192dex1021.htm" TargetMode="External"/><Relationship Id="rId113" Type="http://schemas.openxmlformats.org/officeDocument/2006/relationships/hyperlink" Target="http://www.sec.gov/Archives/edgar/data/1040829/000119312518060772/d503192dex1022.htm" TargetMode="External"/><Relationship Id="rId114" Type="http://schemas.openxmlformats.org/officeDocument/2006/relationships/hyperlink" Target="http://www.sec.gov/Archives/edgar/data/1040829/000119312518060772/d503192dex1023.htm" TargetMode="External"/><Relationship Id="rId115" Type="http://schemas.openxmlformats.org/officeDocument/2006/relationships/hyperlink" Target="http://www.sec.gov/Archives/edgar/data/1040829/000095014403004173/g81512exv10w36.txt" TargetMode="External"/><Relationship Id="rId116" Type="http://schemas.openxmlformats.org/officeDocument/2006/relationships/hyperlink" Target="http://www.sec.gov/Archives/edgar/data/1040829/000095012311031897/g26600def14a.htm" TargetMode="External"/><Relationship Id="rId117" Type="http://schemas.openxmlformats.org/officeDocument/2006/relationships/hyperlink" Target="http://www.sec.gov/Archives/edgar/data/1040829/000119312517061161/d285683dex1030.htm" TargetMode="External"/><Relationship Id="rId118" Type="http://schemas.openxmlformats.org/officeDocument/2006/relationships/hyperlink" Target="http://www.sec.gov/Archives/edgar/data/1040829/000095014407001730/g05688exv10w40.htm" TargetMode="External"/><Relationship Id="rId119" Type="http://schemas.openxmlformats.org/officeDocument/2006/relationships/hyperlink" Target="http://www.sec.gov/Archives/edgar/data/1040829/000095014407001730/g05688exv10w41.htm" TargetMode="External"/><Relationship Id="rId120" Type="http://schemas.openxmlformats.org/officeDocument/2006/relationships/hyperlink" Target="http://www.sec.gov/Archives/edgar/data/1040829/000095014407001730/g05688exv10w42.htm" TargetMode="External"/><Relationship Id="rId121" Type="http://schemas.openxmlformats.org/officeDocument/2006/relationships/hyperlink" Target="http://www.sec.gov/Archives/edgar/data/1040829/000095014407001730/g05688exv10w43.htm" TargetMode="External"/><Relationship Id="rId122" Type="http://schemas.openxmlformats.org/officeDocument/2006/relationships/hyperlink" Target="http://www.sec.gov/Archives/edgar/data/1040829/000095014408001484/g11912exv10w35.htm" TargetMode="External"/><Relationship Id="rId123" Type="http://schemas.openxmlformats.org/officeDocument/2006/relationships/hyperlink" Target="http://www.sec.gov/Archives/edgar/data/1040829/000095012310017849/g22218exv10w52.htm" TargetMode="External"/><Relationship Id="rId125" Type="http://schemas.openxmlformats.org/officeDocument/2006/relationships/hyperlink" Target="http://www.sec.gov/Archives/edgar/data/1040829/000119312512220888/d315593dex102.htm" TargetMode="External"/><Relationship Id="rId126" Type="http://schemas.openxmlformats.org/officeDocument/2006/relationships/hyperlink" Target="http://www.sec.gov/Archives/edgar/data/1040829/000119312513079938/d449941dex1067.htm" TargetMode="External"/><Relationship Id="rId127" Type="http://schemas.openxmlformats.org/officeDocument/2006/relationships/hyperlink" Target="http://www.sec.gov/Archives/edgar/data/1040829/000119312513079938/d449941dex1068.htm" TargetMode="External"/><Relationship Id="rId128" Type="http://schemas.openxmlformats.org/officeDocument/2006/relationships/hyperlink" Target="http://www.sec.gov/Archives/edgar/data/1040829/000119312514075712/d648694dex1068.htm" TargetMode="External"/><Relationship Id="rId129" Type="http://schemas.openxmlformats.org/officeDocument/2006/relationships/hyperlink" Target="http://www.sec.gov/Archives/edgar/data/1040829/000119312514075712/d648694dex1069.htm" TargetMode="External"/><Relationship Id="rId130" Type="http://schemas.openxmlformats.org/officeDocument/2006/relationships/hyperlink" Target="http://www.sec.gov/Archives/edgar/data/1040829/000119312516582078/d92622dex101.htm" TargetMode="External"/><Relationship Id="rId131" Type="http://schemas.openxmlformats.org/officeDocument/2006/relationships/hyperlink" Target="http://www.sec.gov/Archives/edgar/data/1040829/000119312517061161/d285683dex1043.htm" TargetMode="External"/><Relationship Id="rId132" Type="http://schemas.openxmlformats.org/officeDocument/2006/relationships/hyperlink" Target="http://www.sec.gov/Archives/edgar/data/1040829/000119312516671549/d199388dex101.htm" TargetMode="External"/><Relationship Id="rId133" Type="http://schemas.openxmlformats.org/officeDocument/2006/relationships/hyperlink" Target="http://www.sec.gov/Archives/edgar/data/1040829/000119312516671549/d199388dex102.htm" TargetMode="External"/><Relationship Id="rId134" Type="http://schemas.openxmlformats.org/officeDocument/2006/relationships/hyperlink" Target="http://www.sec.gov/Archives/edgar/data/1040829/000119312516671549/d19938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2020-02-25T17:24:59Z</dcterms:created>
  <dcterms:modified xsi:type="dcterms:W3CDTF">2020-02-25T17:24:59Z</dcterms:modified>
</cp:coreProperties>
</file>