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66" w:lineRule="exact"/>
        <w:rPr>
          <w:sz w:val="24"/>
          <w:szCs w:val="24"/>
          <w:color w:val="auto"/>
        </w:rPr>
      </w:pPr>
    </w:p>
    <w:p>
      <w:pPr>
        <w:ind w:left="3120" w:right="980" w:hanging="3112"/>
        <w:spacing w:after="0" w:line="282" w:lineRule="auto"/>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2025</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85" w:lineRule="exact"/>
        <w:rPr>
          <w:sz w:val="24"/>
          <w:szCs w:val="24"/>
          <w:color w:val="auto"/>
        </w:rPr>
      </w:pPr>
    </w:p>
    <w:p>
      <w:pPr>
        <w:ind w:left="3740" w:right="960" w:hanging="3732"/>
        <w:spacing w:after="0" w:line="282" w:lineRule="auto"/>
        <w:tabs>
          <w:tab w:leader="none" w:pos="2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Commission file number 1-13079</w:t>
      </w:r>
    </w:p>
    <w:p>
      <w:pPr>
        <w:spacing w:after="0" w:line="11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u w:val="single" w:color="auto"/>
          <w:color w:val="auto"/>
        </w:rPr>
        <w:t>RYMAN HOSPITALITY PROPERTIES, INC.</w:t>
      </w:r>
    </w:p>
    <w:p>
      <w:pPr>
        <w:spacing w:after="0" w:line="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7"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520" w:type="dxa"/>
            <w:vAlign w:val="bottom"/>
            <w:gridSpan w:val="2"/>
          </w:tcPr>
          <w:p>
            <w:pPr>
              <w:jc w:val="center"/>
              <w:ind w:right="3750"/>
              <w:spacing w:after="0"/>
              <w:rPr>
                <w:sz w:val="20"/>
                <w:szCs w:val="20"/>
                <w:color w:val="auto"/>
              </w:rPr>
            </w:pPr>
            <w:r>
              <w:rPr>
                <w:rFonts w:ascii="Times New Roman" w:cs="Times New Roman" w:eastAsia="Times New Roman" w:hAnsi="Times New Roman"/>
                <w:sz w:val="18"/>
                <w:szCs w:val="18"/>
                <w:color w:val="auto"/>
                <w:w w:val="98"/>
              </w:rPr>
              <w:t>Delaware</w:t>
            </w:r>
          </w:p>
        </w:tc>
        <w:tc>
          <w:tcPr>
            <w:tcW w:w="15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73-0664379</w:t>
            </w:r>
          </w:p>
        </w:tc>
      </w:tr>
      <w:tr>
        <w:trPr>
          <w:trHeight w:val="20"/>
        </w:trPr>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528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5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28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6"/>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One Gaylord Drive</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Nashville, Tennessee 37214</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(Zip Code)</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(615) 316-6000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60"/>
        </w:trPr>
        <w:tc>
          <w:tcPr>
            <w:tcW w:w="7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w:t>
            </w:r>
          </w:p>
        </w:tc>
      </w:tr>
      <w:tr>
        <w:trPr>
          <w:trHeight w:val="234"/>
        </w:trPr>
        <w:tc>
          <w:tcPr>
            <w:tcW w:w="740" w:type="dxa"/>
            <w:vAlign w:val="bottom"/>
          </w:tcPr>
          <w:p>
            <w:pPr>
              <w:spacing w:after="0"/>
              <w:rPr>
                <w:sz w:val="20"/>
                <w:szCs w:val="20"/>
                <w:color w:val="auto"/>
              </w:rPr>
            </w:pPr>
          </w:p>
        </w:tc>
        <w:tc>
          <w:tcPr>
            <w:tcW w:w="3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Title of Each Class</w:t>
            </w: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r>
      <w:tr>
        <w:trPr>
          <w:trHeight w:val="228"/>
        </w:trPr>
        <w:tc>
          <w:tcPr>
            <w:tcW w:w="74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$.01</w:t>
            </w:r>
          </w:p>
        </w:tc>
        <w:tc>
          <w:tcPr>
            <w:tcW w:w="38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RHP</w:t>
            </w:r>
          </w:p>
        </w:tc>
        <w:tc>
          <w:tcPr>
            <w:tcW w:w="320" w:type="dxa"/>
            <w:vAlign w:val="bottom"/>
          </w:tcPr>
          <w:p>
            <w:pPr>
              <w:spacing w:after="0"/>
              <w:rPr>
                <w:sz w:val="19"/>
                <w:szCs w:val="19"/>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0" w:lineRule="exact"/>
        <w:rPr>
          <w:sz w:val="24"/>
          <w:szCs w:val="24"/>
          <w:color w:val="auto"/>
        </w:rPr>
      </w:pPr>
    </w:p>
    <w:p>
      <w:pPr>
        <w:jc w:val="both"/>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03"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68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3" w:lineRule="exact"/>
        <w:rPr>
          <w:sz w:val="24"/>
          <w:szCs w:val="24"/>
          <w:color w:val="auto"/>
        </w:rPr>
      </w:pPr>
    </w:p>
    <w:p>
      <w:pPr>
        <w:ind w:right="76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Indicate the number of shares outstanding of each of the issuer’s classes of common stock, as of the latest practicable date.</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as of October 31, 2025</w:t>
            </w:r>
          </w:p>
        </w:tc>
      </w:tr>
      <w:tr>
        <w:trPr>
          <w:trHeight w:val="228"/>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w:t>
            </w:r>
          </w:p>
        </w:tc>
        <w:tc>
          <w:tcPr>
            <w:tcW w:w="280" w:type="dxa"/>
            <w:vAlign w:val="bottom"/>
          </w:tcPr>
          <w:p>
            <w:pPr>
              <w:spacing w:after="0"/>
              <w:rPr>
                <w:sz w:val="19"/>
                <w:szCs w:val="19"/>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63,004,074 shares</w:t>
            </w:r>
          </w:p>
        </w:tc>
      </w:tr>
      <w:tr>
        <w:trPr>
          <w:trHeight w:val="319"/>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81"/>
        </w:trPr>
        <w:tc>
          <w:tcPr>
            <w:tcW w:w="4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r>
      <w:tr>
        <w:trPr>
          <w:trHeight w:val="682"/>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5"/>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RYMAN HOSPITALITY PROPERTIES, INC.</w:t>
            </w:r>
          </w:p>
        </w:tc>
        <w:tc>
          <w:tcPr>
            <w:tcW w:w="780" w:type="dxa"/>
            <w:vAlign w:val="bottom"/>
          </w:tcPr>
          <w:p>
            <w:pPr>
              <w:spacing w:after="0"/>
              <w:rPr>
                <w:sz w:val="20"/>
                <w:szCs w:val="20"/>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60" w:type="dxa"/>
            <w:vAlign w:val="bottom"/>
            <w:gridSpan w:val="11"/>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gridSpan w:val="14"/>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2025</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60" w:type="dxa"/>
            <w:vAlign w:val="bottom"/>
            <w:gridSpan w:val="11"/>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8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21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Part I - Financial Information</w:t>
            </w:r>
          </w:p>
        </w:tc>
        <w:tc>
          <w:tcPr>
            <w:tcW w:w="6000" w:type="dxa"/>
            <w:vAlign w:val="bottom"/>
            <w:gridSpan w:val="1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640" w:type="dxa"/>
            <w:vAlign w:val="bottom"/>
          </w:tcPr>
          <w:p>
            <w:pPr>
              <w:spacing w:after="0"/>
              <w:rPr>
                <w:sz w:val="24"/>
                <w:szCs w:val="24"/>
                <w:color w:val="auto"/>
              </w:rPr>
            </w:pPr>
          </w:p>
        </w:tc>
        <w:tc>
          <w:tcPr>
            <w:tcW w:w="74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1.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 – September 30, 2025 and</w:t>
            </w:r>
          </w:p>
        </w:tc>
        <w:tc>
          <w:tcPr>
            <w:tcW w:w="114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December 31, 2024</w:t>
            </w:r>
          </w:p>
        </w:tc>
        <w:tc>
          <w:tcPr>
            <w:tcW w:w="5500" w:type="dxa"/>
            <w:vAlign w:val="bottom"/>
            <w:gridSpan w:val="15"/>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Income</w:t>
            </w:r>
          </w:p>
        </w:tc>
        <w:tc>
          <w:tcPr>
            <w:tcW w:w="78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 For the Three and Nine Months Ended September 30, 2025 and 2024</w:t>
            </w:r>
          </w:p>
        </w:tc>
        <w:tc>
          <w:tcPr>
            <w:tcW w:w="920" w:type="dxa"/>
            <w:vAlign w:val="bottom"/>
            <w:gridSpan w:val="4"/>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 - For the Nine Months</w:t>
            </w: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Ended September 30, 2025 and 2024</w:t>
            </w:r>
          </w:p>
        </w:tc>
        <w:tc>
          <w:tcPr>
            <w:tcW w:w="3620" w:type="dxa"/>
            <w:vAlign w:val="bottom"/>
            <w:tcBorders>
              <w:top w:val="single" w:sz="8" w:color="0000EE"/>
            </w:tcBorders>
            <w:gridSpan w:val="8"/>
          </w:tcPr>
          <w:p>
            <w:pPr>
              <w:spacing w:after="0"/>
              <w:rPr>
                <w:sz w:val="17"/>
                <w:szCs w:val="17"/>
                <w:color w:val="auto"/>
              </w:rPr>
            </w:pPr>
          </w:p>
        </w:tc>
        <w:tc>
          <w:tcPr>
            <w:tcW w:w="640" w:type="dxa"/>
            <w:vAlign w:val="bottom"/>
            <w:gridSpan w:val="3"/>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Equity and Noncontrolling Interest (Unaudited) - For</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the Three and Nine Months Ended September 30, 2025 and 2024</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70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420" w:type="dxa"/>
            <w:vAlign w:val="bottom"/>
            <w:gridSpan w:val="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412"/>
        </w:trPr>
        <w:tc>
          <w:tcPr>
            <w:tcW w:w="640" w:type="dxa"/>
            <w:vAlign w:val="bottom"/>
          </w:tcPr>
          <w:p>
            <w:pPr>
              <w:spacing w:after="0"/>
              <w:rPr>
                <w:sz w:val="24"/>
                <w:szCs w:val="24"/>
                <w:color w:val="auto"/>
              </w:rPr>
            </w:pPr>
          </w:p>
        </w:tc>
        <w:tc>
          <w:tcPr>
            <w:tcW w:w="49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50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412"/>
        </w:trPr>
        <w:tc>
          <w:tcPr>
            <w:tcW w:w="640" w:type="dxa"/>
            <w:vAlign w:val="bottom"/>
          </w:tcPr>
          <w:p>
            <w:pPr>
              <w:spacing w:after="0"/>
              <w:rPr>
                <w:sz w:val="24"/>
                <w:szCs w:val="24"/>
                <w:color w:val="auto"/>
              </w:rPr>
            </w:pPr>
          </w:p>
        </w:tc>
        <w:tc>
          <w:tcPr>
            <w:tcW w:w="23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510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412"/>
        </w:trPr>
        <w:tc>
          <w:tcPr>
            <w:tcW w:w="19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Part II - Other Information</w:t>
            </w:r>
          </w:p>
        </w:tc>
        <w:tc>
          <w:tcPr>
            <w:tcW w:w="6200" w:type="dxa"/>
            <w:vAlign w:val="bottom"/>
            <w:gridSpan w:val="20"/>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412"/>
        </w:trPr>
        <w:tc>
          <w:tcPr>
            <w:tcW w:w="640" w:type="dxa"/>
            <w:vAlign w:val="bottom"/>
          </w:tcPr>
          <w:p>
            <w:pPr>
              <w:spacing w:after="0"/>
              <w:rPr>
                <w:sz w:val="24"/>
                <w:szCs w:val="24"/>
                <w:color w:val="auto"/>
              </w:rPr>
            </w:pPr>
          </w:p>
        </w:tc>
        <w:tc>
          <w:tcPr>
            <w:tcW w:w="19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5540" w:type="dxa"/>
            <w:vAlign w:val="bottom"/>
            <w:gridSpan w:val="16"/>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412"/>
        </w:trPr>
        <w:tc>
          <w:tcPr>
            <w:tcW w:w="640" w:type="dxa"/>
            <w:vAlign w:val="bottom"/>
          </w:tcPr>
          <w:p>
            <w:pPr>
              <w:spacing w:after="0"/>
              <w:rPr>
                <w:sz w:val="24"/>
                <w:szCs w:val="24"/>
                <w:color w:val="auto"/>
              </w:rPr>
            </w:pPr>
          </w:p>
        </w:tc>
        <w:tc>
          <w:tcPr>
            <w:tcW w:w="16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5840" w:type="dxa"/>
            <w:vAlign w:val="bottom"/>
            <w:gridSpan w:val="18"/>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412"/>
        </w:trPr>
        <w:tc>
          <w:tcPr>
            <w:tcW w:w="640" w:type="dxa"/>
            <w:vAlign w:val="bottom"/>
          </w:tcPr>
          <w:p>
            <w:pPr>
              <w:spacing w:after="0"/>
              <w:rPr>
                <w:sz w:val="24"/>
                <w:szCs w:val="24"/>
                <w:color w:val="auto"/>
              </w:rPr>
            </w:pPr>
          </w:p>
        </w:tc>
        <w:tc>
          <w:tcPr>
            <w:tcW w:w="49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252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412"/>
        </w:trPr>
        <w:tc>
          <w:tcPr>
            <w:tcW w:w="640" w:type="dxa"/>
            <w:vAlign w:val="bottom"/>
          </w:tcPr>
          <w:p>
            <w:pPr>
              <w:spacing w:after="0"/>
              <w:rPr>
                <w:sz w:val="24"/>
                <w:szCs w:val="24"/>
                <w:color w:val="auto"/>
              </w:rPr>
            </w:pPr>
          </w:p>
        </w:tc>
        <w:tc>
          <w:tcPr>
            <w:tcW w:w="74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412"/>
        </w:trPr>
        <w:tc>
          <w:tcPr>
            <w:tcW w:w="64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4. Mine Safety Disclosures.</w:t>
            </w:r>
          </w:p>
        </w:tc>
        <w:tc>
          <w:tcPr>
            <w:tcW w:w="540" w:type="dxa"/>
            <w:vAlign w:val="bottom"/>
            <w:tcBorders>
              <w:top w:val="single" w:sz="8" w:color="0000EE"/>
            </w:tcBorders>
          </w:tcPr>
          <w:p>
            <w:pPr>
              <w:spacing w:after="0"/>
              <w:rPr>
                <w:sz w:val="24"/>
                <w:szCs w:val="24"/>
                <w:color w:val="auto"/>
              </w:rPr>
            </w:pPr>
          </w:p>
        </w:tc>
        <w:tc>
          <w:tcPr>
            <w:tcW w:w="456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412"/>
        </w:trPr>
        <w:tc>
          <w:tcPr>
            <w:tcW w:w="640" w:type="dxa"/>
            <w:vAlign w:val="bottom"/>
          </w:tcPr>
          <w:p>
            <w:pPr>
              <w:spacing w:after="0"/>
              <w:rPr>
                <w:sz w:val="24"/>
                <w:szCs w:val="24"/>
                <w:color w:val="auto"/>
              </w:rPr>
            </w:pPr>
          </w:p>
        </w:tc>
        <w:tc>
          <w:tcPr>
            <w:tcW w:w="19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5. Other Information.</w:t>
            </w:r>
          </w:p>
        </w:tc>
        <w:tc>
          <w:tcPr>
            <w:tcW w:w="5560" w:type="dxa"/>
            <w:vAlign w:val="bottom"/>
            <w:gridSpan w:val="17"/>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412"/>
        </w:trPr>
        <w:tc>
          <w:tcPr>
            <w:tcW w:w="640" w:type="dxa"/>
            <w:vAlign w:val="bottom"/>
          </w:tcPr>
          <w:p>
            <w:pPr>
              <w:spacing w:after="0"/>
              <w:rPr>
                <w:sz w:val="24"/>
                <w:szCs w:val="24"/>
                <w:color w:val="auto"/>
              </w:rPr>
            </w:pPr>
          </w:p>
        </w:tc>
        <w:tc>
          <w:tcPr>
            <w:tcW w:w="74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280" w:type="dxa"/>
            <w:vAlign w:val="bottom"/>
            <w:gridSpan w:val="2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020" w:type="dxa"/>
            <w:vAlign w:val="bottom"/>
            <w:gridSpan w:val="2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6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2"/>
                <w:szCs w:val="12"/>
                <w:color w:val="auto"/>
              </w:rPr>
            </w:pPr>
          </w:p>
        </w:tc>
        <w:tc>
          <w:tcPr>
            <w:tcW w:w="9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4,932,998</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4,124,382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Cash and cash equivalents - unrestricted</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483,330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477,694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Cash and cash equivalents - restricted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33,225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Notes receivable, net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52,425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Trade receivables, net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111,147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Deferred income tax assets, net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65,019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227,733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178,091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Intangible assets and goodwill, net</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290,768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116,376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6,196,645</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5,217,573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LIABILITIES AND EQUITY:</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Debt and finance lease obligations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3,976,019</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3,378,396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540,790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Distributions payable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75,045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Deferred management rights proceeds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164,203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157,912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Other liabilities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72,546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66,805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4,986,515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4,282,991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Noncontrolling interest in Opry Entertainment Group</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411,989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381,945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Equity:</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Preferred stock, $.01 par value, 100,000 shares authorized, no shares issued or outstanding</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6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Common stock, $.01 par value, 400,000 shares authorized, 63,000 and 59,903 shares issued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and outstanding, respectively</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1,728,384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Treasury stock of 721 and 696 shares, at cost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(25,959)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Distributions in excess of retained earnings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(931,495)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(888,132)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(13,067)</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758,493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548,980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39,648</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equity</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798,141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552,637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6,196,645</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5,217,573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60" w:right="79"/>
        <w:spacing w:after="0" w:line="263" w:lineRule="auto"/>
        <w:rPr>
          <w:sz w:val="20"/>
          <w:szCs w:val="20"/>
          <w:color w:val="auto"/>
        </w:rPr>
      </w:pPr>
      <w:r>
        <w:rPr>
          <w:rFonts w:ascii="Times New Roman" w:cs="Times New Roman" w:eastAsia="Times New Roman" w:hAnsi="Times New Roman"/>
          <w:sz w:val="17"/>
          <w:szCs w:val="17"/>
          <w:b w:val="1"/>
          <w:bCs w:val="1"/>
          <w:color w:val="auto"/>
        </w:rPr>
        <w:t>RYMAN HOSPITALITY PROPERTIES, INC. AND SUBSIDIARIES CONDENSED CONSOLIDATED STATEMENTS OF OPERATIONS AND COMPREHENSIVE INCOME (Unaudited)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Rooms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195,227</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184,154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585,359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557,284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Food and beverage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737,328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719,304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hotel revenue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Entertainment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91,589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82,915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324,443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592,458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549,958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1,839,253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1,691,593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Rooms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Food and beverage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414,252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387,588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hotel expenses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144,882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399,394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360,298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Management fees, net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16,551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16,889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52,930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56,300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hotel operating expenses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350,062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312,774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1,008,771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938,478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Entertainment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67,935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Preopening costs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(Gain) loss on sale of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73,202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59,051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203,882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174,806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503,846</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444,078</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1,495,095</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1,321,261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from unconsolidated joint ventures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gains and (losses), net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30,326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61,320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181,222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221,551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60,398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172,848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207,899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 in Opry Entertainment Group</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(income) loss attributable to other noncontrolling interests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available to common stockholders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34,886</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59,011</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169,600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202,872</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income per share available to common stockholders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Diluted income per share available to common stockholders</w:t>
            </w:r>
          </w:p>
        </w:tc>
        <w:tc>
          <w:tcPr>
            <w:tcW w:w="30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0.53</w:t>
            </w:r>
          </w:p>
        </w:tc>
        <w:tc>
          <w:tcPr>
            <w:tcW w:w="34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0.94</w:t>
            </w:r>
          </w:p>
        </w:tc>
        <w:tc>
          <w:tcPr>
            <w:tcW w:w="32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2.65</w:t>
            </w:r>
          </w:p>
        </w:tc>
        <w:tc>
          <w:tcPr>
            <w:tcW w:w="30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7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 net of taxes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36,047</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62,047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174,953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Comprehensive income, net of taxes, attributable to noncontrolling interest in</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(4,053)</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(3,647)</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Opry Entertainment Group</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Comprehensive (income) loss, net of taxes, attributable to other noncontrolling</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interests</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net of taxes, available to common stockholders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36,761</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61,015</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171,431</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206,054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724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840" w:type="dxa"/>
            <w:vAlign w:val="bottom"/>
            <w:gridSpan w:val="2"/>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172,848</w:t>
            </w:r>
          </w:p>
        </w:tc>
        <w:tc>
          <w:tcPr>
            <w:tcW w:w="200" w:type="dxa"/>
            <w:vAlign w:val="bottom"/>
          </w:tcPr>
          <w:p>
            <w:pPr>
              <w:spacing w:after="0"/>
              <w:rPr>
                <w:sz w:val="14"/>
                <w:szCs w:val="14"/>
                <w:color w:val="auto"/>
              </w:rPr>
            </w:pPr>
          </w:p>
        </w:tc>
        <w:tc>
          <w:tcPr>
            <w:tcW w:w="160" w:type="dxa"/>
            <w:vAlign w:val="bottom"/>
            <w:gridSpan w:val="2"/>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207,899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Amounts to reconcile net income to net cash flows provided by operating activities:</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Provision for deferred income taxes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5,079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10,715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203,882</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174,806</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Amortization of deferred financing costs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8,762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7,995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(Income) loss from unconsolidated joint ventures</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66</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(224)</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Equity-based compensation expense</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10,777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10,724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Trade receivables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(3,083)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2,727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payable and accrued liabilities</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36,242</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20,102</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Borders>
              <w:bottom w:val="single" w:sz="8" w:color="CCEEFF"/>
            </w:tcBorders>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assets and liabilities</w:t>
            </w: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(8,611)</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(24,864)</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0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operating activities</w:t>
            </w:r>
          </w:p>
        </w:tc>
        <w:tc>
          <w:tcPr>
            <w:tcW w:w="6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425,962</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409,880</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(252,103)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(317,323)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Collection of notes receivable</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4,385</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4,060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 of JW Marriott Desert Ridge, net of cash acquired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(861,958)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investing activities, net</w:t>
            </w:r>
          </w:p>
        </w:tc>
        <w:tc>
          <w:tcPr>
            <w:tcW w:w="6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(18,121)</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(161)</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0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used in investing activities</w:t>
            </w:r>
          </w:p>
        </w:tc>
        <w:tc>
          <w:tcPr>
            <w:tcW w:w="6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(1,127,797)</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(313,424)</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term loan B</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18,861</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term loan B</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(2,201)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(221,586)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OEG revolving credit facility</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5,000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43,000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OEG revolving credit facility</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(26,000)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OEG term loan</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128,128</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299,250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OEG term loan</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(2,903)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(296,250)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Block 21 CMBS loan</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(128,967)</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(2,153)</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Gaylord Rockies term loan</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(800,000)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Issuance of senior notes</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625,000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1,000,000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Deferred financing costs paid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(13,064)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(23,134)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Issuance of common stock, net</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275,532</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distributions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(212,641)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(199,759)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tax withholdings for share-based compensation</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(5,537)</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(12,131)</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financing activities, net</w:t>
            </w: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(185)</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(64)</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0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(used in) financing activities</w:t>
            </w:r>
          </w:p>
        </w:tc>
        <w:tc>
          <w:tcPr>
            <w:tcW w:w="6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642,162</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(225,966)</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(59,673)</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(129,510)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576,228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700,441</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6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516,555</w:t>
            </w:r>
          </w:p>
        </w:tc>
        <w:tc>
          <w:tcPr>
            <w:tcW w:w="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570,931</w:t>
            </w:r>
          </w:p>
        </w:tc>
        <w:tc>
          <w:tcPr>
            <w:tcW w:w="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Reconciliation of cash, cash equivalents, and restricted cash to balance sheet:</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unrestricted</w:t>
            </w:r>
          </w:p>
        </w:tc>
        <w:tc>
          <w:tcPr>
            <w:tcW w:w="840" w:type="dxa"/>
            <w:vAlign w:val="bottom"/>
            <w:gridSpan w:val="2"/>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483,330</w:t>
            </w:r>
          </w:p>
        </w:tc>
        <w:tc>
          <w:tcPr>
            <w:tcW w:w="200" w:type="dxa"/>
            <w:vAlign w:val="bottom"/>
          </w:tcPr>
          <w:p>
            <w:pPr>
              <w:spacing w:after="0"/>
              <w:rPr>
                <w:sz w:val="14"/>
                <w:szCs w:val="14"/>
                <w:color w:val="auto"/>
              </w:rPr>
            </w:pPr>
          </w:p>
        </w:tc>
        <w:tc>
          <w:tcPr>
            <w:tcW w:w="160" w:type="dxa"/>
            <w:vAlign w:val="bottom"/>
            <w:gridSpan w:val="2"/>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534,931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restricted</w:t>
            </w:r>
          </w:p>
        </w:tc>
        <w:tc>
          <w:tcPr>
            <w:tcW w:w="6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33,225</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36,000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0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680" w:type="dxa"/>
            <w:vAlign w:val="bottom"/>
          </w:tcPr>
          <w:p>
            <w:pPr>
              <w:spacing w:after="0"/>
              <w:rPr>
                <w:sz w:val="13"/>
                <w:szCs w:val="13"/>
                <w:color w:val="auto"/>
              </w:rPr>
            </w:pP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516,555</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570,931</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NONCONTROLLING INTEREST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Distributions</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35"/>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in Excess of</w:t>
            </w: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1"/>
                <w:szCs w:val="11"/>
                <w:color w:val="auto"/>
              </w:rPr>
            </w:pPr>
          </w:p>
        </w:tc>
        <w:tc>
          <w:tcPr>
            <w:tcW w:w="6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r>
      <w:tr>
        <w:trPr>
          <w:trHeight w:val="135"/>
        </w:trPr>
        <w:tc>
          <w:tcPr>
            <w:tcW w:w="204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9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9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68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c>
          <w:tcPr>
            <w:tcW w:w="140" w:type="dxa"/>
            <w:vAlign w:val="bottom"/>
          </w:tcPr>
          <w:p>
            <w:pPr>
              <w:spacing w:after="0"/>
              <w:rPr>
                <w:sz w:val="11"/>
                <w:szCs w:val="11"/>
                <w:color w:val="auto"/>
              </w:rPr>
            </w:pPr>
          </w:p>
        </w:tc>
        <w:tc>
          <w:tcPr>
            <w:tcW w:w="64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2"/>
                <w:szCs w:val="12"/>
                <w:b w:val="1"/>
                <w:bCs w:val="1"/>
                <w:color w:val="auto"/>
              </w:rPr>
              <w:t>Interest</w:t>
            </w:r>
          </w:p>
        </w:tc>
      </w:tr>
      <w:tr>
        <w:trPr>
          <w:trHeight w:val="145"/>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1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2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40" w:type="dxa"/>
            <w:vAlign w:val="bottom"/>
          </w:tcPr>
          <w:p>
            <w:pPr>
              <w:spacing w:after="0"/>
              <w:rPr>
                <w:sz w:val="12"/>
                <w:szCs w:val="12"/>
                <w:color w:val="auto"/>
              </w:rPr>
            </w:pPr>
          </w:p>
        </w:tc>
        <w:tc>
          <w:tcPr>
            <w:tcW w:w="640" w:type="dxa"/>
            <w:vAlign w:val="bottom"/>
          </w:tcPr>
          <w:p>
            <w:pPr>
              <w:jc w:val="right"/>
              <w:ind w:right="137"/>
              <w:spacing w:after="0"/>
              <w:rPr>
                <w:sz w:val="20"/>
                <w:szCs w:val="20"/>
                <w:color w:val="auto"/>
              </w:rPr>
            </w:pPr>
            <w:r>
              <w:rPr>
                <w:rFonts w:ascii="Times New Roman" w:cs="Times New Roman" w:eastAsia="Times New Roman" w:hAnsi="Times New Roman"/>
                <w:sz w:val="12"/>
                <w:szCs w:val="12"/>
                <w:b w:val="1"/>
                <w:bCs w:val="1"/>
                <w:color w:val="auto"/>
              </w:rPr>
              <w:t>in OEG</w:t>
            </w:r>
          </w:p>
        </w:tc>
      </w:tr>
      <w:tr>
        <w:trPr>
          <w:trHeight w:val="129"/>
        </w:trPr>
        <w:tc>
          <w:tcPr>
            <w:tcW w:w="20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2024</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599</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$ 1,475,211</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(23,526)</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(888,132)</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(15,172)</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548,980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3,657</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$ 552,637</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381,945</w:t>
            </w:r>
          </w:p>
        </w:tc>
      </w:tr>
      <w:tr>
        <w:trPr>
          <w:trHeight w:val="135"/>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62,961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62,961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(658)</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62,303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711</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(88)</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(88)</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(8,960)</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(8,960)</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(8,960)</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8,960</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Purchase of interest in consolidated</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joint venture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36,270</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36,270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declared ($1.15 per share)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(803)</w:t>
            </w:r>
          </w:p>
        </w:tc>
        <w:tc>
          <w:tcPr>
            <w:tcW w:w="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(68,701)</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(69,335)</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(454)</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(69,789)</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(5,648)</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(5,647)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(5,647)</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14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20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2025</w:t>
            </w: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600</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$ 1,464,394</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(24,329)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(893,872)</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(15,260)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531,533</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38,815</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$ 570,348</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391,616</w:t>
            </w:r>
          </w:p>
        </w:tc>
      </w:tr>
      <w:tr>
        <w:trPr>
          <w:trHeight w:val="128"/>
        </w:trPr>
        <w:tc>
          <w:tcPr>
            <w:tcW w:w="204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71,753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71,753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2,028</w:t>
            </w: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73,781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2,094</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(7,576)</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(7,576)</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(7,576)</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7,576</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Reallocation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in Operating Partnership</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(1,627)</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(1,627)</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1,627</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 net</w:t>
            </w: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275,502</w:t>
            </w:r>
          </w:p>
        </w:tc>
        <w:tc>
          <w:tcPr>
            <w:tcW w:w="14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275,532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275,532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declared ($1.15 per share)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(810)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(72,117)</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(72,755)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(455)</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(73,210)</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204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June 30, 2025</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630</w:t>
            </w:r>
          </w:p>
        </w:tc>
        <w:tc>
          <w:tcPr>
            <w:tcW w:w="12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$ 1,734,330</w:t>
            </w:r>
          </w:p>
        </w:tc>
        <w:tc>
          <w:tcPr>
            <w:tcW w:w="14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(25,139)</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(894,236)</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(15,155)</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800,430</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42,015</w:t>
            </w:r>
          </w:p>
        </w:tc>
        <w:tc>
          <w:tcPr>
            <w:tcW w:w="12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$ 842,445</w:t>
            </w:r>
          </w:p>
        </w:tc>
        <w:tc>
          <w:tcPr>
            <w:tcW w:w="1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401,286</w:t>
            </w:r>
          </w:p>
        </w:tc>
      </w:tr>
      <w:tr>
        <w:trPr>
          <w:trHeight w:val="128"/>
        </w:trPr>
        <w:tc>
          <w:tcPr>
            <w:tcW w:w="204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34,886</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34,886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(1,914)</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32,972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987</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(9,716)</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(9,716)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(9,716)</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9,716</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declared ($1.15 per share)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(820)</w:t>
            </w:r>
          </w:p>
        </w:tc>
        <w:tc>
          <w:tcPr>
            <w:tcW w:w="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(72,145)</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(72,790)</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(453)</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(73,243)</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(65)</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(65)</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3,660</w:t>
            </w:r>
          </w:p>
        </w:tc>
        <w:tc>
          <w:tcPr>
            <w:tcW w:w="14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8"/>
        </w:trPr>
        <w:tc>
          <w:tcPr>
            <w:tcW w:w="204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September 30, 2025</w:t>
            </w: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$ 1,728,384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(25,959)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(931,495)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(13,067)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758,493</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39,648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$ 798,141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411,989</w:t>
            </w:r>
          </w:p>
        </w:tc>
      </w:tr>
      <w:tr>
        <w:trPr>
          <w:trHeight w:val="20"/>
        </w:trPr>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NONCONTROLLING INTEREST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Distributions</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35"/>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in Excess of</w:t>
            </w: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1"/>
                <w:szCs w:val="11"/>
                <w:color w:val="auto"/>
              </w:rPr>
            </w:pPr>
          </w:p>
        </w:tc>
        <w:tc>
          <w:tcPr>
            <w:tcW w:w="6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r>
      <w:tr>
        <w:trPr>
          <w:trHeight w:val="135"/>
        </w:trPr>
        <w:tc>
          <w:tcPr>
            <w:tcW w:w="204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9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9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68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c>
          <w:tcPr>
            <w:tcW w:w="140" w:type="dxa"/>
            <w:vAlign w:val="bottom"/>
          </w:tcPr>
          <w:p>
            <w:pPr>
              <w:spacing w:after="0"/>
              <w:rPr>
                <w:sz w:val="11"/>
                <w:szCs w:val="11"/>
                <w:color w:val="auto"/>
              </w:rPr>
            </w:pPr>
          </w:p>
        </w:tc>
        <w:tc>
          <w:tcPr>
            <w:tcW w:w="64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2"/>
                <w:szCs w:val="12"/>
                <w:b w:val="1"/>
                <w:bCs w:val="1"/>
                <w:color w:val="auto"/>
              </w:rPr>
              <w:t>Interest</w:t>
            </w:r>
          </w:p>
        </w:tc>
      </w:tr>
      <w:tr>
        <w:trPr>
          <w:trHeight w:val="145"/>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1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2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40" w:type="dxa"/>
            <w:vAlign w:val="bottom"/>
          </w:tcPr>
          <w:p>
            <w:pPr>
              <w:spacing w:after="0"/>
              <w:rPr>
                <w:sz w:val="12"/>
                <w:szCs w:val="12"/>
                <w:color w:val="auto"/>
              </w:rPr>
            </w:pPr>
          </w:p>
        </w:tc>
        <w:tc>
          <w:tcPr>
            <w:tcW w:w="640" w:type="dxa"/>
            <w:vAlign w:val="bottom"/>
          </w:tcPr>
          <w:p>
            <w:pPr>
              <w:jc w:val="right"/>
              <w:ind w:right="137"/>
              <w:spacing w:after="0"/>
              <w:rPr>
                <w:sz w:val="20"/>
                <w:szCs w:val="20"/>
                <w:color w:val="auto"/>
              </w:rPr>
            </w:pPr>
            <w:r>
              <w:rPr>
                <w:rFonts w:ascii="Times New Roman" w:cs="Times New Roman" w:eastAsia="Times New Roman" w:hAnsi="Times New Roman"/>
                <w:sz w:val="12"/>
                <w:szCs w:val="12"/>
                <w:b w:val="1"/>
                <w:bCs w:val="1"/>
                <w:color w:val="auto"/>
              </w:rPr>
              <w:t>in OEG</w:t>
            </w:r>
          </w:p>
        </w:tc>
      </w:tr>
      <w:tr>
        <w:trPr>
          <w:trHeight w:val="129"/>
        </w:trPr>
        <w:tc>
          <w:tcPr>
            <w:tcW w:w="20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2023</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597</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$ 1,502,710</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(20,508)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(894,259)</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(19,387)</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569,153</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3,624</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$ 572,777</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345,126</w:t>
            </w:r>
          </w:p>
        </w:tc>
      </w:tr>
      <w:tr>
        <w:trPr>
          <w:trHeight w:val="135"/>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43,056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43,056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284</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43,340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(579)</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(9,318)</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(9,318)</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(9,318)</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9,318</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declared ($1.10 per share)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(66,335)</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(66,174)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(435)</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(66,609)</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(12,055)</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(12,053)</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(12,053)</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204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2024</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599</w:t>
            </w:r>
          </w:p>
        </w:tc>
        <w:tc>
          <w:tcPr>
            <w:tcW w:w="12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$ 1,485,360</w:t>
            </w:r>
          </w:p>
        </w:tc>
        <w:tc>
          <w:tcPr>
            <w:tcW w:w="14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(20,508)</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(917,538)</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(17,979)</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529,934</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3,473</w:t>
            </w:r>
          </w:p>
        </w:tc>
        <w:tc>
          <w:tcPr>
            <w:tcW w:w="12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$ 533,407</w:t>
            </w:r>
          </w:p>
        </w:tc>
        <w:tc>
          <w:tcPr>
            <w:tcW w:w="1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353,865</w:t>
            </w:r>
          </w:p>
        </w:tc>
      </w:tr>
      <w:tr>
        <w:trPr>
          <w:trHeight w:val="128"/>
        </w:trPr>
        <w:tc>
          <w:tcPr>
            <w:tcW w:w="204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100,805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100,805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665</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101,470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3,270</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(5,468)</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(5,468)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(5,468)</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5,468</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declared ($1.10 per share)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(1,468)</w:t>
            </w:r>
          </w:p>
        </w:tc>
        <w:tc>
          <w:tcPr>
            <w:tcW w:w="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(64,884)</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(66,189)</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(434)</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(66,623)</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14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20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June 30, 2024</w:t>
            </w: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599</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$ 1,483,479</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(21,976)</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(881,617)</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(17,868)</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562,617</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3,704</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$ 566,321</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362,603</w:t>
            </w:r>
          </w:p>
        </w:tc>
      </w:tr>
      <w:tr>
        <w:trPr>
          <w:trHeight w:val="128"/>
        </w:trPr>
        <w:tc>
          <w:tcPr>
            <w:tcW w:w="204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59,011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59,011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390</w:t>
            </w: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59,401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997</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(8,674)</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(8,674)</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(8,674)</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8,674</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declared ($1.10 per share)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(790)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(65,538)</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(66,164)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(435)</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(66,599)</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3,479</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8"/>
        </w:trPr>
        <w:tc>
          <w:tcPr>
            <w:tcW w:w="20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September 30, 2024</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599</w:t>
            </w: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$ 1,478,406</w:t>
            </w:r>
          </w:p>
        </w:tc>
        <w:tc>
          <w:tcPr>
            <w:tcW w:w="1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(22,766)</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(888,144)</w:t>
            </w: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(16,219)</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551,876</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3,659</w:t>
            </w:r>
          </w:p>
        </w:tc>
        <w:tc>
          <w:tcPr>
            <w:tcW w:w="12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$ 555,535</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372,274</w:t>
            </w:r>
          </w:p>
        </w:tc>
      </w:tr>
      <w:tr>
        <w:trPr>
          <w:trHeight w:val="20"/>
        </w:trPr>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60" w:right="1440"/>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NOTES TO CONDENSED CONSOLIDATED FINANCIAL STATEMENTS (UNAUDITED)</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left="60" w:right="179"/>
        <w:spacing w:after="0" w:line="252" w:lineRule="auto"/>
        <w:rPr>
          <w:sz w:val="20"/>
          <w:szCs w:val="20"/>
          <w:color w:val="auto"/>
        </w:rPr>
      </w:pPr>
      <w:r>
        <w:rPr>
          <w:rFonts w:ascii="Times New Roman" w:cs="Times New Roman" w:eastAsia="Times New Roman" w:hAnsi="Times New Roman"/>
          <w:sz w:val="18"/>
          <w:szCs w:val="18"/>
          <w:color w:val="auto"/>
        </w:rPr>
        <w:t>On January 1, 2013, Ryman Hospitality Properties, Inc. (“Ryman”) and its subsidiaries (collectively with Ryman, the “Company”) began operating as a real estate investment trust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and JW Marriott brands. The five Gaylord Hotels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The two JW Marriott resorts, which the Company refers to as the JW Marriott properties, consist of the JW Marriott San Antonio Hill Country Resort &amp; Spa (“JW Marriott Hill Country”) and, effective June 10, 2025, the JW Marriott Phoenix Desert Ridge Resort &amp; Spa (“JW Marriott Desert Ridge”). The Company’s other owned hotel assets managed by Marriott include the Inn at Opryland, an overflow hotel adjacent to Gaylord Opryland, and the AC Hotel at National Harbor, Washington D.C. (“AC Hotel”), an overflow hotel adjacent to Gaylord National.</w:t>
      </w:r>
    </w:p>
    <w:p>
      <w:pPr>
        <w:spacing w:after="0" w:line="15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Company also owns an approximate 70% controlling equity interest in OEG Attractions Holdings, LLC, a business comprised of a number of entertainment and media assets, known as the Opry Entertainment Group (“OEG”), which the Company reports as its Entertainment segment. These assets include the Grand Ole Opry, the legendary weekly showcase of country music’s finest performers; the Ryman Auditorium, the storied live music venue and former home of the Grand Ole Opry; WSM-AM, the Opry’s radio home; Ole Red, a brand of Blake Shelton-themed bar, music venue and event spaces; Category 10, a brand of Luke Combs-themed bar, music venue and event spaces that opened in Nashville, Tennessee in November 2024, with an additional location expected to open in Las Vegas, Nevada in late 2026; Block 21, a mixed-use entertainment, lodging, office, and retail complex located in Austin, Texas (“Block 21”); and as of January 3, 2025, a majority and controlling equity interest in Southern Entertainment, a Charlotte, North Carolina-based national music festival and events production company.</w:t>
      </w:r>
    </w:p>
    <w:p>
      <w:pPr>
        <w:spacing w:after="0" w:line="154"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Company consolidates the assets, liabilities and results of operations of OEG in the accompanying condensed consolidated financial statements. The portion of OEG that the Company does not own is recorded as noncontrolling interest in Opry Entertainment Group, which is classified as mezzanine equity in the accompanying condensed consolidated balance sheets, and any adjustment necessary to reflect the noncontrolling interest at its redemption value is shown in the accompanying condensed consolidated statements of equity and noncontrolling interest. See Note 4, “Income Per Share,” for further disclosure.</w:t>
      </w:r>
    </w:p>
    <w:p>
      <w:pPr>
        <w:spacing w:after="0" w:line="160"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10-K for the year ended December 31, 2024. In the opinion of management, all adjustments necessary for a fair statement of the results of operations for the interim periods have been included. All adjustments are of a normal, recurring nature. The results of operations for such interim periods are not necessarily indicative of the results for the full year because of seasonal and short-term variations.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Newly Issued Accounting Standards</w:t>
      </w:r>
    </w:p>
    <w:p>
      <w:pPr>
        <w:spacing w:after="0" w:line="187" w:lineRule="exact"/>
        <w:rPr>
          <w:sz w:val="20"/>
          <w:szCs w:val="20"/>
          <w:color w:val="auto"/>
        </w:rPr>
      </w:pPr>
    </w:p>
    <w:p>
      <w:pPr>
        <w:ind w:left="60" w:right="319"/>
        <w:spacing w:after="0" w:line="289" w:lineRule="auto"/>
        <w:rPr>
          <w:sz w:val="20"/>
          <w:szCs w:val="20"/>
          <w:color w:val="auto"/>
        </w:rPr>
      </w:pPr>
      <w:r>
        <w:rPr>
          <w:rFonts w:ascii="Times New Roman" w:cs="Times New Roman" w:eastAsia="Times New Roman" w:hAnsi="Times New Roman"/>
          <w:sz w:val="17"/>
          <w:szCs w:val="17"/>
          <w:color w:val="auto"/>
        </w:rPr>
        <w:t>In November 2023, the Financial Accounting Standards Board (“FASB”) issued Accounting Standards Update (“ASU”) No. 2023-07, “</w:t>
      </w:r>
      <w:r>
        <w:rPr>
          <w:rFonts w:ascii="Times New Roman" w:cs="Times New Roman" w:eastAsia="Times New Roman" w:hAnsi="Times New Roman"/>
          <w:sz w:val="17"/>
          <w:szCs w:val="17"/>
          <w:i w:val="1"/>
          <w:iCs w:val="1"/>
          <w:color w:val="auto"/>
        </w:rPr>
        <w:t>Improvements to Reportable Segment Disclosures</w:t>
      </w:r>
      <w:r>
        <w:rPr>
          <w:rFonts w:ascii="Times New Roman" w:cs="Times New Roman" w:eastAsia="Times New Roman" w:hAnsi="Times New Roman"/>
          <w:sz w:val="17"/>
          <w:szCs w:val="17"/>
          <w:color w:val="auto"/>
        </w:rPr>
        <w:t>,” requiring public entities to provide disclosures of significant segment expenses and other segment items, as well as to provide in interim periods all disclosures about a</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reportable segment’s profit or loss and assets that were previously required annually. The Company retrospectively adopted this guidance for fiscal year 2024 and has retrospectively adopted for interim periods beginning in fiscal year 2025. This adoption did not have a material impact on the Company’s financial statements.</w:t>
      </w:r>
    </w:p>
    <w:p>
      <w:pPr>
        <w:spacing w:after="0" w:line="174"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requiring public entities to provide additional information in the rate reconciliation, to disclose annually income taxes paid disaggregated by federal, state and foreign taxes and to disaggregate the information by jurisdiction based on a quantitative threshold. The guidance is applied prospectively, but with the option to apply retrospectively, and will be effective for the Company for fiscal year 2025. The Company is currently evaluating the impact of this ASU but does not anticipate this adoption to have a material impact on the Company’s financial statements.</w:t>
      </w:r>
    </w:p>
    <w:p>
      <w:pPr>
        <w:spacing w:after="0" w:line="182" w:lineRule="exact"/>
        <w:rPr>
          <w:sz w:val="20"/>
          <w:szCs w:val="20"/>
          <w:color w:val="auto"/>
        </w:rPr>
      </w:pPr>
    </w:p>
    <w:p>
      <w:pPr>
        <w:ind w:left="60" w:right="59"/>
        <w:spacing w:after="0" w:line="257" w:lineRule="auto"/>
        <w:rPr>
          <w:sz w:val="20"/>
          <w:szCs w:val="20"/>
          <w:color w:val="auto"/>
        </w:rPr>
      </w:pPr>
      <w:r>
        <w:rPr>
          <w:rFonts w:ascii="Times New Roman" w:cs="Times New Roman" w:eastAsia="Times New Roman" w:hAnsi="Times New Roman"/>
          <w:sz w:val="18"/>
          <w:szCs w:val="18"/>
          <w:color w:val="auto"/>
        </w:rPr>
        <w:t>In November 2024, the FASB issued ASU No. 2024-03, “</w:t>
      </w: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requiring public entities to disclose, on an annual and interim basis, disaggregated information about certain income statement line items, including employee compensation, purchases of inventory, depreciation, intangible asset amortization and depletion for each income statement line item that includes those expenses. The guidance is applied prospectively, but with the option to apply retrospectively, and will be effective for the Company for fiscal year 2027. The Company is currently evaluating the impact of this ASU but does not anticipate this adoption to have a material impact on the Company’s financial statements.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JW MARRIOTT DESERT RIDGE TRANSACTION: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On June 10, 2025, the Company purchased JW Marriott Desert Ridge for approximately $865 million. </w:t>
      </w:r>
      <w:r>
        <w:rPr>
          <w:rFonts w:ascii="Times New Roman" w:cs="Times New Roman" w:eastAsia="Times New Roman" w:hAnsi="Times New Roman"/>
          <w:sz w:val="18"/>
          <w:szCs w:val="18"/>
          <w:color w:val="212529"/>
        </w:rPr>
        <w:t>Situated 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12529"/>
        </w:rPr>
        <w:t>approximately 402 acres of Arizona’s Sonoran Desert, JW Marriott Desert Ridge is a premier group-oriented resort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12529"/>
        </w:rPr>
        <w:t>with 950 rooms and approximately 243,000 total square feet of indoor and outdoor meeting and event space. The resort’s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12529"/>
        </w:rPr>
        <w:t>amenities include a 28,000 square-foot spa; seven food and beverage outlets; a 140,000 square-foot water experience;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12529"/>
        </w:rPr>
        <w:t>and two 18-hole golf courses. The Company funded the purchase price with a portion of the approximately $275.5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12529"/>
        </w:rPr>
        <w:t>in net proceeds of an underwritten registered public offering of approximately 3.0 million shares of the Company’s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12529"/>
        </w:rPr>
        <w:t>common stock (see Note 14, “Equity”) and approximately $614 million in net proceeds of a private placement of</w:t>
      </w:r>
    </w:p>
    <w:p>
      <w:pPr>
        <w:spacing w:after="0" w:line="9" w:lineRule="exact"/>
        <w:rPr>
          <w:sz w:val="20"/>
          <w:szCs w:val="20"/>
          <w:color w:val="auto"/>
        </w:rPr>
      </w:pPr>
    </w:p>
    <w:p>
      <w:pPr>
        <w:ind w:left="60" w:right="219"/>
        <w:spacing w:after="0" w:line="260" w:lineRule="auto"/>
        <w:rPr>
          <w:sz w:val="20"/>
          <w:szCs w:val="20"/>
          <w:color w:val="auto"/>
        </w:rPr>
      </w:pPr>
      <w:r>
        <w:rPr>
          <w:rFonts w:ascii="Times New Roman" w:cs="Times New Roman" w:eastAsia="Times New Roman" w:hAnsi="Times New Roman"/>
          <w:sz w:val="18"/>
          <w:szCs w:val="18"/>
          <w:color w:val="212529"/>
        </w:rPr>
        <w:t>$625 million aggregate principal amount of 6.50% senior notes due 2033 (see Note 8, “Debt”). JW Marriott Desert Ridge assets are reflected in the Company’s Hospitality segment beginning June 10, 2025.</w:t>
      </w:r>
    </w:p>
    <w:p>
      <w:pPr>
        <w:spacing w:after="0" w:line="181" w:lineRule="exact"/>
        <w:rPr>
          <w:sz w:val="20"/>
          <w:szCs w:val="20"/>
          <w:color w:val="auto"/>
        </w:rPr>
      </w:pPr>
    </w:p>
    <w:p>
      <w:pPr>
        <w:ind w:left="60" w:right="219"/>
        <w:spacing w:after="0" w:line="277" w:lineRule="auto"/>
        <w:rPr>
          <w:sz w:val="20"/>
          <w:szCs w:val="20"/>
          <w:color w:val="auto"/>
        </w:rPr>
      </w:pPr>
      <w:r>
        <w:rPr>
          <w:rFonts w:ascii="Times New Roman" w:cs="Times New Roman" w:eastAsia="Times New Roman" w:hAnsi="Times New Roman"/>
          <w:sz w:val="17"/>
          <w:szCs w:val="17"/>
          <w:color w:val="212529"/>
        </w:rPr>
        <w:t>The Company performed a valuation of the fair value of the acquired assets and liabilities as of June 10, 2025. The valuations of the various components of property and equipment were determined principally based on the cost approach, which uses assumptions regarding replacement values from established indices. The valuation of intangible assets was based on various methods to evaluate the value of a below market ground lease and the values of advanced bookings previously received for the hotel. The Company considers each of these estimates as Level 3 fair value measurements.</w:t>
      </w:r>
    </w:p>
    <w:p>
      <w:pPr>
        <w:spacing w:after="0" w:line="168"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212529"/>
        </w:rPr>
        <w:t>The Company determined that the acquisition represents an asset acquisition and has capitalized transaction costs and allocated the purchase price to the relative fair values of assets acquired and liabilities assumed, adjusted for working capital adjustments as set forth in the purchase agreement and transaction costs, in the Company’s balance sheet at June 10, 2025 as follows (amounts in thousands):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747,377</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 unrestricted</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restricted</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14,426</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r>
      <w:tr>
        <w:trPr>
          <w:trHeight w:val="216"/>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114,875</w:t>
            </w:r>
          </w:p>
        </w:tc>
      </w:tr>
      <w:tr>
        <w:trPr>
          <w:trHeight w:val="21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 acquired</w:t>
            </w: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887,777</w:t>
            </w:r>
          </w:p>
        </w:tc>
      </w:tr>
      <w:tr>
        <w:trPr>
          <w:trHeight w:val="20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(18,267)</w:t>
            </w:r>
          </w:p>
        </w:tc>
      </w:tr>
      <w:tr>
        <w:trPr>
          <w:trHeight w:val="21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(18,267)</w:t>
            </w:r>
          </w:p>
        </w:tc>
      </w:tr>
      <w:tr>
        <w:trPr>
          <w:trHeight w:val="209"/>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869,510</w:t>
            </w:r>
          </w:p>
        </w:tc>
      </w:tr>
      <w:tr>
        <w:trPr>
          <w:trHeight w:val="20"/>
        </w:trPr>
        <w:tc>
          <w:tcPr>
            <w:tcW w:w="7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revenues disaggregated by major source are as follows (in thousands):</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group rooms</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$ 127,953</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$ 124,006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418,149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401,276</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Hotel transient rooms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67,274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156,008</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food and beverage - banquets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154,301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523,345</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Hotel food and beverage - outlets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79,373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195,959</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other</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171,012</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admissions/ticketing</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34,039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87,494</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food and beverage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90,430</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24,069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66,069</w:t>
            </w:r>
          </w:p>
        </w:tc>
      </w:tr>
      <w:tr>
        <w:trPr>
          <w:trHeight w:val="210"/>
        </w:trPr>
        <w:tc>
          <w:tcPr>
            <w:tcW w:w="20" w:type="dxa"/>
            <w:vAlign w:val="bottom"/>
          </w:tcPr>
          <w:p>
            <w:pPr>
              <w:spacing w:after="0"/>
              <w:rPr>
                <w:sz w:val="18"/>
                <w:szCs w:val="18"/>
                <w:color w:val="auto"/>
              </w:rPr>
            </w:pPr>
          </w:p>
        </w:tc>
        <w:tc>
          <w:tcPr>
            <w:tcW w:w="28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$ 592,458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$ 549,958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1,839,253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1,691,593</w:t>
            </w: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Hospitality segment revenues disaggregated by location are as follows (in thousands):</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5"/>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Opryland</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$ 110,078</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$ 122,659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336,721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356,846</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Gaylord Palms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66,745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222,504</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Texan</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241,895</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Gaylord National</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78,098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226,394</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Rockies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213,316</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JW Marriott Hill Country</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51,615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173,464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167,064</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JW Marriott Desert Ridge</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AC Hotel</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 at Opryland and other</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w:t>
            </w:r>
          </w:p>
        </w:tc>
      </w:tr>
      <w:tr>
        <w:trPr>
          <w:trHeight w:val="210"/>
        </w:trPr>
        <w:tc>
          <w:tcPr>
            <w:tcW w:w="20" w:type="dxa"/>
            <w:vAlign w:val="bottom"/>
          </w:tcPr>
          <w:p>
            <w:pPr>
              <w:spacing w:after="0"/>
              <w:rPr>
                <w:sz w:val="18"/>
                <w:szCs w:val="18"/>
                <w:color w:val="auto"/>
              </w:rPr>
            </w:pPr>
          </w:p>
        </w:tc>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Hospitality segment revenues</w:t>
            </w:r>
          </w:p>
        </w:tc>
        <w:tc>
          <w:tcPr>
            <w:tcW w:w="3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$ 500,869</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$ 467,043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1,514,810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1,447,600</w:t>
            </w: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majority of the Company’s Entertainment segment revenues are concentrated in Nashville, Tennessee; Las Vegas, Nevada; and Austin, Texas.</w:t>
      </w:r>
    </w:p>
    <w:p>
      <w:pPr>
        <w:spacing w:after="0" w:line="135"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in advance of its performance obligations, primarily related to advanced deposits on hotel rooms and advanced ticketing at its OEG venues. At September 30, 2025 and December 31, 2024, the Company had $239.3 million and $173.0 million, respectively, in deferred revenues, which are included in accounts payable and accrued liabilities in the accompanying condensed consolidated balance sheets. Of the amount outstanding at December 31, 2024, approximately $127.0 million was recognized in revenue during the nine months ended September 30, 2025.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INCOME PER SHARE:</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computation of basic and diluted earnings per common share is as follows (in thousands, except per share data):</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34,886</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59,011</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169,600</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202,872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attributable to noncontrolling interest in OEG</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0" w:type="dxa"/>
            <w:vAlign w:val="bottom"/>
          </w:tcPr>
          <w:p>
            <w:pPr>
              <w:spacing w:after="0"/>
              <w:rPr>
                <w:sz w:val="1"/>
                <w:szCs w:val="1"/>
                <w:color w:val="auto"/>
              </w:rPr>
            </w:pPr>
          </w:p>
        </w:tc>
      </w:tr>
      <w:tr>
        <w:trPr>
          <w:trHeight w:val="178"/>
        </w:trPr>
        <w:tc>
          <w:tcPr>
            <w:tcW w:w="240" w:type="dxa"/>
            <w:vAlign w:val="bottom"/>
          </w:tcPr>
          <w:p>
            <w:pPr>
              <w:spacing w:after="0"/>
              <w:rPr>
                <w:sz w:val="15"/>
                <w:szCs w:val="15"/>
                <w:color w:val="auto"/>
              </w:rPr>
            </w:pPr>
          </w:p>
        </w:tc>
        <w:tc>
          <w:tcPr>
            <w:tcW w:w="4760" w:type="dxa"/>
            <w:vAlign w:val="bottom"/>
            <w:gridSpan w:val="2"/>
          </w:tcPr>
          <w:p>
            <w:pPr>
              <w:ind w:left="100"/>
              <w:spacing w:after="0" w:line="177" w:lineRule="exact"/>
              <w:rPr>
                <w:sz w:val="20"/>
                <w:szCs w:val="20"/>
                <w:color w:val="auto"/>
              </w:rPr>
            </w:pPr>
            <w:r>
              <w:rPr>
                <w:rFonts w:ascii="Times New Roman" w:cs="Times New Roman" w:eastAsia="Times New Roman" w:hAnsi="Times New Roman"/>
                <w:sz w:val="18"/>
                <w:szCs w:val="18"/>
                <w:color w:val="auto"/>
              </w:rPr>
              <w:t>Net income available to common stockholders - if-converted</w:t>
            </w:r>
          </w:p>
        </w:tc>
        <w:tc>
          <w:tcPr>
            <w:tcW w:w="4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35,873</w:t>
            </w:r>
          </w:p>
        </w:tc>
        <w:tc>
          <w:tcPr>
            <w:tcW w:w="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60,008</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173,392</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206,560</w:t>
            </w:r>
          </w:p>
        </w:tc>
        <w:tc>
          <w:tcPr>
            <w:tcW w:w="0" w:type="dxa"/>
            <w:vAlign w:val="bottom"/>
          </w:tcPr>
          <w:p>
            <w:pPr>
              <w:spacing w:after="0"/>
              <w:rPr>
                <w:sz w:val="1"/>
                <w:szCs w:val="1"/>
                <w:color w:val="auto"/>
              </w:rPr>
            </w:pPr>
          </w:p>
        </w:tc>
      </w:tr>
      <w:tr>
        <w:trPr>
          <w:trHeight w:val="261"/>
        </w:trPr>
        <w:tc>
          <w:tcPr>
            <w:tcW w:w="240" w:type="dxa"/>
            <w:vAlign w:val="bottom"/>
          </w:tcPr>
          <w:p>
            <w:pPr>
              <w:spacing w:after="0"/>
              <w:rPr>
                <w:sz w:val="22"/>
                <w:szCs w:val="22"/>
                <w:color w:val="auto"/>
              </w:rPr>
            </w:pPr>
          </w:p>
        </w:tc>
        <w:tc>
          <w:tcPr>
            <w:tcW w:w="4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method</w:t>
            </w:r>
          </w:p>
        </w:tc>
        <w:tc>
          <w:tcPr>
            <w:tcW w:w="400" w:type="dxa"/>
            <w:vAlign w:val="bottom"/>
            <w:gridSpan w:val="2"/>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40" w:type="dxa"/>
            <w:vAlign w:val="bottom"/>
            <w:vMerge w:val="restart"/>
          </w:tcPr>
          <w:p>
            <w:pPr>
              <w:spacing w:after="0"/>
              <w:rPr>
                <w:sz w:val="17"/>
                <w:szCs w:val="17"/>
                <w:color w:val="auto"/>
              </w:rPr>
            </w:pPr>
          </w:p>
        </w:tc>
        <w:tc>
          <w:tcPr>
            <w:tcW w:w="200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basic (1)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Effect of dilutive equity-based compensation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dilutive put rights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0" w:type="dxa"/>
            <w:vAlign w:val="bottom"/>
          </w:tcPr>
          <w:p>
            <w:pPr>
              <w:spacing w:after="0"/>
              <w:rPr>
                <w:sz w:val="1"/>
                <w:szCs w:val="1"/>
                <w:color w:val="auto"/>
              </w:rPr>
            </w:pPr>
          </w:p>
        </w:tc>
      </w:tr>
      <w:tr>
        <w:trPr>
          <w:trHeight w:val="249"/>
        </w:trPr>
        <w:tc>
          <w:tcPr>
            <w:tcW w:w="240" w:type="dxa"/>
            <w:vAlign w:val="bottom"/>
          </w:tcPr>
          <w:p>
            <w:pPr>
              <w:spacing w:after="0"/>
              <w:rPr>
                <w:sz w:val="21"/>
                <w:szCs w:val="21"/>
                <w:color w:val="auto"/>
              </w:rPr>
            </w:pPr>
          </w:p>
        </w:tc>
        <w:tc>
          <w:tcPr>
            <w:tcW w:w="47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diluted (1)</w:t>
            </w:r>
          </w:p>
        </w:tc>
        <w:tc>
          <w:tcPr>
            <w:tcW w:w="3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67,335</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63,901</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65,463</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63,535</w:t>
            </w:r>
          </w:p>
        </w:tc>
        <w:tc>
          <w:tcPr>
            <w:tcW w:w="0" w:type="dxa"/>
            <w:vAlign w:val="bottom"/>
          </w:tcPr>
          <w:p>
            <w:pPr>
              <w:spacing w:after="0"/>
              <w:rPr>
                <w:sz w:val="1"/>
                <w:szCs w:val="1"/>
                <w:color w:val="auto"/>
              </w:rPr>
            </w:pPr>
          </w:p>
        </w:tc>
      </w:tr>
      <w:tr>
        <w:trPr>
          <w:trHeight w:val="197"/>
        </w:trPr>
        <w:tc>
          <w:tcPr>
            <w:tcW w:w="240" w:type="dxa"/>
            <w:vAlign w:val="bottom"/>
            <w:vMerge w:val="restart"/>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income per share available to common stockholders</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per share available to common stockholders</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108"/>
        </w:trPr>
        <w:tc>
          <w:tcPr>
            <w:tcW w:w="24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2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20" w:right="85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shares for the 2025 periods include the issuance of approximately 3.0 million shares of the Company’s common stock in May 2025.</w:t>
      </w:r>
    </w:p>
    <w:p>
      <w:pPr>
        <w:spacing w:after="0" w:line="16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As more fully discussed in Note 1 to the consolidated financial statements included in the Company’s Annual Report on Form 10-K for the year ended December 31, 2024, although currently not exercisable, the minority investor of OEG has certain put rights (the “OEG Put Rights”) to require the Company to purchase the minority investor’s equity interest in OEG, which the Company may pay in cash or Company stock at the Company’s option. The Company calculated potential dilution for the OEG Put Rights based on the if-converted method, which assumes the OEG Put Rights were converted on the first day of the period or the date of issuance and the minority investor’s noncontrolling equity interest was redeemed in exchange for shares of the Company’s common stock.</w:t>
      </w:r>
    </w:p>
    <w:p>
      <w:pPr>
        <w:spacing w:after="0" w:line="14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operating partnership units (“OP Units”) held by the noncontrolling interest holders in RHP Hotel Properties, LP (the “Operating Partnership”) have been excluded from the denominator of the diluted income per share calculation for the three and nine months ended September 30, 2025 and 2024 as there would be no effect on the calculation of diluted income per share because the income or loss attributable to the OP Units held by the noncontrolling interest holders would also be added or subtracted to derive net income available to common stockholders.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ACCUMULATED OTHER COMPREHENSIVE LOSS:</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Company’s balance in accumulated other comprehensive loss is comprised of amounts related to the Company’s frozen noncontributory defined benefit pension plan, interest rate derivatives designated as cash flow hedges related to the Company’s outstanding debt as discussed in Note 8, “Debt,” and amounts related to an other-than-temporary impairment of a held-to-maturity investment that existed prior to 2020 with respect to the notes receivable discussed in Note 7, “Notes Receivable,” to the condensed consolidated financial statements included herein.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loss by component for the nine months ended September 30, 2025 and 2024 consisted of the following (in thousands):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8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2024</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(15,172)</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Gains arising during period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03"/>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4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other comprehensive income</w:t>
            </w:r>
          </w:p>
        </w:tc>
        <w:tc>
          <w:tcPr>
            <w:tcW w:w="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Balance, September 30, 2025</w:t>
            </w:r>
          </w:p>
        </w:tc>
        <w:tc>
          <w:tcPr>
            <w:tcW w:w="4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(11,064)</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(2,509)</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8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60" w:type="dxa"/>
            <w:vAlign w:val="bottom"/>
            <w:gridSpan w:val="2"/>
            <w:shd w:val="clear" w:color="auto" w:fill="CCEEFF"/>
          </w:tcPr>
          <w:p>
            <w:pPr>
              <w:spacing w:after="0"/>
              <w:rPr>
                <w:sz w:val="17"/>
                <w:szCs w:val="17"/>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(19,387)</w:t>
            </w:r>
          </w:p>
        </w:tc>
        <w:tc>
          <w:tcPr>
            <w:tcW w:w="0" w:type="dxa"/>
            <w:vAlign w:val="bottom"/>
          </w:tcPr>
          <w:p>
            <w:pPr>
              <w:spacing w:after="0"/>
              <w:rPr>
                <w:sz w:val="1"/>
                <w:szCs w:val="1"/>
                <w:color w:val="auto"/>
              </w:rPr>
            </w:pPr>
          </w:p>
        </w:tc>
      </w:tr>
      <w:tr>
        <w:trPr>
          <w:trHeight w:val="202"/>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Gains arising during period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4,577</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03"/>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4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other comprehensive income</w:t>
            </w:r>
          </w:p>
        </w:tc>
        <w:tc>
          <w:tcPr>
            <w:tcW w:w="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Balance, September 30, 2024</w:t>
            </w:r>
          </w:p>
        </w:tc>
        <w:tc>
          <w:tcPr>
            <w:tcW w:w="4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(12,516)</w:t>
            </w:r>
          </w:p>
        </w:tc>
        <w:tc>
          <w:tcPr>
            <w:tcW w:w="1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14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60" w:type="dxa"/>
            <w:vAlign w:val="bottom"/>
            <w:gridSpan w:val="2"/>
          </w:tcPr>
          <w:p>
            <w:pPr>
              <w:spacing w:after="0"/>
              <w:rPr>
                <w:sz w:val="17"/>
                <w:szCs w:val="17"/>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at September 30, 2025 and December 31, 2024 is summarized as follows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9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727,648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613,870</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5,213,994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4,593,839</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1,513,664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1,329,039</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Right-of-use finance lease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181,171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110,897</w:t>
            </w: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7,638,318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6,648,662</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(2,705,320)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(2,524,280)</w:t>
            </w:r>
          </w:p>
        </w:tc>
      </w:tr>
      <w:tr>
        <w:trPr>
          <w:trHeight w:val="21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4,932,998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4,124,382</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NOTES RECEIVABLE:</w:t>
      </w:r>
    </w:p>
    <w:p>
      <w:pPr>
        <w:spacing w:after="0" w:line="189" w:lineRule="exact"/>
        <w:rPr>
          <w:sz w:val="20"/>
          <w:szCs w:val="20"/>
          <w:color w:val="auto"/>
        </w:rPr>
      </w:pPr>
    </w:p>
    <w:p>
      <w:pPr>
        <w:ind w:left="60" w:right="99"/>
        <w:spacing w:after="0" w:line="272" w:lineRule="auto"/>
        <w:rPr>
          <w:sz w:val="20"/>
          <w:szCs w:val="20"/>
          <w:color w:val="auto"/>
        </w:rPr>
      </w:pPr>
      <w:r>
        <w:rPr>
          <w:rFonts w:ascii="Times New Roman" w:cs="Times New Roman" w:eastAsia="Times New Roman" w:hAnsi="Times New Roman"/>
          <w:sz w:val="17"/>
          <w:szCs w:val="17"/>
          <w:color w:val="auto"/>
        </w:rPr>
        <w:t>As further discussed in the Company’s Annual Report on Form 10-K for the year ended December 31, 2024, in connection with the development of Gaylord National, the Company holds two issuances of governmental bonds (“Series A bond” and “Series B bond”) with a total carrying value and approximate fair value of $52.4 million and $57.8 million at September 30, 2025 and December 31, 2024, respectively, net of credit loss reserve of $38.0 million at each of September 30, 2025 and December 31, 2024. The Company receives debt service and principal payments thereon, payable from property tax increments, hotel taxes and special hotel rental taxes generated from Gaylord National through the maturity dates of July 1, 2034 and September 1, 2037, respectively. Interest income is recorded on an accrual basis to the extent that such amounts are expected to be collected. During the periods presented, the Company has accrued interest only on the Series A bond.</w:t>
      </w:r>
    </w:p>
    <w:p>
      <w:pPr>
        <w:spacing w:after="0" w:line="145" w:lineRule="exact"/>
        <w:rPr>
          <w:sz w:val="20"/>
          <w:szCs w:val="20"/>
          <w:color w:val="auto"/>
        </w:rPr>
      </w:pPr>
    </w:p>
    <w:p>
      <w:pPr>
        <w:jc w:val="both"/>
        <w:ind w:left="60" w:right="279"/>
        <w:spacing w:after="0" w:line="281" w:lineRule="auto"/>
        <w:rPr>
          <w:sz w:val="20"/>
          <w:szCs w:val="20"/>
          <w:color w:val="auto"/>
        </w:rPr>
      </w:pPr>
      <w:r>
        <w:rPr>
          <w:rFonts w:ascii="Times New Roman" w:cs="Times New Roman" w:eastAsia="Times New Roman" w:hAnsi="Times New Roman"/>
          <w:sz w:val="17"/>
          <w:szCs w:val="17"/>
          <w:color w:val="auto"/>
        </w:rPr>
        <w:t>The Company has the intent and ability to hold these bonds to maturity. The Company’s quarterly assessment of credit losses considers the estimate of projected tax revenues that will service the bonds over their remaining terms. These tax revenue projections are updated each quarter to reflect updated industry projections as to future anticipated operations of the hotel. As a result of reduced tax revenue projections over the life of the bonds as well as certain cumulative priority</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payments due to others, the Series B bond is fully reserved. The Series A bond is of higher priority than other tranches which fall between the Company’s two issuances.</w:t>
      </w:r>
    </w:p>
    <w:p>
      <w:pPr>
        <w:spacing w:after="0" w:line="135"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 recorded interest income of $1.0 million and $1.1 million, respectively, and during the nine months ended September 30, 2025 and 2024, the Company recorded interest income of $3.3 million and $3.5 million, respectively, on these bonds. The Company received payments of $8.8 million during each of the nine months ended September 30, 2025 and 2024 relating to these notes receivable.</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89"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auto"/>
        </w:rPr>
        <w:t>The Company’s debt and finance lease obligations at September 30, 2025 and December 31, 2024 consisted of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$700M Revolving Credit Facility, interest at SOFR plus 1.50%, maturing May 18, 2027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Term Loan B, interest at SOFR plus 2.00%, maturing May 18, 2030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292,791</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interest at 4.75%, maturing October 15, 2027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interest at 7.25%, maturing July 15, 2028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interest at 4.50%, maturing February 15, 2029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interest at 6.50%, maturing April 1, 2032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interest at 6.50%, maturing June 15, 2033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$80M OEG Revolver, interest at SOFR plus 3.50%, maturing June 28, 2029</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OEG Term Loan, interest at SOFR plus 3.50%, maturing June 28, 2031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299,250</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Block 21 CMBS Loan, interest at 5.58%, original maturity January 5, 2026</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128,967</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(51,484)</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discounts and premiums, net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(12,183)</w:t>
            </w:r>
          </w:p>
        </w:tc>
      </w:tr>
      <w:tr>
        <w:trPr>
          <w:trHeight w:val="210"/>
        </w:trPr>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3,976,019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3,378,396</w:t>
            </w:r>
          </w:p>
        </w:tc>
      </w:tr>
      <w:tr>
        <w:trPr>
          <w:trHeight w:val="20"/>
        </w:trPr>
        <w:tc>
          <w:tcPr>
            <w:tcW w:w="6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Amounts due within one year of the balance sheet date consist of amortization payments for the term loan B of 1.0% of the refinanced $293.5 million principal balance and amortization payments for the OEG term loan of approximately 1.0% of the refinanced $428.5 million principal balance.</w:t>
      </w:r>
    </w:p>
    <w:p>
      <w:pPr>
        <w:spacing w:after="0" w:line="149" w:lineRule="exact"/>
        <w:rPr>
          <w:sz w:val="20"/>
          <w:szCs w:val="20"/>
          <w:color w:val="auto"/>
        </w:rPr>
      </w:pPr>
    </w:p>
    <w:p>
      <w:pPr>
        <w:ind w:left="60" w:right="999"/>
        <w:spacing w:after="0" w:line="453" w:lineRule="auto"/>
        <w:rPr>
          <w:sz w:val="20"/>
          <w:szCs w:val="20"/>
          <w:color w:val="auto"/>
        </w:rPr>
      </w:pPr>
      <w:r>
        <w:rPr>
          <w:rFonts w:ascii="Times New Roman" w:cs="Times New Roman" w:eastAsia="Times New Roman" w:hAnsi="Times New Roman"/>
          <w:sz w:val="18"/>
          <w:szCs w:val="18"/>
          <w:color w:val="auto"/>
        </w:rPr>
        <w:t xml:space="preserve">At September 30, 2025, there were no defaults under the covenants related to the Company’s outstanding debt. </w:t>
      </w:r>
      <w:r>
        <w:rPr>
          <w:rFonts w:ascii="Times New Roman" w:cs="Times New Roman" w:eastAsia="Times New Roman" w:hAnsi="Times New Roman"/>
          <w:sz w:val="18"/>
          <w:szCs w:val="18"/>
          <w:i w:val="1"/>
          <w:iCs w:val="1"/>
          <w:color w:val="auto"/>
        </w:rPr>
        <w:t>$625 Million 6.50% Senior Notes due 2033</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June 4, 2025, the Operating Partnership and RHP Finance Corporation (collectively, the “issuing subsidiaries”)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completed the private placement of $625.0 million in aggregate principal amount of 6.50% senior notes due 2033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“$625 Million 6.50% Senior Notes”), which are guaranteed by the Company and its subsidiaries that guarantee the Credit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$625 Million 6.50% Senior Notes and guarantees were issued pursuant to an indenture by and among the issuing</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subsidiaries, the guarantors and U.S. Bank Trust Company, National Association, as trustee. The $625 Million 6.50%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Senior Notes have a maturity date of June 15, 2033 and bear interest at 6.50% per annum, payable semi-annually in cash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arrears on June 15 and December 15 each year, beginning on December 15, 2025. The $625 Million 6.50% Senior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Notes are general unsecured and unsubordinated obligations of the issuing subsidiaries and rank equal in right of payment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 such subsidiaries’ existing and future senior unsecured indebtedness, including the Company’s $700 million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aggregate principal amount of 4.75% senior notes due 2027, $400 million in aggregate principal amount of 7.25% senior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notes due 2028, $600 million in aggregate principal amount of 4.50% senior notes due 2029, and $1 billion in aggregate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amount of 6.50% senior notes due 2032, and senior in right of payment to future subordinated indebtedness, if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The $625 Million 6.50% Senior Notes are effectively subordinated to the issuing subsidiaries’ secured indebtedness, including the Operating Partnership’s existing credit facility, to the extent of the value of the assets securing such indebtedness and structurally subordinated to all indebtedness and other obligations of the Operating Partnership’s subsidiaries that do not guarantee the $625 Million 6.50% Senior Notes. The guarantees rank equally in right of payment with the applicable guarantor’s existing and future senior unsecured indebtedness and senior in right of payment to any future subordinated indebtedness of such guarantor. The $625 Million 6.50%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$625 Million 6.50% Senior Notes.</w:t>
      </w:r>
    </w:p>
    <w:p>
      <w:pPr>
        <w:spacing w:after="0" w:line="161"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net proceeds from the issuance of the $625 Million 6.50% Senior Notes totaled approximately $614 million, after deducting the initial purchasers’ discounts, commissions and offering expenses. The Company used these net proceeds to fund a portion of the purchase price for JW Marriott Desert Ridge discussed in Note 2.</w:t>
      </w:r>
    </w:p>
    <w:p>
      <w:pPr>
        <w:spacing w:after="0" w:line="135" w:lineRule="exact"/>
        <w:rPr>
          <w:sz w:val="20"/>
          <w:szCs w:val="20"/>
          <w:color w:val="auto"/>
        </w:rPr>
      </w:pPr>
    </w:p>
    <w:p>
      <w:pPr>
        <w:ind w:left="60" w:right="199"/>
        <w:spacing w:after="0" w:line="276" w:lineRule="auto"/>
        <w:rPr>
          <w:sz w:val="20"/>
          <w:szCs w:val="20"/>
          <w:color w:val="auto"/>
        </w:rPr>
      </w:pPr>
      <w:r>
        <w:rPr>
          <w:rFonts w:ascii="Times New Roman" w:cs="Times New Roman" w:eastAsia="Times New Roman" w:hAnsi="Times New Roman"/>
          <w:sz w:val="17"/>
          <w:szCs w:val="17"/>
          <w:color w:val="auto"/>
        </w:rPr>
        <w:t>The $625 Million 6.50% Senior Notes are redeemable before June 15, 2028, in whole or in part, at 100.00%, plus accrued and unpaid interest thereon to, but not including, the redemption date, plus a make-whole premium. The $625 Million</w:t>
      </w:r>
    </w:p>
    <w:p>
      <w:pPr>
        <w:spacing w:after="0" w:line="1"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6.50% Senior Notes will be redeemable, in whole or in part, at any time on or after June 15, 2028 at a redemption price expressed as a percentage of the principal amount thereof, which percentage is 103.250%, 101.625%, and 100.000% beginning on June 15 of 2028, 2029, and 2030, respectively, plus accrued and unpaid interest thereon to, but not including, the redemption date.</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OEG Credit Facility</w:t>
      </w:r>
    </w:p>
    <w:p>
      <w:pPr>
        <w:spacing w:after="0" w:line="200"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On April 28, 2025, certain OEG subsidiaries borrowed an incremental term loan in an aggregate principal amount of $130 million (the “Incremental OEG Loan”) on the same terms as the existing term loan under the OEG credit facility. The net proceeds of the Incremental OEG Loan, together with cash on hand, were used to defease the non-recourse term loan secured by a mortgage on Block 21. As increased by the Incremental OEG Loan, the OEG credit facility consists of (i) a senior secured term loan facility in an aggregate principal amount equal to $428.5 million and (ii) a senior secured revolving credit facility in an aggregate principal amount not to exceed $80.0 million. No changes were made to the applicable interest rates or maturity date of any indebtedness under the OEG credit facility. In addition, the terms of the Incremental OEG Loan confirm that the annual amortization under the OEG term loan is approximately 1% of the refinanced $428.5 million outstanding principal amount, with the balance due at maturity.</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Block 21 CMBS Loan</w:t>
      </w:r>
    </w:p>
    <w:p>
      <w:pPr>
        <w:spacing w:after="0" w:line="187"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In connection with the purchase of Block 21 in May 2022, a subsidiary of the Company assumed the $136 million, ten-year, non-recourse loan secured by a mortgage on Block 21 (the “Block 21 CMBS Loan”). The proceeds of the Incremental OEG Loan described above were used to defease the Block 21 CMBS Loan in full in April 2025.</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8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has entered into interest rate swaps to manage interest rate risk associated with a portion of the OEG term loan. These swaps have been designated as cash flow hedges whereby the Company receives variable-rate amounts in exchange for fixed-rate payments over the life of the agreements without exchange of the underlying principal amount. The Company does not use derivatives for trading or speculative purposes and currently does not hold any derivatives that are not designated as hedges.</w:t>
      </w:r>
    </w:p>
    <w:p>
      <w:pPr>
        <w:spacing w:after="0" w:line="14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For derivatives designated as and that qualify as cash flow hedges of interest rate risk, the gain or loss on the derivative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$0.6 million will be reclassified from accumulated other comprehensive loss to a decrease in interest expense in the next twelve months.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derivative financial instruments at September 30, 2025 and December 31, 2024 is as follows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73"/>
        </w:trPr>
        <w:tc>
          <w:tcPr>
            <w:tcW w:w="1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Strike</w:t>
            </w: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40" w:type="dxa"/>
            <w:vAlign w:val="bottom"/>
          </w:tcPr>
          <w:p>
            <w:pPr>
              <w:spacing w:after="0"/>
              <w:rPr>
                <w:sz w:val="15"/>
                <w:szCs w:val="15"/>
                <w:color w:val="auto"/>
              </w:rPr>
            </w:pPr>
          </w:p>
        </w:tc>
        <w:tc>
          <w:tcPr>
            <w:tcW w:w="178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Asset (Liability) Balance</w:t>
            </w:r>
          </w:p>
        </w:tc>
        <w:tc>
          <w:tcPr>
            <w:tcW w:w="0" w:type="dxa"/>
            <w:vAlign w:val="bottom"/>
          </w:tcPr>
          <w:p>
            <w:pPr>
              <w:spacing w:after="0"/>
              <w:rPr>
                <w:sz w:val="1"/>
                <w:szCs w:val="1"/>
                <w:color w:val="auto"/>
              </w:rPr>
            </w:pPr>
          </w:p>
        </w:tc>
      </w:tr>
      <w:tr>
        <w:trPr>
          <w:trHeight w:val="117"/>
        </w:trPr>
        <w:tc>
          <w:tcPr>
            <w:tcW w:w="20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Hedged Debt</w:t>
            </w:r>
          </w:p>
        </w:tc>
        <w:tc>
          <w:tcPr>
            <w:tcW w:w="12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640" w:type="dxa"/>
            <w:vAlign w:val="bottom"/>
            <w:gridSpan w:val="2"/>
            <w:vMerge w:val="continue"/>
          </w:tcPr>
          <w:p>
            <w:pPr>
              <w:spacing w:after="0"/>
              <w:rPr>
                <w:sz w:val="10"/>
                <w:szCs w:val="10"/>
                <w:color w:val="auto"/>
              </w:rPr>
            </w:pPr>
          </w:p>
        </w:tc>
        <w:tc>
          <w:tcPr>
            <w:tcW w:w="10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12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820" w:type="dxa"/>
            <w:vAlign w:val="bottom"/>
            <w:gridSpan w:val="2"/>
            <w:vMerge w:val="continue"/>
          </w:tcPr>
          <w:p>
            <w:pPr>
              <w:spacing w:after="0"/>
              <w:rPr>
                <w:sz w:val="10"/>
                <w:szCs w:val="10"/>
                <w:color w:val="auto"/>
              </w:rPr>
            </w:pPr>
          </w:p>
        </w:tc>
        <w:tc>
          <w:tcPr>
            <w:tcW w:w="100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2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OEG Term Loan</w:t>
            </w:r>
          </w:p>
        </w:tc>
        <w:tc>
          <w:tcPr>
            <w:tcW w:w="4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Interest Rate Swap</w:t>
            </w:r>
          </w:p>
        </w:tc>
        <w:tc>
          <w:tcPr>
            <w:tcW w:w="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4.5330%</w:t>
            </w:r>
          </w:p>
        </w:tc>
        <w:tc>
          <w:tcPr>
            <w:tcW w:w="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3-month SOFR</w:t>
            </w:r>
          </w:p>
        </w:tc>
        <w:tc>
          <w:tcPr>
            <w:tcW w:w="4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December 18, 2025</w:t>
            </w:r>
          </w:p>
        </w:tc>
        <w:tc>
          <w:tcPr>
            <w:tcW w:w="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100,000</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OEG Term Loan</w:t>
            </w:r>
          </w:p>
        </w:tc>
        <w:tc>
          <w:tcPr>
            <w:tcW w:w="12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3.2140%</w:t>
            </w:r>
          </w:p>
        </w:tc>
        <w:tc>
          <w:tcPr>
            <w:tcW w:w="4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3-month SOFR</w:t>
            </w:r>
          </w:p>
        </w:tc>
        <w:tc>
          <w:tcPr>
            <w:tcW w:w="12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December 20, 2028</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OEG Term Loan</w:t>
            </w:r>
          </w:p>
        </w:tc>
        <w:tc>
          <w:tcPr>
            <w:tcW w:w="12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3.1700%</w:t>
            </w:r>
          </w:p>
        </w:tc>
        <w:tc>
          <w:tcPr>
            <w:tcW w:w="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3-month SOFR</w:t>
            </w:r>
          </w:p>
        </w:tc>
        <w:tc>
          <w:tcPr>
            <w:tcW w:w="122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December 20, 2028</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125,000</w:t>
            </w: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512</w:t>
            </w: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(386)</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Derivative financial instruments in an asset position are included in prepaid expenses and other assets, and those in a liability position are included in other liabilities in the accompanying condensed consolidated balance sheets.</w:t>
      </w:r>
    </w:p>
    <w:p>
      <w:pPr>
        <w:spacing w:after="0" w:line="121"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effect of the Company’s derivative financial instruments on the accompanying condensed consolidated statements of operations for the respective periods is as follows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6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08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Accumulated</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1580" w:type="dxa"/>
            <w:vAlign w:val="bottom"/>
            <w:gridSpan w:val="2"/>
            <w:vMerge w:val="continue"/>
          </w:tcPr>
          <w:p>
            <w:pPr>
              <w:spacing w:after="0"/>
              <w:rPr>
                <w:sz w:val="15"/>
                <w:szCs w:val="15"/>
                <w:color w:val="auto"/>
              </w:rPr>
            </w:pPr>
          </w:p>
        </w:tc>
        <w:tc>
          <w:tcPr>
            <w:tcW w:w="208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OCI into Income (Expense)</w:t>
            </w: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4"/>
          </w:tcPr>
          <w:p>
            <w:pPr>
              <w:jc w:val="center"/>
              <w:ind w:right="5"/>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0"/>
                <w:szCs w:val="10"/>
                <w:color w:val="auto"/>
              </w:rPr>
            </w:pPr>
          </w:p>
        </w:tc>
        <w:tc>
          <w:tcPr>
            <w:tcW w:w="1580" w:type="dxa"/>
            <w:vAlign w:val="bottom"/>
            <w:gridSpan w:val="2"/>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660" w:type="dxa"/>
            <w:vAlign w:val="bottom"/>
            <w:tcBorders>
              <w:top w:val="single" w:sz="8" w:color="auto"/>
            </w:tcBorders>
            <w:gridSpan w:val="4"/>
          </w:tcPr>
          <w:p>
            <w:pPr>
              <w:jc w:val="center"/>
              <w:ind w:left="228"/>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OCI</w:t>
            </w:r>
          </w:p>
        </w:tc>
        <w:tc>
          <w:tcPr>
            <w:tcW w:w="1660" w:type="dxa"/>
            <w:vAlign w:val="bottom"/>
            <w:gridSpan w:val="4"/>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4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into Income (Expense)</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Derivatives in Cash Flow Hedging Relationships:</w:t>
            </w: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rate swaps</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w:t>
            </w:r>
          </w:p>
        </w:tc>
        <w:tc>
          <w:tcPr>
            <w:tcW w:w="4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(1,048)</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Interest expense</w:t>
            </w:r>
          </w:p>
        </w:tc>
        <w:tc>
          <w:tcPr>
            <w:tcW w:w="640" w:type="dxa"/>
            <w:vAlign w:val="bottom"/>
          </w:tcPr>
          <w:p>
            <w:pPr>
              <w:jc w:val="right"/>
              <w:ind w:right="488"/>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40" w:type="dxa"/>
            <w:vAlign w:val="bottom"/>
          </w:tcPr>
          <w:p>
            <w:pPr>
              <w:spacing w:after="0"/>
              <w:rPr>
                <w:sz w:val="17"/>
                <w:szCs w:val="17"/>
                <w:color w:val="auto"/>
              </w:rPr>
            </w:pPr>
          </w:p>
        </w:tc>
        <w:tc>
          <w:tcPr>
            <w:tcW w:w="660" w:type="dxa"/>
            <w:vAlign w:val="bottom"/>
          </w:tcPr>
          <w:p>
            <w:pPr>
              <w:jc w:val="right"/>
              <w:ind w:right="505"/>
              <w:spacing w:after="0"/>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600" w:type="dxa"/>
            <w:vAlign w:val="bottom"/>
            <w:tcBorders>
              <w:top w:val="single" w:sz="8" w:color="CCEEFF"/>
              <w:bottom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Total derivatives</w:t>
            </w:r>
          </w:p>
        </w:tc>
        <w:tc>
          <w:tcPr>
            <w:tcW w:w="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656</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(1,048)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ind w:right="488"/>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29</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ind w:right="505"/>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190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600" w:type="dxa"/>
            <w:vAlign w:val="bottom"/>
          </w:tcPr>
          <w:p>
            <w:pPr>
              <w:spacing w:after="0"/>
              <w:rPr>
                <w:sz w:val="24"/>
                <w:szCs w:val="24"/>
                <w:color w:val="auto"/>
              </w:rPr>
            </w:pPr>
          </w:p>
        </w:tc>
        <w:tc>
          <w:tcPr>
            <w:tcW w:w="16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 on</w:t>
            </w: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08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Accumulated</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580" w:type="dxa"/>
            <w:vAlign w:val="bottom"/>
            <w:gridSpan w:val="2"/>
            <w:vMerge w:val="continue"/>
          </w:tcPr>
          <w:p>
            <w:pPr>
              <w:spacing w:after="0"/>
              <w:rPr>
                <w:sz w:val="15"/>
                <w:szCs w:val="15"/>
                <w:color w:val="auto"/>
              </w:rPr>
            </w:pPr>
          </w:p>
        </w:tc>
        <w:tc>
          <w:tcPr>
            <w:tcW w:w="208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OCI into Income (Expense)</w:t>
            </w: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4"/>
          </w:tcPr>
          <w:p>
            <w:pPr>
              <w:jc w:val="center"/>
              <w:ind w:right="5"/>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0"/>
                <w:szCs w:val="10"/>
                <w:color w:val="auto"/>
              </w:rPr>
            </w:pPr>
          </w:p>
        </w:tc>
        <w:tc>
          <w:tcPr>
            <w:tcW w:w="158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660" w:type="dxa"/>
            <w:vAlign w:val="bottom"/>
            <w:tcBorders>
              <w:top w:val="single" w:sz="8" w:color="auto"/>
            </w:tcBorders>
            <w:gridSpan w:val="4"/>
          </w:tcPr>
          <w:p>
            <w:pPr>
              <w:jc w:val="center"/>
              <w:ind w:left="228"/>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OCI</w:t>
            </w:r>
          </w:p>
        </w:tc>
        <w:tc>
          <w:tcPr>
            <w:tcW w:w="1660" w:type="dxa"/>
            <w:vAlign w:val="bottom"/>
            <w:gridSpan w:val="4"/>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4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into Income (Expense)</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Derivatives in Cash Flow Hedging Relationships:</w:t>
            </w: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Borders>
              <w:bottom w:val="single" w:sz="8" w:color="CCEEFF"/>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Interest rate swaps</w:t>
            </w:r>
          </w:p>
        </w:tc>
        <w:tc>
          <w:tcPr>
            <w:tcW w:w="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756</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1,278</w:t>
            </w: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640" w:type="dxa"/>
            <w:vAlign w:val="bottom"/>
            <w:tcBorders>
              <w:bottom w:val="single" w:sz="8" w:color="auto"/>
            </w:tcBorders>
          </w:tcPr>
          <w:p>
            <w:pPr>
              <w:jc w:val="right"/>
              <w:ind w:right="488"/>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135</w:t>
            </w:r>
          </w:p>
        </w:tc>
        <w:tc>
          <w:tcPr>
            <w:tcW w:w="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50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939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derivatives</w:t>
            </w:r>
          </w:p>
        </w:tc>
        <w:tc>
          <w:tcPr>
            <w:tcW w:w="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756</w:t>
            </w: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1,278</w:t>
            </w:r>
          </w:p>
        </w:tc>
        <w:tc>
          <w:tcPr>
            <w:tcW w:w="10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488"/>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135</w:t>
            </w:r>
          </w:p>
        </w:tc>
        <w:tc>
          <w:tcPr>
            <w:tcW w:w="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505"/>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939</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Reclassifications from accumulated other comprehensive loss for interest rate swaps are shown in the table above and included in interest expense. Total consolidated interest expense for the three months ended September 30, 2025 and 2024 was $64.9 million and $54.5 million, respectively, and for the nine months ended September 30, 2025 and 2024 was $177.7 million and $171.6 million, respectively.</w:t>
      </w:r>
    </w:p>
    <w:p>
      <w:pPr>
        <w:spacing w:after="0" w:line="153"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At September 30, 2025, the fair value of derivatives in a net liability position including accrued interest but excluding any adjustment for nonperformance risk related to these agreements was $0.1 million. As of September 30, 2025, the Company has not posted any collateral related to these agreements and was not in breach of any agreement provisions. If the Company had breached any of these provisions, it could have been required to settle its obligations under the agreements at the aggregate termination value of $0.1 million. In addition,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DEFERRED MANAGEMENT RIGHTS PROCEEDS:</w:t>
      </w:r>
    </w:p>
    <w:p>
      <w:pPr>
        <w:spacing w:after="0" w:line="189" w:lineRule="exact"/>
        <w:rPr>
          <w:sz w:val="20"/>
          <w:szCs w:val="20"/>
          <w:color w:val="auto"/>
        </w:rPr>
      </w:pPr>
    </w:p>
    <w:p>
      <w:pPr>
        <w:ind w:left="60" w:right="259"/>
        <w:spacing w:after="0" w:line="281" w:lineRule="auto"/>
        <w:rPr>
          <w:sz w:val="20"/>
          <w:szCs w:val="20"/>
          <w:color w:val="auto"/>
        </w:rPr>
      </w:pPr>
      <w:r>
        <w:rPr>
          <w:rFonts w:ascii="Times New Roman" w:cs="Times New Roman" w:eastAsia="Times New Roman" w:hAnsi="Times New Roman"/>
          <w:sz w:val="17"/>
          <w:szCs w:val="17"/>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Management Rights, based on the Company’s estimates of the fair values for the respective components. For financial accounting purposes, the amount related to the Management Rights was deferred and is amortized on a straight-line basis over the 65-year term of the hotel management agreements, including extensions, as a reduction in management fee expense.</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8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is a lessee of a 65.3-acre site in Osceola County, Florida on which Gaylord Palms is located; a 234-acre site in Maricopa County, Arizona on which a portion of JW Marriott Desert Ridge is located; building or land leases for Ole Red Gatlinburg, Ole Red Orlando, Ole Red Tishomingo, Ole Red Nashville International Airport, Ole Red Las Vegas and Category 10 Las Vegas; and various warehouse, general office and other equipment leases. The Gaylord Palms land lease has a term through 2074, which may be extended through January 2101, at the Company’s discretion. The JW Marriott Desert Ridge land lease has a term through 2092. The leases for Ole Red locations range from five to ten years, with renewal options ranging from five to fifty-five years, at the Company’s discretion, with the exception of Ole Red Nashville International Airport, which has no extension option. The lease for Category 10 Las Vegas includes an initial ten-year term, with two, five-year renewal options, at the Company’s discretion. Extension options were not considered reasonably assured to be exercised as of the date of the agreement and, as a result, are not included in the Company’s calculation of its right-of-use assets and lease liabilities.</w:t>
      </w:r>
    </w:p>
    <w:p>
      <w:pPr>
        <w:spacing w:after="0" w:line="192" w:lineRule="exact"/>
        <w:rPr>
          <w:sz w:val="20"/>
          <w:szCs w:val="20"/>
          <w:color w:val="auto"/>
        </w:rPr>
      </w:pPr>
    </w:p>
    <w:p>
      <w:pPr>
        <w:jc w:val="both"/>
        <w:ind w:left="60" w:right="399"/>
        <w:spacing w:after="0" w:line="266" w:lineRule="auto"/>
        <w:rPr>
          <w:sz w:val="20"/>
          <w:szCs w:val="20"/>
          <w:color w:val="auto"/>
        </w:rPr>
      </w:pPr>
      <w:r>
        <w:rPr>
          <w:rFonts w:ascii="Times New Roman" w:cs="Times New Roman" w:eastAsia="Times New Roman" w:hAnsi="Times New Roman"/>
          <w:sz w:val="18"/>
          <w:szCs w:val="18"/>
          <w:color w:val="auto"/>
        </w:rPr>
        <w:t>The terms of the Gaylord Palms lease include variable lease payments based upon net revenues at Gaylord Palms, and certain other of the Company’s leases include rental payments adjusted periodically for inflation. The Company’s lease agreements do not contain any material residual value guarantees or material restrictive covenants.</w:t>
      </w:r>
    </w:p>
    <w:p>
      <w:pPr>
        <w:spacing w:after="0" w:line="176" w:lineRule="exact"/>
        <w:rPr>
          <w:sz w:val="20"/>
          <w:szCs w:val="20"/>
          <w:color w:val="auto"/>
        </w:rPr>
      </w:pPr>
    </w:p>
    <w:p>
      <w:pPr>
        <w:ind w:left="60" w:right="899"/>
        <w:spacing w:after="0" w:line="282" w:lineRule="auto"/>
        <w:rPr>
          <w:sz w:val="20"/>
          <w:szCs w:val="20"/>
          <w:color w:val="auto"/>
        </w:rPr>
      </w:pPr>
      <w:r>
        <w:rPr>
          <w:rFonts w:ascii="Times New Roman" w:cs="Times New Roman" w:eastAsia="Times New Roman" w:hAnsi="Times New Roman"/>
          <w:sz w:val="18"/>
          <w:szCs w:val="18"/>
          <w:color w:val="auto"/>
        </w:rPr>
        <w:t>The Company’s lease costs for the three and nine months ended September 30, 2025 and 2024 are as follows (in thousands):</w:t>
      </w:r>
    </w:p>
    <w:p>
      <w:pPr>
        <w:spacing w:after="0" w:line="15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3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$ 4,746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15,304</w:t>
            </w: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$ 14,313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8"/>
                <w:szCs w:val="18"/>
                <w:color w:val="auto"/>
              </w:rPr>
            </w:pPr>
          </w:p>
        </w:tc>
      </w:tr>
      <w:tr>
        <w:trPr>
          <w:trHeight w:val="216"/>
        </w:trPr>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r>
      <w:tr>
        <w:trPr>
          <w:trHeight w:val="21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$ 4,794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$ 14,457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at September 30, 2025 are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1</w:t>
            </w:r>
          </w:p>
        </w:tc>
        <w:tc>
          <w:tcPr>
            <w:tcW w:w="2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Year 2</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Year 4</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5</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Years thereafter</w:t>
            </w:r>
          </w:p>
        </w:tc>
        <w:tc>
          <w:tcPr>
            <w:tcW w:w="2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622,507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(528,001)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present value of minimum payments</w:t>
            </w:r>
          </w:p>
        </w:tc>
        <w:tc>
          <w:tcPr>
            <w:tcW w:w="2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157,912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100" w:type="dxa"/>
            <w:vAlign w:val="bottom"/>
            <w:vMerge w:val="restart"/>
          </w:tcPr>
          <w:p>
            <w:pPr>
              <w:jc w:val="right"/>
              <w:ind w:right="167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remaining lease term and discount rate for the Company’s leases are as follows:</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0" w:type="dxa"/>
            <w:vAlign w:val="bottom"/>
            <w:vMerge w:val="restart"/>
          </w:tcPr>
          <w:p>
            <w:pPr>
              <w:spacing w:after="0"/>
              <w:rPr>
                <w:sz w:val="19"/>
                <w:szCs w:val="19"/>
                <w:color w:val="auto"/>
              </w:rPr>
            </w:pPr>
          </w:p>
        </w:tc>
        <w:tc>
          <w:tcPr>
            <w:tcW w:w="5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40.3 years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1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2.4 years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14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STOCK PLANS:</w:t>
      </w:r>
    </w:p>
    <w:p>
      <w:pPr>
        <w:spacing w:after="0" w:line="202"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granted 0.2 million restricted stock units with a weighted-average grant date fair value of $100.84 per unit. There were 0.5 million and 0.4 million restricted stock units outstanding at September 30, 2025 and December 31, 2024, respectively.</w:t>
      </w:r>
    </w:p>
    <w:p>
      <w:pPr>
        <w:spacing w:after="0" w:line="135"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Compensation expense for the Company’s equity-based compensation plans was $3.7 million and $3.5 million for the three months ended September 30, 2025 and 2024, respectively, and $10.8 million and $10.7 million for the nine months ended September 30, 2025 and 2024,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89"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The Company elected to be taxed as a REIT effective January 1, 2013, pursuant to the U.S. Internal Revenue Code of 1986, as amended. As a REIT, generally the Company is not subject to federal corporate income taxes on ordinary taxable income and capital gains income from real estate investments that it distributes to its stockholders. The Company continues to be required to pay federal and state corporate income taxes on earnings of its taxable REIT subsidiaries (“TRSs”).</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three months ended September 30, 2025 and 2024, the Company recorded an income tax provision (benefit) of</w:t>
      </w:r>
    </w:p>
    <w:p>
      <w:pPr>
        <w:spacing w:after="0" w:line="27" w:lineRule="exact"/>
        <w:rPr>
          <w:sz w:val="20"/>
          <w:szCs w:val="20"/>
          <w:color w:val="auto"/>
        </w:rPr>
      </w:pPr>
    </w:p>
    <w:p>
      <w:pPr>
        <w:ind w:left="60" w:right="119"/>
        <w:spacing w:after="0" w:line="260" w:lineRule="auto"/>
        <w:rPr>
          <w:sz w:val="20"/>
          <w:szCs w:val="20"/>
          <w:color w:val="auto"/>
        </w:rPr>
      </w:pPr>
      <w:r>
        <w:rPr>
          <w:rFonts w:ascii="Times New Roman" w:cs="Times New Roman" w:eastAsia="Times New Roman" w:hAnsi="Times New Roman"/>
          <w:sz w:val="18"/>
          <w:szCs w:val="18"/>
          <w:color w:val="auto"/>
        </w:rPr>
        <w:t>$(3.6) million and $0.9 million, respectively, related to its TRSs. For the nine months ended September 30, 2025 and 2024, the Company recorded an income tax provision of $8.4 million and $13.7 million, respectively, related to its TRSs.</w:t>
      </w:r>
    </w:p>
    <w:p>
      <w:pPr>
        <w:spacing w:after="0" w:line="141" w:lineRule="exact"/>
        <w:rPr>
          <w:sz w:val="20"/>
          <w:szCs w:val="20"/>
          <w:color w:val="auto"/>
        </w:rPr>
      </w:pPr>
    </w:p>
    <w:p>
      <w:pPr>
        <w:jc w:val="both"/>
        <w:ind w:left="60" w:right="539"/>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The Company is currently evaluating the potential tax implications of the OBBBA, but based on the Company’s preliminary assessment, it does not expect the legislation to have a material impact on the Company’s financial statements.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September 30, 2025 and December 31, 2024, the Company had no unrecognized tax benefits.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8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certain officers, which provide for severance payments upon certain events, including certain terminations in connection with a change of control.</w:t>
      </w:r>
    </w:p>
    <w:p>
      <w:pPr>
        <w:spacing w:after="0" w:line="121"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On April 9, 2024, the Company received service of process in a lawsuit naming the Company and a subsidiary as co-defendants with Marriott, as the manager, and multiple contractors in a personal injury lawsuit filed by individual plaintiffs in Colorado state court. The lawsuit relates to a May 2023 incident at the Gaylord Rockies indoor pool amenity involving the collapse of HVAC equipment. The complaint requests an unspecified amount of damages related to alleged injuries to two guests. The Company intends to vigorously defend the lawsuit and believes it has strong defenses. The lawsuit is in its early stages so the Company cannot predict its likely outcome or estimate the range of possible loss, but the Company does not believe that the outcome will have a material impact on the Company’s financial position.</w:t>
      </w:r>
    </w:p>
    <w:p>
      <w:pPr>
        <w:spacing w:after="0" w:line="162"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In addition, the Company, in the ordinary course of business, is involved in certain legal actions and claims on a variety of matters. It is the opinion of management that such contingencies will not have a material effect on the financial statements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EQUITY</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Offering</w:t>
      </w:r>
    </w:p>
    <w:p>
      <w:pPr>
        <w:spacing w:after="0" w:line="18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In May 2025, the Company completed an underwritten public offering of approximately 3.0 million shares of its common stock, par value $0.01 per share, at a price to the public of $96.20 per share. Net proceeds to the Company, after deducting underwriter discounts and commissions and other expenses paid by the Company, were approximately $275.5 million. The Company used a portion of these proceeds to fund a portion of the purchase price to acquire JW Marriott Desert Ridge as discussed in Note 2 and the remainder for general corporate purposes.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00"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On February 20, 2025, the Company’s board of directors declared the Company’s first quarter 2025 cash dividend in the amount of $1.15 per share of common stock, or an aggregate of approximately $69.5 million in cash, which was paid on April 15, 2025 to stockholders of record as of the close of business on March 31, 2025.</w:t>
      </w:r>
    </w:p>
    <w:p>
      <w:pPr>
        <w:spacing w:after="0" w:line="135"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On May 9, 2025, the Company’s board of directors declared the Company’s second quarter 2025 cash dividend in the amount of $1.15 per share of common stock, or an aggregate of approximately $72.9 million in cash, which was paid on July 15, 2025 to stockholders of record as of the close of business on June 30, 2025.</w:t>
      </w:r>
    </w:p>
    <w:p>
      <w:pPr>
        <w:spacing w:after="0" w:line="135"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On September 17, 2025, the Company’s board of directors declared the Company’s third quarter 2025 cash dividend in the amount of $1.15 per share of common stock, or an aggregate of approximately $72.9 million in cash, which was paid on October 15, 2025 to stockholders of record as of the close of business on September 30, 2025.</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Noncontrolling Interest in the Operating Partnership</w:t>
      </w:r>
    </w:p>
    <w:p>
      <w:pPr>
        <w:spacing w:after="0" w:line="18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 consolidates the Operating Partnership, which is a majority-owned limited partnership that has a noncontrolling interest. The outstanding OP Units held by the noncontrolling limited partners are redeemable for cash, or if the Company so elects, in shares of the Company’s common stock on a one-for-one basis, subject to certain adjustments. At September 30, 2025, 0.4 million outstanding OP Units, or 0.6% of the outstanding OP Units, were held by the noncontrolling limited partners and are included as a component of equity in the accompanying condensed consolidated balance sheets. The Company owns, directly or indirectly, the remaining 99.4% of the outstanding OP Units.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FAIR VALUE MEASUREMENTS:</w:t>
      </w:r>
    </w:p>
    <w:p>
      <w:pPr>
        <w:spacing w:after="0" w:line="20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3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investments held by the Company in connection with its deferred compensation plan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spacing w:after="0" w:line="13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Company’s interest rate swaps consist of over-the-counter swap contracts, which are not traded on a public exchange. The Company determines the fair value of these swap contracts based on a widely accepted valuation methodology of netting the discounted future fixed cash flows and the discounted expected variable cash flows,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15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Company has consistently applied the above valuation techniques in all periods presented and believes it has obtained the most accurate information available for each type of instrument.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on a recurring basis at September 30, 2025 and December 31, 2024, were as follows (in thousands):</w:t>
      </w:r>
    </w:p>
    <w:tbl>
      <w:tblPr>
        <w:tblLayout w:type="fixed"/>
        <w:tblInd w:w="6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880" w:type="dxa"/>
            <w:vAlign w:val="bottom"/>
            <w:gridSpan w:val="4"/>
            <w:vMerge w:val="restart"/>
          </w:tcPr>
          <w:p>
            <w:pPr>
              <w:jc w:val="center"/>
              <w:ind w:left="8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3"/>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44,448</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43,834</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1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80" w:type="dxa"/>
            <w:vAlign w:val="bottom"/>
            <w:gridSpan w:val="4"/>
            <w:vMerge w:val="restart"/>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80" w:type="dxa"/>
            <w:vAlign w:val="bottom"/>
            <w:gridSpan w:val="4"/>
            <w:vMerge w:val="continue"/>
          </w:tcPr>
          <w:p>
            <w:pPr>
              <w:spacing w:after="0"/>
              <w:rPr>
                <w:sz w:val="12"/>
                <w:szCs w:val="12"/>
                <w:color w:val="auto"/>
              </w:rPr>
            </w:pPr>
          </w:p>
        </w:tc>
        <w:tc>
          <w:tcPr>
            <w:tcW w:w="1100" w:type="dxa"/>
            <w:vAlign w:val="bottom"/>
            <w:gridSpan w:val="5"/>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1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40" w:type="dxa"/>
            <w:vAlign w:val="bottom"/>
          </w:tcPr>
          <w:p>
            <w:pPr>
              <w:spacing w:after="0"/>
              <w:rPr>
                <w:sz w:val="18"/>
                <w:szCs w:val="18"/>
                <w:color w:val="auto"/>
              </w:rPr>
            </w:pPr>
          </w:p>
        </w:tc>
        <w:tc>
          <w:tcPr>
            <w:tcW w:w="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remainder of the assets and liabilities held by the Company at September 30, 2025 are not required to be recorded at fair value, and financial assets and liabilities approximate fair value.</w:t>
      </w:r>
    </w:p>
    <w:p>
      <w:pPr>
        <w:spacing w:after="0" w:line="135"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See Note 2, “JW Marriott Desert Ridge Transaction,” for additional disclosures related to the fair value measurements used in the accounting for the purchase of JW Marriott Desert Ridge.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FINANCIAL REPORTING BY BUSINESS SEGMENTS: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operations are organized into the following principal business segments:</w:t>
      </w:r>
    </w:p>
    <w:p>
      <w:pPr>
        <w:spacing w:after="0" w:line="196" w:lineRule="exact"/>
        <w:rPr>
          <w:sz w:val="20"/>
          <w:szCs w:val="20"/>
          <w:color w:val="auto"/>
        </w:rPr>
      </w:pPr>
    </w:p>
    <w:p>
      <w:pPr>
        <w:ind w:left="720" w:right="259" w:hanging="319"/>
        <w:spacing w:after="0" w:line="26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Hospitality</w:t>
      </w:r>
      <w:r>
        <w:rPr>
          <w:rFonts w:ascii="Times New Roman" w:cs="Times New Roman" w:eastAsia="Times New Roman" w:hAnsi="Times New Roman"/>
          <w:sz w:val="18"/>
          <w:szCs w:val="18"/>
          <w:color w:val="auto"/>
        </w:rPr>
        <w:t>, which includes the Gaylord Hotels properties, the JW Marriott properties (including, effective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2025, JW Marriott Desert Ridge), the Inn at Opryland and the AC Hotel;</w:t>
      </w:r>
    </w:p>
    <w:p>
      <w:pPr>
        <w:ind w:left="720" w:right="57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Entertainment</w:t>
      </w:r>
      <w:r>
        <w:rPr>
          <w:rFonts w:ascii="Times New Roman" w:cs="Times New Roman" w:eastAsia="Times New Roman" w:hAnsi="Times New Roman"/>
          <w:sz w:val="18"/>
          <w:szCs w:val="18"/>
          <w:color w:val="auto"/>
        </w:rPr>
        <w:t>, which includes the OEG business, specifically the Grand Ole Opry, the Ryman Auditorium,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WSM-AM, Ole Red, Category 10, Block 21, and Southern Entertainment; and</w:t>
      </w:r>
    </w:p>
    <w:p>
      <w:pPr>
        <w:ind w:left="720" w:right="379" w:hanging="319"/>
        <w:spacing w:after="0" w:line="26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and Other</w:t>
      </w:r>
      <w:r>
        <w:rPr>
          <w:rFonts w:ascii="Times New Roman" w:cs="Times New Roman" w:eastAsia="Times New Roman" w:hAnsi="Times New Roman"/>
          <w:sz w:val="18"/>
          <w:szCs w:val="18"/>
          <w:color w:val="auto"/>
        </w:rPr>
        <w:t>, which includes operating and general and administrative expenses related to the overall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of the Company which are not allocated to the other reportable segments.</w:t>
      </w:r>
    </w:p>
    <w:p>
      <w:pPr>
        <w:spacing w:after="0" w:line="141"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comprised of the Company’s chief executive officer and the Company’s chief financial officer. The CODM uses segment operating income (loss) to evaluate the performance of each segment and to allocate resources.</w:t>
      </w:r>
    </w:p>
    <w:p>
      <w:pPr>
        <w:spacing w:after="0" w:line="135" w:lineRule="exact"/>
        <w:rPr>
          <w:sz w:val="20"/>
          <w:szCs w:val="20"/>
          <w:color w:val="auto"/>
        </w:rPr>
      </w:pPr>
    </w:p>
    <w:p>
      <w:pPr>
        <w:ind w:left="60" w:right="499"/>
        <w:spacing w:after="0" w:line="266" w:lineRule="auto"/>
        <w:rPr>
          <w:sz w:val="20"/>
          <w:szCs w:val="20"/>
          <w:color w:val="auto"/>
        </w:rPr>
      </w:pPr>
      <w:r>
        <w:rPr>
          <w:rFonts w:ascii="Times New Roman" w:cs="Times New Roman" w:eastAsia="Times New Roman" w:hAnsi="Times New Roman"/>
          <w:sz w:val="18"/>
          <w:szCs w:val="18"/>
          <w:color w:val="auto"/>
        </w:rPr>
        <w:t>The accounting policies for each segment are the same as those described in Note 1, “Description of the Business and Summary of Significant Accounting Policies,” to the Company’s Annual Report on Form 10-K for the year ended December 31, 2024. The Company does not have intersegment sales or transfers.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auto"/>
        </w:rPr>
        <w:t>The following information is derived directly from the segments’ internal financial reports used by the CODM for corporate management purposes (amounts in thousands):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10"/>
          </w:tcPr>
          <w:p>
            <w:pPr>
              <w:jc w:val="right"/>
              <w:ind w:right="10"/>
              <w:spacing w:after="0"/>
              <w:rPr>
                <w:sz w:val="20"/>
                <w:szCs w:val="20"/>
                <w:color w:val="auto"/>
              </w:rPr>
            </w:pPr>
            <w:r>
              <w:rPr>
                <w:rFonts w:ascii="Times New Roman" w:cs="Times New Roman" w:eastAsia="Times New Roman" w:hAnsi="Times New Roman"/>
                <w:sz w:val="18"/>
                <w:szCs w:val="18"/>
                <w:color w:val="auto"/>
                <w:w w:val="99"/>
              </w:rPr>
              <w:t>For the Three Months Ended September 30, 2025</w:t>
            </w:r>
          </w:p>
        </w:tc>
      </w:tr>
      <w:tr>
        <w:trPr>
          <w:trHeight w:val="191"/>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4"/>
        </w:trPr>
        <w:tc>
          <w:tcPr>
            <w:tcW w:w="5120" w:type="dxa"/>
            <w:vAlign w:val="bottom"/>
          </w:tcPr>
          <w:p>
            <w:pPr>
              <w:spacing w:after="0"/>
              <w:rPr>
                <w:sz w:val="20"/>
                <w:szCs w:val="20"/>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Hospitality</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Entertainment</w:t>
            </w: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Other</w:t>
            </w: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500,869</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91,589</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592,458</w:t>
            </w: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48,668</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48,668</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139,961</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139,961</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hotel expenses (1)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144,882</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144,882</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Employment costs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28,736</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13,492</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services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Non-income taxes and insurance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segment expenses (1)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22,250</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sale of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16"/>
        </w:trPr>
        <w:tc>
          <w:tcPr>
            <w:tcW w:w="5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63,729</w:t>
            </w: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73,202</w:t>
            </w:r>
          </w:p>
        </w:tc>
      </w:tr>
      <w:tr>
        <w:trPr>
          <w:trHeight w:val="20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87,078</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88,612</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(9,572)</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(55,290)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(64,873)</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from unconsolidated joint ventures (2)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w:t>
            </w:r>
          </w:p>
        </w:tc>
      </w:tr>
      <w:tr>
        <w:trPr>
          <w:trHeight w:val="21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30,326</w:t>
            </w: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r>
      <w:tr>
        <w:trPr>
          <w:trHeight w:val="426"/>
        </w:trPr>
        <w:tc>
          <w:tcPr>
            <w:tcW w:w="5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10"/>
          </w:tcPr>
          <w:p>
            <w:pPr>
              <w:jc w:val="right"/>
              <w:ind w:right="10"/>
              <w:spacing w:after="0"/>
              <w:rPr>
                <w:sz w:val="20"/>
                <w:szCs w:val="20"/>
                <w:color w:val="auto"/>
              </w:rPr>
            </w:pPr>
            <w:r>
              <w:rPr>
                <w:rFonts w:ascii="Times New Roman" w:cs="Times New Roman" w:eastAsia="Times New Roman" w:hAnsi="Times New Roman"/>
                <w:sz w:val="18"/>
                <w:szCs w:val="18"/>
                <w:color w:val="auto"/>
                <w:w w:val="99"/>
              </w:rPr>
              <w:t>For the Three Months Ended September 30, 2024</w:t>
            </w:r>
          </w:p>
        </w:tc>
      </w:tr>
      <w:tr>
        <w:trPr>
          <w:trHeight w:val="191"/>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4"/>
        </w:trPr>
        <w:tc>
          <w:tcPr>
            <w:tcW w:w="5120" w:type="dxa"/>
            <w:vAlign w:val="bottom"/>
          </w:tcPr>
          <w:p>
            <w:pPr>
              <w:spacing w:after="0"/>
              <w:rPr>
                <w:sz w:val="20"/>
                <w:szCs w:val="20"/>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Hospitality</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Entertainment</w:t>
            </w: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Other</w:t>
            </w: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467,043</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82,915</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549,958</w:t>
            </w: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45,129</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45,129</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127,040</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127,040</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hotel expenses (1)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123,716</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123,716</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16,889</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16,889</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Employment costs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25,685</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11,977</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services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Non-income taxes and insurance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segment expenses (1)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20,127</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51,488</w:t>
            </w:r>
          </w:p>
        </w:tc>
        <w:tc>
          <w:tcPr>
            <w:tcW w:w="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59,051</w:t>
            </w: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102,781</w:t>
            </w:r>
          </w:p>
        </w:tc>
        <w:tc>
          <w:tcPr>
            <w:tcW w:w="4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13,050</w:t>
            </w: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w:t>
            </w:r>
          </w:p>
        </w:tc>
        <w:tc>
          <w:tcPr>
            <w:tcW w:w="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105,880</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(8,984)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(45,564)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(54,546)</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from unconsolidated joint ventures (2)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w:t>
            </w:r>
          </w:p>
        </w:tc>
      </w:tr>
      <w:tr>
        <w:trPr>
          <w:trHeight w:val="21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61,320</w:t>
            </w: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For the Nine Months Ended September 30, 2025</w:t>
            </w:r>
          </w:p>
        </w:tc>
        <w:tc>
          <w:tcPr>
            <w:tcW w:w="0" w:type="dxa"/>
            <w:vAlign w:val="bottom"/>
          </w:tcPr>
          <w:p>
            <w:pPr>
              <w:spacing w:after="0"/>
              <w:rPr>
                <w:sz w:val="1"/>
                <w:szCs w:val="1"/>
                <w:color w:val="auto"/>
              </w:rPr>
            </w:pPr>
          </w:p>
        </w:tc>
      </w:tr>
      <w:tr>
        <w:trPr>
          <w:trHeight w:val="191"/>
        </w:trPr>
        <w:tc>
          <w:tcPr>
            <w:tcW w:w="3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3"/>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Hospitality</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and Other</w:t>
            </w:r>
          </w:p>
        </w:tc>
        <w:tc>
          <w:tcPr>
            <w:tcW w:w="160" w:type="dxa"/>
            <w:vAlign w:val="bottom"/>
          </w:tcPr>
          <w:p>
            <w:pPr>
              <w:spacing w:after="0"/>
              <w:rPr>
                <w:sz w:val="20"/>
                <w:szCs w:val="20"/>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$ 1,514,810</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324,443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$ 1,839,253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142,195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414,252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hotel expenses (1)</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399,394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Employment costs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services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Non-income taxes and insurance</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Preopening costs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segment expenses (1)</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sale of assets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175,232</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27,954</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330,807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(27,979)</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(149,672)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from unconsolidated joint ventures (2)</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6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For the Nine Months Ended September 30, 2024</w:t>
            </w:r>
          </w:p>
        </w:tc>
        <w:tc>
          <w:tcPr>
            <w:tcW w:w="0" w:type="dxa"/>
            <w:vAlign w:val="bottom"/>
          </w:tcPr>
          <w:p>
            <w:pPr>
              <w:spacing w:after="0"/>
              <w:rPr>
                <w:sz w:val="1"/>
                <w:szCs w:val="1"/>
                <w:color w:val="auto"/>
              </w:rPr>
            </w:pPr>
          </w:p>
        </w:tc>
      </w:tr>
      <w:tr>
        <w:trPr>
          <w:trHeight w:val="191"/>
        </w:trPr>
        <w:tc>
          <w:tcPr>
            <w:tcW w:w="3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3"/>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Hospitality</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and Other</w:t>
            </w:r>
          </w:p>
        </w:tc>
        <w:tc>
          <w:tcPr>
            <w:tcW w:w="160" w:type="dxa"/>
            <w:vAlign w:val="bottom"/>
          </w:tcPr>
          <w:p>
            <w:pPr>
              <w:spacing w:after="0"/>
              <w:rPr>
                <w:sz w:val="20"/>
                <w:szCs w:val="20"/>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$ 1,447,600</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243,993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$ 1,691,593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387,588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hotel expenses (1)</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360,298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Employment costs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services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Non-income taxes and insurance</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Preopening costs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segment expenses (1)</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sale of assets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152,271</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21,842</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356,851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(14,612)</w:t>
            </w:r>
          </w:p>
        </w:tc>
        <w:tc>
          <w:tcPr>
            <w:tcW w:w="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(29,805)</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(127,149)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from unconsolidated joint ventures (2)</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9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240" w:type="dxa"/>
            <w:vAlign w:val="bottom"/>
            <w:tcBorders>
              <w:bottom w:val="single" w:sz="8" w:color="CCEEFF"/>
            </w:tcBorders>
          </w:tcPr>
          <w:p>
            <w:pPr>
              <w:spacing w:after="0"/>
              <w:rPr>
                <w:sz w:val="15"/>
                <w:szCs w:val="15"/>
                <w:color w:val="auto"/>
              </w:rPr>
            </w:pPr>
          </w:p>
        </w:tc>
        <w:tc>
          <w:tcPr>
            <w:tcW w:w="44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Hospitality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4,962,260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4,081,754</w:t>
            </w:r>
          </w:p>
        </w:tc>
      </w:tr>
      <w:tr>
        <w:trPr>
          <w:trHeight w:val="216"/>
        </w:trPr>
        <w:tc>
          <w:tcPr>
            <w:tcW w:w="6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Entertainment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653,969</w:t>
            </w:r>
          </w:p>
        </w:tc>
      </w:tr>
      <w:tr>
        <w:trPr>
          <w:trHeight w:val="216"/>
        </w:trPr>
        <w:tc>
          <w:tcPr>
            <w:tcW w:w="67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482,606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481,850</w:t>
            </w:r>
          </w:p>
        </w:tc>
      </w:tr>
      <w:tr>
        <w:trPr>
          <w:trHeight w:val="209"/>
        </w:trPr>
        <w:tc>
          <w:tcPr>
            <w:tcW w:w="67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6,196,645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5,217,573</w:t>
            </w:r>
          </w:p>
        </w:tc>
      </w:tr>
      <w:tr>
        <w:trPr>
          <w:trHeight w:val="20"/>
        </w:trPr>
        <w:tc>
          <w:tcPr>
            <w:tcW w:w="2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63"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include:</w:t>
      </w:r>
    </w:p>
    <w:p>
      <w:pPr>
        <w:spacing w:after="0" w:line="27" w:lineRule="exact"/>
        <w:rPr>
          <w:rFonts w:ascii="Times New Roman" w:cs="Times New Roman" w:eastAsia="Times New Roman" w:hAnsi="Times New Roman"/>
          <w:sz w:val="18"/>
          <w:szCs w:val="18"/>
          <w:color w:val="auto"/>
        </w:rPr>
      </w:pPr>
    </w:p>
    <w:p>
      <w:pPr>
        <w:ind w:left="720" w:right="9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segment – administrative employment costs, utilities, property taxes, supplies, advertising, maintenance and consulting expenses</w:t>
      </w: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segment – advertising, utilities, maintenance and certain overhead expenses</w:t>
      </w:r>
    </w:p>
    <w:p>
      <w:pPr>
        <w:spacing w:after="0" w:line="9" w:lineRule="exact"/>
        <w:rPr>
          <w:rFonts w:ascii="Times New Roman" w:cs="Times New Roman" w:eastAsia="Times New Roman" w:hAnsi="Times New Roman"/>
          <w:sz w:val="18"/>
          <w:szCs w:val="18"/>
          <w:color w:val="auto"/>
        </w:rPr>
      </w:pPr>
    </w:p>
    <w:p>
      <w:pPr>
        <w:ind w:left="720" w:right="4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 information technology, human resources, accounting, equity-based compensation and other administrative expenses</w:t>
      </w: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(loss) from unconsolidated joint ventures relates to the Entertainment segment.</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represents capital expenditures by segment for the periods presented (amounts in thousands):</w:t>
      </w:r>
    </w:p>
    <w:p>
      <w:pPr>
        <w:spacing w:after="0" w:line="23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72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66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r>
      <w:tr>
        <w:trPr>
          <w:trHeight w:val="209"/>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Hospitality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230,187</w:t>
            </w:r>
          </w:p>
        </w:tc>
        <w:tc>
          <w:tcPr>
            <w:tcW w:w="20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Entertainment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87,086</w:t>
            </w:r>
          </w:p>
        </w:tc>
        <w:tc>
          <w:tcPr>
            <w:tcW w:w="200" w:type="dxa"/>
            <w:vAlign w:val="bottom"/>
          </w:tcPr>
          <w:p>
            <w:pPr>
              <w:spacing w:after="0"/>
              <w:rPr>
                <w:sz w:val="18"/>
                <w:szCs w:val="18"/>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8"/>
                <w:szCs w:val="18"/>
                <w:color w:val="auto"/>
              </w:rPr>
            </w:pPr>
          </w:p>
        </w:tc>
      </w:tr>
      <w:tr>
        <w:trPr>
          <w:trHeight w:val="210"/>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252,103</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317,323</w:t>
            </w:r>
          </w:p>
        </w:tc>
        <w:tc>
          <w:tcPr>
            <w:tcW w:w="20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Ryman Hospitality Properties, Inc. (“Ryman”) is a Delaware corporation that conducts its operations so as to maintain its qualification as a real estate investment trust (“REIT”) for federal income tax purposes. The Company (as defined below)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the Operating Partnership’s subsidiaries.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4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unaudited condensed consolidated financial statements and related notes included elsewhere in this report and our audited consolidated financial statements and related notes for the year ended December 31, 2024, included in our Annual Report on Form 10-K that was filed with the SEC on February 21, 2025.</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02"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may also include statements regarding (i) the future performance of our business, anticipated business levels and our anticipated financial results during future periods; (ii) the effect of our election to be taxed as a REIT and maintain REIT status for federal income tax purposes; (iii) the holding of our non-qualifying REIT assets in one or more taxable REIT subsidiaries (“TRSs”); (iv) our dividend policy, including the frequency and amount of any dividend we may pay; (v) our strategic goals and potential growth opportunities, including future expansion of the geographic diversity of our existing asset portfolio through acquisitions and investment in joint ventures; (vi) Marriott International, Inc.’s (“Marriott”) ability to effectively manage our hotels and other properties;</w:t>
      </w:r>
    </w:p>
    <w:p>
      <w:pPr>
        <w:spacing w:after="0" w:line="11" w:lineRule="exact"/>
        <w:rPr>
          <w:sz w:val="20"/>
          <w:szCs w:val="20"/>
          <w:color w:val="auto"/>
        </w:rPr>
      </w:pPr>
    </w:p>
    <w:p>
      <w:pPr>
        <w:ind w:left="60" w:right="79" w:hanging="10"/>
        <w:spacing w:after="0" w:line="251" w:lineRule="auto"/>
        <w:tabs>
          <w:tab w:leader="none" w:pos="4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ability to borrow available funds under our credit facility; (x) our expectations about successfully amending the agreements governing our indebtedness should the need arise; (xi) the effects of inflation, other macroeconomic conditions and increased costs on our business and on our customers, including group customers at our hotels; (xii) risks associated with the integration of JW Marriott Desert Ridge into our existing asset base; and (xiii) any other business or operational matters. We have based these forward-looking statements on our current expectations and projections about future events.</w:t>
      </w:r>
    </w:p>
    <w:p>
      <w:pPr>
        <w:spacing w:after="0" w:line="15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economic conditions affecting the hospitality business generally, the geographic concentration of our hotel properties, business levels at our hotels, the effects of inflation and changes in international, national, regional and local economic and market conditions (such as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imposition of trade barriers or other changes in trade policy) on our business, including the effects on costs of labor and supplies and effects on group customers at our hotels and customers in our OEG businesses,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and those factors described elsewhere in this Quarterly Report on Form 10-Q and our Annual Report on Form 10-K for the year ended December 31, 2024 or described from time to time in our other reports filed with the SEC.</w:t>
      </w:r>
    </w:p>
    <w:p>
      <w:pPr>
        <w:spacing w:after="0" w:line="165"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operate as a REIT for federal income tax purposes, specializing in group-oriented, destination hotel assets in urban and resort markets. Our core holdings include a network of upscale, meetings-focused resorts totaling 11,869 rooms that are managed by Marriott under the Gaylord Hotels and JW Marriott brands. The five Gaylord Hotels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The two JW Marriott resorts, which we refer to as the JW Marriott properties, consist of the JW Marriott San Antonio Hill Country Resort &amp; Spa (“JW Marriott Hill Country”) and, effective June 10, 2025, the JW Marriott Phoenix Desert Ridge Resort &amp; Spa (“JW Marriott Desert Ridge”). Our other hotel assets managed by Marriott include the Inn at Opryland, an overflow hotel adjacent to Gaylord Opryland, and the AC Hotel at National Harbor, Washington D.C. (“AC Hotel”), an overflow hotel adjacent to Gaylord National.</w:t>
      </w:r>
    </w:p>
    <w:p>
      <w:pPr>
        <w:spacing w:after="0" w:line="163"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Each of our award-winning Gaylord Hotels properties and JW Marriott properties incorporates not only high-quality lodging, but also large-scale meeting, convention and exhibition space, superb food and beverage options and retail and spa facilities within a single self-contained property. Our Gaylord Hotels properties each include at least 400,000 square feet of meeting, convention and exhibit space, and our JW Marriott properties each include at least 240,000 square feet of meeting, convention and exhibit space. As a result, our Gaylord Hotels properties and JW Marriott properties provide a convenient and entertaining environment for convention guests. Our Gaylord Hotels properties and JW Marriott properties focus on the large group meetings market in the United States.</w:t>
      </w:r>
    </w:p>
    <w:p>
      <w:pPr>
        <w:spacing w:after="0" w:line="148"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We also own an approximate 70% controlling equity interest in a business comprised of a number of entertainment and media assets, known as the Opry Entertainment Group (“OEG”), which we report as our Entertainment segment. These assets include the Grand Ole Opry, the legendary weekly showcase of country music’s finest performers for 99 years; the Ryman Auditorium, the storied live music venue and former home of the Grand Ole Opry located in downtown Nashville; WSM-AM, the Opry’s radio home; Ole Red, a brand of Blake Shelton-themed bar, music venue and event spaces; Category 10, a brand of Luke Combs-themed bar, music venue and event spaces that opened in Nashville, Tennessee in November 2024, with an additional location expected to open in Las Vegas, Nevada in late 2026; Block 21, a mixed-use entertainment, lodging, office, and retail complex located in Austin, Texas (“Block 21”), and as of January 3, 2025, a majority and controlling equity interest in Southern Entertainment, a Charlotte, North Carolina-based national music festival and events production company.</w:t>
      </w:r>
    </w:p>
    <w:p>
      <w:pPr>
        <w:spacing w:after="0" w:line="154"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See “Cautionary Note Regarding Forward-Looking Statements” in this Item 2 and Item 1A, “Risk Factors,” in Part II of this Quarterly Report on Form 10-Q and Item 1A, “Risk Factors,” in our Annual Report on Form 10-K for the year ended December 31, 2024 for important information regarding forward-looking statements made in this report and risks and uncertainties we face.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2025 Activities</w:t>
      </w:r>
    </w:p>
    <w:p>
      <w:pPr>
        <w:spacing w:after="0" w:line="229"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Significant activities we have undertaken in 2025 include (as well as where you can find more information herein or in the accompanying condensed consolidated financial statements):</w:t>
      </w:r>
    </w:p>
    <w:p>
      <w:pPr>
        <w:spacing w:after="0" w:line="162"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JW Marriott Desert Ridge in June 2025 – Note 2, “JW Marriott Desert Ridge Transaction”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$625 million in 6.50% senior notes due 2033 – Note 8, “Debt”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Offered and issued approximately 3.0 million shares of our common stock – Note 14, “Equity”</w:t>
      </w:r>
    </w:p>
    <w:p>
      <w:pPr>
        <w:spacing w:after="0" w:line="225"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defeased the previous Block 21 CMBS loan with incremental borrowings under the existing OEG credit facility – Note 8, “Debt”</w:t>
      </w:r>
    </w:p>
    <w:p>
      <w:pPr>
        <w:spacing w:after="0" w:line="16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investment in our existing properties through approximately $252.1 million in capital expenditures – “Liquidity and Capital Resources”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approximately $215.3 million in cash distributions – Note 14, “Equity”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0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board of directors has approved a dividend policy pursuant to which we will make minimum dividends of 100% of REIT taxable income annually, subject to the board of directors’ future determinations as to the amount of any distributions and the timing thereof. The dividend policy may be altered at any time by our board of directors (as otherwise permitted by our credit agreement) and certain provisions of our agreements governing our other indebtedness may prohibit us from paying dividends in accordance with any policy we may adopt.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Long-Term Strategic Plan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goal is to be the nation’s premier hospitality REIT for group-oriented meeting hotel assets in urban and resort markets.</w:t>
      </w:r>
    </w:p>
    <w:p>
      <w:pPr>
        <w:spacing w:after="0" w:line="196" w:lineRule="exact"/>
        <w:rPr>
          <w:sz w:val="20"/>
          <w:szCs w:val="20"/>
          <w:color w:val="auto"/>
        </w:rPr>
      </w:pPr>
    </w:p>
    <w:p>
      <w:pPr>
        <w:ind w:left="60" w:right="239"/>
        <w:spacing w:after="0" w:line="257" w:lineRule="auto"/>
        <w:rPr>
          <w:sz w:val="20"/>
          <w:szCs w:val="20"/>
          <w:color w:val="auto"/>
        </w:rPr>
      </w:pPr>
      <w:r>
        <w:rPr>
          <w:rFonts w:ascii="Times New Roman" w:cs="Times New Roman" w:eastAsia="Times New Roman" w:hAnsi="Times New Roman"/>
          <w:sz w:val="18"/>
          <w:szCs w:val="18"/>
          <w:i w:val="1"/>
          <w:iCs w:val="1"/>
          <w:color w:val="auto"/>
        </w:rPr>
        <w:t>Existing Hotel Property Design</w:t>
      </w:r>
      <w:r>
        <w:rPr>
          <w:rFonts w:ascii="Times New Roman" w:cs="Times New Roman" w:eastAsia="Times New Roman" w:hAnsi="Times New Roman"/>
          <w:sz w:val="18"/>
          <w:szCs w:val="18"/>
          <w:color w:val="auto"/>
        </w:rPr>
        <w:t>. Our Gaylord Hotels properties and JW Marriott properties focus on the large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meetings and regional leisure transient markets in the United States and incorporate meeting and exhibition space, signature guest rooms, food and beverage offerings, fitness and spa facilities and other attractions within a large hotel property so attendees’ needs are met in one location. We believe this strategy creates a better experience for both meeting planners and guests and has led to our current Gaylord Hotels properties and JW Marriott properties claiming a place among the leading convention hotels in the country.</w:t>
      </w:r>
    </w:p>
    <w:p>
      <w:pPr>
        <w:spacing w:after="0" w:line="142"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Expansion of Hotel Asset Portfolio</w:t>
      </w:r>
      <w:r>
        <w:rPr>
          <w:rFonts w:ascii="Times New Roman" w:cs="Times New Roman" w:eastAsia="Times New Roman" w:hAnsi="Times New Roman"/>
          <w:sz w:val="18"/>
          <w:szCs w:val="18"/>
          <w:color w:val="auto"/>
        </w:rPr>
        <w:t>. Part of our long-term growth strategy includes acquisitions or developments of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hotels, particularly in the group meetings sector of the hospitality industry, either alone or through joint ventures or alliances with one or more third parties. We will consider attractive investment opportunities which meet our acquisition parameters, specifically, group-oriented large hotels and overflow hotels with existing or potential leisure appeal. We are generally interested in highly accessible upper-upscale or luxury assets with over 400 hotel rooms in urban and resort group destination markets. We also consider assets that possess significant meeting space or present a repositioning opportunity and/or would significantly benefit from capital investment in additional rooms or meeting space. We are consistently considering acquisitions that would expand the geographic diversity of our existing asset portfolio. To this end, we purchased JW Marriott Hill Country in June 2023 and JW Marriott Desert Ridge in June 2025.</w:t>
      </w:r>
    </w:p>
    <w:p>
      <w:pPr>
        <w:spacing w:after="0" w:line="148"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i w:val="1"/>
          <w:iCs w:val="1"/>
          <w:color w:val="auto"/>
        </w:rPr>
        <w:t>Continued Investment in Our Existing Properties</w:t>
      </w:r>
      <w:r>
        <w:rPr>
          <w:rFonts w:ascii="Times New Roman" w:cs="Times New Roman" w:eastAsia="Times New Roman" w:hAnsi="Times New Roman"/>
          <w:sz w:val="18"/>
          <w:szCs w:val="18"/>
          <w:color w:val="auto"/>
        </w:rPr>
        <w:t>. We continuously evaluate and invest in our current portfolio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 enhancements or expansions as part of our long-term strategic plan. In 2024, we completed a $98 million multi-year interior and exterior enhancement project at Gaylord Rockies to better position the property for our group customers. In early 2024, we identified over $1 billion in capital investment opportunities across our entire hotel portfolio, comprised of projects that we anticipate completing in phases through 2027. Our ongoing plans for a nearly $225 million multi-phase capital improvement plan at Gaylord Opryland include the expansion of approximately</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108,000 square feet of premium, carpeted meeting space; the construction of a sports bar, event lawn and pavilion; and the renovation of multiple ballrooms and pre-function space.</w:t>
      </w:r>
    </w:p>
    <w:p>
      <w:pPr>
        <w:spacing w:after="0" w:line="133"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i w:val="1"/>
          <w:iCs w:val="1"/>
          <w:color w:val="auto"/>
        </w:rPr>
        <w:t>Leverage Brand Name Awareness</w:t>
      </w:r>
      <w:r>
        <w:rPr>
          <w:rFonts w:ascii="Times New Roman" w:cs="Times New Roman" w:eastAsia="Times New Roman" w:hAnsi="Times New Roman"/>
          <w:sz w:val="18"/>
          <w:szCs w:val="18"/>
          <w:color w:val="auto"/>
        </w:rPr>
        <w:t>. We believe the Grand Ole Opry is one of the most recognized entertainment brands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six Ole Red locations, purchased Block 21, opened our first Category 10 in November 2024, purchased a majority interest in Southern Entertainment in January 2025, and in September 2025, the Grand Ole Opry traveled to the Royal Albert Hall in London for the first international performance in its history. Further, in 2022, we completed a strategic transaction to sell a minority interest in OEG to an affiliate of Atairos Group, Inc. and its strategic partner NBCUniversal Media, LLC, who we believe will continue to help us expand the distribution of our OEG brands.</w:t>
      </w:r>
    </w:p>
    <w:p>
      <w:pPr>
        <w:spacing w:after="0" w:line="14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i w:val="1"/>
          <w:iCs w:val="1"/>
          <w:color w:val="auto"/>
        </w:rPr>
        <w:t>Short-Term Capital Allocation</w:t>
      </w:r>
      <w:r>
        <w:rPr>
          <w:rFonts w:ascii="Times New Roman" w:cs="Times New Roman" w:eastAsia="Times New Roman" w:hAnsi="Times New Roman"/>
          <w:sz w:val="18"/>
          <w:szCs w:val="18"/>
          <w:color w:val="auto"/>
        </w:rPr>
        <w:t>. Our short-term capital allocation strategy is focused on returning capital to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payment of dividends, in addition to investing in our assets and operations. Our dividend policy provides that we will make minimum dividends of 100% of REIT taxable income annually, subject to the board of directors’ future determinations as to the amount of any distributions and the timing thereof.</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operations are organized into three principal business segments:</w:t>
      </w:r>
    </w:p>
    <w:p>
      <w:pPr>
        <w:spacing w:after="0" w:line="185" w:lineRule="exact"/>
        <w:rPr>
          <w:sz w:val="20"/>
          <w:szCs w:val="20"/>
          <w:color w:val="auto"/>
        </w:rPr>
      </w:pPr>
    </w:p>
    <w:p>
      <w:pPr>
        <w:ind w:left="720" w:right="11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consisting of our Gaylord Hotels properties, our JW Marriott properties (including, effective June 10, 2025, JW Marriott Desert Ridge), the Inn at Opryland and the AC Hotel.</w:t>
      </w:r>
    </w:p>
    <w:p>
      <w:pPr>
        <w:spacing w:after="0" w:line="121"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consisting of the Grand Ole Opry, the Ryman Auditorium, WSM-AM, Ole Red, Category 10, Block 21, Southern Entertainment, and our other Nashville-based attractions.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consisting of our corporate expenses.</w:t>
      </w:r>
    </w:p>
    <w:p>
      <w:pPr>
        <w:spacing w:after="0" w:line="185"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our total revenues were divided among these business segments as follows:</w:t>
      </w:r>
    </w:p>
    <w:p>
      <w:pPr>
        <w:spacing w:after="0" w:line="11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760" w:type="dxa"/>
            <w:vAlign w:val="bottom"/>
            <w:gridSpan w:val="4"/>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60" w:type="dxa"/>
            <w:vAlign w:val="bottom"/>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700" w:type="dxa"/>
            <w:vAlign w:val="bottom"/>
            <w:gridSpan w:val="3"/>
            <w:vMerge w:val="continue"/>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15 %</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15 %</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18 %</w:t>
            </w: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0 %</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8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202"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industry and are used by management to evaluate hotel performance and allocate capital expenditures:</w:t>
      </w:r>
    </w:p>
    <w:p>
      <w:pPr>
        <w:spacing w:after="0" w:line="143"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occupancy – a volume indicator calculated by dividing total rooms sold by total rooms available;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 a price indicator calculated by dividing room revenue by the number of rooms sold;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7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 a summary measure of hotel results calculated by dividing room revenue by room nights available to guests for the period;</w:t>
      </w:r>
    </w:p>
    <w:p>
      <w:pPr>
        <w:spacing w:after="0" w:line="134"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3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definite group room nights booked – a volume indicator which represents the total number of definite group bookings for future room nights at our hotels confirmed during the applicable period, net of cancellations.</w:t>
      </w:r>
    </w:p>
    <w:p>
      <w:pPr>
        <w:spacing w:after="0" w:line="121" w:lineRule="exact"/>
        <w:rPr>
          <w:sz w:val="20"/>
          <w:szCs w:val="20"/>
          <w:color w:val="auto"/>
        </w:rPr>
      </w:pPr>
    </w:p>
    <w:p>
      <w:pPr>
        <w:ind w:left="60" w:right="499"/>
        <w:spacing w:after="0" w:line="266" w:lineRule="auto"/>
        <w:rPr>
          <w:sz w:val="20"/>
          <w:szCs w:val="20"/>
          <w:color w:val="auto"/>
        </w:rPr>
      </w:pPr>
      <w:r>
        <w:rPr>
          <w:rFonts w:ascii="Times New Roman" w:cs="Times New Roman" w:eastAsia="Times New Roman" w:hAnsi="Times New Roman"/>
          <w:sz w:val="18"/>
          <w:szCs w:val="18"/>
          <w:color w:val="auto"/>
        </w:rPr>
        <w:t>We also use certain “non-GAAP financial measures,” which are measures of our historical performance that are not calculated and presented in accordance with generally accepted accounting principles in the United States (“GAAP”), within the meaning of applicable SEC rules. These measures include:</w:t>
      </w:r>
    </w:p>
    <w:p>
      <w:pPr>
        <w:spacing w:after="0" w:line="147" w:lineRule="exact"/>
        <w:rPr>
          <w:sz w:val="20"/>
          <w:szCs w:val="20"/>
          <w:color w:val="auto"/>
        </w:rPr>
      </w:pPr>
    </w:p>
    <w:p>
      <w:pPr>
        <w:ind w:left="720" w:right="179" w:hanging="319"/>
        <w:spacing w:after="0" w:line="284"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Expense, Income Taxes, Depreciation and Amortization for Real Estate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and</w:t>
      </w:r>
    </w:p>
    <w:p>
      <w:pPr>
        <w:spacing w:after="0" w:line="119"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(“FFO”) available to common stockholders and unit holders and Adjusted FFO available to common stockholders and unit holders.</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“Non-GAAP Financial Measures” below for further discussion.</w:t>
      </w:r>
    </w:p>
    <w:p>
      <w:pPr>
        <w:spacing w:after="0" w:line="19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(and applicable room rates) have often been contracted for several years in advance, seasonality, the level of attrition our hotels experience, and the level of transient business at our hotels during such period. Increases in costs, including labor costs, costs of food and other supplies, and energy costs can negatively affect our results, particularly during an inflationary economic environment. We rely on Marriott, as the manager of our hotels, to manage these factors and to offset any identified shortfalls in occupancy.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Selected Financial Information</w:t>
      </w:r>
    </w:p>
    <w:p>
      <w:pPr>
        <w:spacing w:after="0" w:line="202" w:lineRule="exact"/>
        <w:rPr>
          <w:sz w:val="20"/>
          <w:szCs w:val="20"/>
          <w:color w:val="auto"/>
        </w:rPr>
      </w:pPr>
    </w:p>
    <w:p>
      <w:pPr>
        <w:ind w:left="60" w:right="579"/>
        <w:spacing w:after="0" w:line="266" w:lineRule="auto"/>
        <w:rPr>
          <w:sz w:val="20"/>
          <w:szCs w:val="20"/>
          <w:color w:val="auto"/>
        </w:rPr>
      </w:pPr>
      <w:r>
        <w:rPr>
          <w:rFonts w:ascii="Times New Roman" w:cs="Times New Roman" w:eastAsia="Times New Roman" w:hAnsi="Times New Roman"/>
          <w:sz w:val="18"/>
          <w:szCs w:val="18"/>
          <w:color w:val="auto"/>
        </w:rPr>
        <w:t>The following table contains our unaudited selected summary financial data for the three and nine months ended September 30, 2025 and 2024. The table also shows the percentage relationships to total revenues and, in the case of segment operating income, its relationship to segment revenues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6"/>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6"/>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10"/>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10"/>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gridSpan w:val="2"/>
          </w:tcPr>
          <w:p>
            <w:pPr>
              <w:jc w:val="center"/>
              <w:ind w:left="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gridSpan w:val="2"/>
          </w:tcPr>
          <w:p>
            <w:pPr>
              <w:jc w:val="center"/>
              <w:ind w:left="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gridSpan w:val="2"/>
          </w:tcPr>
          <w:p>
            <w:pPr>
              <w:jc w:val="center"/>
              <w:ind w:left="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gridSpan w:val="2"/>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Rooms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195,227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184,154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585,359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2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557,284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Food and beverage</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233,674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224,835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737,328</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719,304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hotel revenue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71,968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58,054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192,123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171,012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Entertainment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91,589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82,915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324,443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243,993</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592,458</w:t>
            </w:r>
          </w:p>
        </w:tc>
        <w:tc>
          <w:tcPr>
            <w:tcW w:w="14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549,958</w:t>
            </w:r>
          </w:p>
        </w:tc>
        <w:tc>
          <w:tcPr>
            <w:tcW w:w="14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1,839,253</w:t>
            </w:r>
          </w:p>
        </w:tc>
        <w:tc>
          <w:tcPr>
            <w:tcW w:w="14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1,691,593</w:t>
            </w:r>
          </w:p>
        </w:tc>
        <w:tc>
          <w:tcPr>
            <w:tcW w:w="1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310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Rooms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48,668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45,129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142,195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134,292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Food and beverage</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139,961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127,040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414,252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387,588</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hotel expenses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144,882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123,716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399,394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360,298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Hotel management fees, net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52,930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56,300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Entertainment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67,935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61,659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248,081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173,806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Corporate</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Preopening costs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(Gain) loss on sale of assets</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Hospitality</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63,729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51,488</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175,232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152,271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0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Entertainment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and Other</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depreciation and amortization</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73,202</w:t>
            </w:r>
          </w:p>
        </w:tc>
        <w:tc>
          <w:tcPr>
            <w:tcW w:w="54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12.4</w:t>
            </w:r>
          </w:p>
        </w:tc>
        <w:tc>
          <w:tcPr>
            <w:tcW w:w="18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59,051</w:t>
            </w:r>
          </w:p>
        </w:tc>
        <w:tc>
          <w:tcPr>
            <w:tcW w:w="54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10.7</w:t>
            </w:r>
          </w:p>
        </w:tc>
        <w:tc>
          <w:tcPr>
            <w:tcW w:w="18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203,882</w:t>
            </w:r>
          </w:p>
        </w:tc>
        <w:tc>
          <w:tcPr>
            <w:tcW w:w="54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11.1</w:t>
            </w:r>
          </w:p>
        </w:tc>
        <w:tc>
          <w:tcPr>
            <w:tcW w:w="18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174,806</w:t>
            </w:r>
          </w:p>
        </w:tc>
        <w:tc>
          <w:tcPr>
            <w:tcW w:w="52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10.3</w:t>
            </w:r>
          </w:p>
        </w:tc>
        <w:tc>
          <w:tcPr>
            <w:tcW w:w="16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503,846</w:t>
            </w:r>
          </w:p>
        </w:tc>
        <w:tc>
          <w:tcPr>
            <w:tcW w:w="5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85.0</w:t>
            </w:r>
          </w:p>
        </w:tc>
        <w:tc>
          <w:tcPr>
            <w:tcW w:w="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444,078</w:t>
            </w:r>
          </w:p>
        </w:tc>
        <w:tc>
          <w:tcPr>
            <w:tcW w:w="5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80.7</w:t>
            </w:r>
          </w:p>
        </w:tc>
        <w:tc>
          <w:tcPr>
            <w:tcW w:w="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1,495,095</w:t>
            </w:r>
          </w:p>
        </w:tc>
        <w:tc>
          <w:tcPr>
            <w:tcW w:w="5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81.3</w:t>
            </w:r>
          </w:p>
        </w:tc>
        <w:tc>
          <w:tcPr>
            <w:tcW w:w="18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1,321,261</w:t>
            </w:r>
          </w:p>
        </w:tc>
        <w:tc>
          <w:tcPr>
            <w:tcW w:w="5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78.1</w:t>
            </w:r>
          </w:p>
        </w:tc>
        <w:tc>
          <w:tcPr>
            <w:tcW w:w="1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1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OPERATING INCOME (LOSS):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Hospitality</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87,078</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102,781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330,807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356,851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Entertainment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48,408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48,345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Corporate and Other</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(10,293)</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(9,951)</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(32,287)</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(31,773)</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Preopening costs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Gain (loss) on sale of assets</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06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operating income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88,612</w:t>
            </w:r>
          </w:p>
        </w:tc>
        <w:tc>
          <w:tcPr>
            <w:tcW w:w="5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15.0</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105,880</w:t>
            </w:r>
          </w:p>
        </w:tc>
        <w:tc>
          <w:tcPr>
            <w:tcW w:w="5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19.3</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344,158</w:t>
            </w:r>
          </w:p>
        </w:tc>
        <w:tc>
          <w:tcPr>
            <w:tcW w:w="5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18.7</w:t>
            </w:r>
          </w:p>
        </w:tc>
        <w:tc>
          <w:tcPr>
            <w:tcW w:w="1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370,332</w:t>
            </w:r>
          </w:p>
        </w:tc>
        <w:tc>
          <w:tcPr>
            <w:tcW w:w="5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21.9</w:t>
            </w:r>
          </w:p>
        </w:tc>
        <w:tc>
          <w:tcPr>
            <w:tcW w:w="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(64,873)</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(54,546)</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(177,690)</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(171,566)</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4,836</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7,219</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15,878</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21,805</w:t>
            </w:r>
          </w:p>
        </w:tc>
        <w:tc>
          <w:tcPr>
            <w:tcW w:w="1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(2,922)</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(2,319)</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Income (loss) from unconsolidated joint ventures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1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gains and (losses), net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2,168</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2,758</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1,864</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3,075</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Borders>
              <w:bottom w:val="single" w:sz="8" w:color="CCEEFF"/>
            </w:tcBorders>
            <w:gridSpan w:val="3"/>
          </w:tcPr>
          <w:p>
            <w:pPr>
              <w:spacing w:after="0" w:line="149" w:lineRule="exact"/>
              <w:rPr>
                <w:sz w:val="20"/>
                <w:szCs w:val="20"/>
                <w:color w:val="auto"/>
              </w:rPr>
            </w:pPr>
            <w:r>
              <w:rPr>
                <w:rFonts w:ascii="Times New Roman" w:cs="Times New Roman" w:eastAsia="Times New Roman" w:hAnsi="Times New Roman"/>
                <w:sz w:val="14"/>
                <w:szCs w:val="14"/>
                <w:color w:val="auto"/>
              </w:rPr>
              <w:t>(Provision) benefit for income taxes</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3,633</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(922)</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(8,374)</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(13,652)</w:t>
            </w: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33,959</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60,398</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172,848</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207,899</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306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40" w:type="dxa"/>
            <w:vAlign w:val="bottom"/>
          </w:tcPr>
          <w:p>
            <w:pPr>
              <w:spacing w:after="0"/>
              <w:rPr>
                <w:sz w:val="10"/>
                <w:szCs w:val="10"/>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40" w:type="dxa"/>
            <w:vAlign w:val="bottom"/>
          </w:tcPr>
          <w:p>
            <w:pPr>
              <w:spacing w:after="0"/>
              <w:rPr>
                <w:sz w:val="10"/>
                <w:szCs w:val="10"/>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(3,792)</w:t>
            </w:r>
          </w:p>
        </w:tc>
        <w:tc>
          <w:tcPr>
            <w:tcW w:w="140" w:type="dxa"/>
            <w:vAlign w:val="bottom"/>
          </w:tcPr>
          <w:p>
            <w:pPr>
              <w:spacing w:after="0"/>
              <w:rPr>
                <w:sz w:val="10"/>
                <w:szCs w:val="10"/>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140" w:type="dxa"/>
            <w:vAlign w:val="bottom"/>
          </w:tcPr>
          <w:p>
            <w:pPr>
              <w:spacing w:after="0"/>
              <w:rPr>
                <w:sz w:val="10"/>
                <w:szCs w:val="10"/>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 Opry Entertainment Group</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 w:type="dxa"/>
            <w:vAlign w:val="bottom"/>
            <w:shd w:val="clear" w:color="auto" w:fill="CCEEFF"/>
          </w:tcPr>
          <w:p>
            <w:pPr>
              <w:spacing w:after="0"/>
              <w:rPr>
                <w:sz w:val="10"/>
                <w:szCs w:val="10"/>
                <w:color w:val="auto"/>
              </w:rPr>
            </w:pPr>
          </w:p>
        </w:tc>
        <w:tc>
          <w:tcPr>
            <w:tcW w:w="3060" w:type="dxa"/>
            <w:vAlign w:val="bottom"/>
            <w:gridSpan w:val="2"/>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Net (income) loss attributable to other</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w:t>
            </w:r>
          </w:p>
        </w:tc>
        <w:tc>
          <w:tcPr>
            <w:tcW w:w="14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4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4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4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06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Net income available to common stockholders</w:t>
            </w:r>
          </w:p>
        </w:tc>
        <w:tc>
          <w:tcPr>
            <w:tcW w:w="14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34,886</w:t>
            </w:r>
          </w:p>
        </w:tc>
        <w:tc>
          <w:tcPr>
            <w:tcW w:w="14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59,011</w:t>
            </w:r>
          </w:p>
        </w:tc>
        <w:tc>
          <w:tcPr>
            <w:tcW w:w="14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169,600</w:t>
            </w:r>
          </w:p>
        </w:tc>
        <w:tc>
          <w:tcPr>
            <w:tcW w:w="14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80" w:type="dxa"/>
            <w:vAlign w:val="bottom"/>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202,872</w:t>
            </w:r>
          </w:p>
        </w:tc>
        <w:tc>
          <w:tcPr>
            <w:tcW w:w="140" w:type="dxa"/>
            <w:vAlign w:val="bottom"/>
          </w:tcPr>
          <w:p>
            <w:pPr>
              <w:spacing w:after="0"/>
              <w:rPr>
                <w:sz w:val="12"/>
                <w:szCs w:val="12"/>
                <w:color w:val="auto"/>
              </w:rPr>
            </w:pPr>
          </w:p>
        </w:tc>
        <w:tc>
          <w:tcPr>
            <w:tcW w:w="3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left="4420" w:right="739" w:hanging="4370"/>
        <w:spacing w:after="0" w:line="783"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have not been shown as a percentage of revenue because they have no relationship to revenue.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Financial Results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87"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financial results for the three and nine months ended September 30, 2025 and 2024 (in thousands, except percentages and per share data):</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4"/>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4"/>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tcBorders>
              <w:bottom w:val="single" w:sz="8" w:color="auto"/>
            </w:tcBorders>
            <w:gridSpan w:val="4"/>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Borders>
              <w:bottom w:val="single" w:sz="8" w:color="auto"/>
            </w:tcBorders>
            <w:gridSpan w:val="4"/>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60" w:type="dxa"/>
            <w:vAlign w:val="bottom"/>
          </w:tcPr>
          <w:p>
            <w:pPr>
              <w:spacing w:after="0"/>
              <w:rPr>
                <w:sz w:val="10"/>
                <w:szCs w:val="10"/>
                <w:color w:val="auto"/>
              </w:rPr>
            </w:pPr>
          </w:p>
        </w:tc>
        <w:tc>
          <w:tcPr>
            <w:tcW w:w="1160" w:type="dxa"/>
            <w:vAlign w:val="bottom"/>
            <w:gridSpan w:val="2"/>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480" w:type="dxa"/>
            <w:vAlign w:val="bottom"/>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40" w:type="dxa"/>
            <w:vAlign w:val="bottom"/>
            <w:gridSpan w:val="2"/>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480" w:type="dxa"/>
            <w:vAlign w:val="bottom"/>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0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$ 592,458</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$ 549,958</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$ 1,839,253</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$ 1,691,593</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503,846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444,078</w:t>
            </w:r>
          </w:p>
        </w:tc>
        <w:tc>
          <w:tcPr>
            <w:tcW w:w="16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13.5 %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1,495,095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1,321,261</w:t>
            </w:r>
          </w:p>
        </w:tc>
        <w:tc>
          <w:tcPr>
            <w:tcW w:w="14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105,880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344,158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370,332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33,959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60,398</w:t>
            </w:r>
          </w:p>
        </w:tc>
        <w:tc>
          <w:tcPr>
            <w:tcW w:w="16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(43.8)%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172,848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207,899</w:t>
            </w:r>
          </w:p>
        </w:tc>
        <w:tc>
          <w:tcPr>
            <w:tcW w:w="14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available to common</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59,011</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202,872</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98"/>
        </w:trPr>
        <w:tc>
          <w:tcPr>
            <w:tcW w:w="2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available to common</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per share - diluted (1)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60" w:type="dxa"/>
            <w:vAlign w:val="bottom"/>
          </w:tcPr>
          <w:p>
            <w:pPr>
              <w:spacing w:after="0"/>
              <w:rPr>
                <w:sz w:val="20"/>
                <w:szCs w:val="20"/>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(43.6)%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Pr>
          <w:p>
            <w:pPr>
              <w:spacing w:after="0"/>
              <w:rPr>
                <w:sz w:val="20"/>
                <w:szCs w:val="20"/>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720" w:right="29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outstanding shares for the 2025 periods include the issuance of approximately 3.0 million shares of our common stock in May 2025.</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0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increase in our total revenues for the three months ended September 30, 2025, as compared to the same period in 2024, is primarily attributable to an increase in our Hospitality segment and Entertainment segment of $33.8 million and $8.7 million, respectively, as presented in the tables below. The increase in our total revenues for the nine months ended September 30, 2025, as compared to the same period in 2024, is primarily attributable to an increase in our Entertainment segment and Hospitality segment of $80.5 million and $67.2 million, respectively, as presented in the tables below.</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Operating Expenses</w:t>
      </w:r>
    </w:p>
    <w:p>
      <w:pPr>
        <w:spacing w:after="0" w:line="187"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increase in our total operating expenses for the three months ended September 30, 2025, as compared to the same period in 2024, is primarily the result of increases in our Hospitality segment and Entertainment segment of $37.3 million and $6.3 million, respectively, and an increase of $14.2 million in depreciation and amortization expense, as presented in the tables below.</w:t>
      </w:r>
    </w:p>
    <w:p>
      <w:pPr>
        <w:spacing w:after="0" w:line="153"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The increase in our total operating expenses for the nine months ended September 30, 2025, as compared to the same period in 2024, is primarily the result of increases in our Entertainment segment and Hospitality segment of $74.3 million and $70.3 million, respectively, and an increase of $29.1 million in depreciation and amortization expense, as presented in the tables below. In addition, the increase in total operating expenses for the nine months ended September 30, 2025, as compared to the same period in 2024, is partially attributable to the prior year period including a reduction in total operating expenses of $9.1 million related to a refund of Tennessee franchise tax for prior years caused by a change in tax law.</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87"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The above factors resulted in a decrease of $17.3 million and $26.2 million in operating income for the three and nine months ended September 30, 2025, respectively, as compared to the 2024 periods.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00"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Our $26.4 million decrease in net income for the three months ended September 30, 2025, as compared to the same period in 2024, was primarily due to the changes in our revenues and operating expenses reflected above, impacted by the following factors, each as described more fully below:</w:t>
      </w:r>
    </w:p>
    <w:p>
      <w:pPr>
        <w:spacing w:after="0" w:line="135" w:lineRule="exact"/>
        <w:rPr>
          <w:sz w:val="20"/>
          <w:szCs w:val="20"/>
          <w:color w:val="auto"/>
        </w:rPr>
      </w:pPr>
    </w:p>
    <w:p>
      <w:pPr>
        <w:ind w:left="720" w:right="51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$12.7 million increase in interest expense, net, in the 2025 period, as compared to the 2024 period, due to higher outstanding debt balances.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$4.6 million decrease in provision for income taxes in the 2025 period, as compared to the 2024 period.</w:t>
      </w:r>
    </w:p>
    <w:p>
      <w:pPr>
        <w:spacing w:after="0" w:line="198"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Our $35.1 million decrease in net income for the nine months ended September 30, 2025, as compared to the same period in 2024, was primarily due to the changes in our revenues and operating expenses reflected above, impacted by the following factors, each as described more fully below:</w:t>
      </w:r>
    </w:p>
    <w:p>
      <w:pPr>
        <w:spacing w:after="0" w:line="135" w:lineRule="exact"/>
        <w:rPr>
          <w:sz w:val="20"/>
          <w:szCs w:val="20"/>
          <w:color w:val="auto"/>
        </w:rPr>
      </w:pPr>
    </w:p>
    <w:p>
      <w:pPr>
        <w:ind w:left="720" w:right="51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$12.1 million increase in interest expense, net, in the 2025 period, as compared to the 2024 period, due to higher outstanding debt balances.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$5.3 million decrease in provision for income taxes in the 2025 period, as compared to the 2024 period.</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Factors and Trends Contributing to Performance and Current Environment</w:t>
      </w:r>
    </w:p>
    <w:p>
      <w:pPr>
        <w:spacing w:after="0" w:line="18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Important factors and trends contributing to our performance during the three months ended September 30, 2025, compared to the three months ended September 30, 2024, were:</w:t>
      </w:r>
    </w:p>
    <w:p>
      <w:pPr>
        <w:spacing w:after="0" w:line="121" w:lineRule="exact"/>
        <w:rPr>
          <w:sz w:val="20"/>
          <w:szCs w:val="20"/>
          <w:color w:val="auto"/>
        </w:rPr>
      </w:pPr>
    </w:p>
    <w:p>
      <w:pPr>
        <w:ind w:left="720" w:right="13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JW Marriott Desert Ridge, including $36.1 million in revenues; the property averaged $146.63 in RevPAR and $413.25 in Total RevPAR.</w:t>
      </w:r>
    </w:p>
    <w:p>
      <w:pPr>
        <w:spacing w:after="0" w:line="134"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same-store (Hospitality segment excluding JW Marriott Desert Ridge) ADR of 2.2% in the 2025 period, as compared to the 2024 period.</w:t>
      </w:r>
    </w:p>
    <w:p>
      <w:pPr>
        <w:spacing w:after="0" w:line="121" w:lineRule="exact"/>
        <w:rPr>
          <w:rFonts w:ascii="Times New Roman" w:cs="Times New Roman" w:eastAsia="Times New Roman" w:hAnsi="Times New Roman"/>
          <w:sz w:val="18"/>
          <w:szCs w:val="18"/>
          <w:color w:val="auto"/>
        </w:rPr>
      </w:pPr>
    </w:p>
    <w:p>
      <w:pPr>
        <w:ind w:left="720" w:right="219" w:hanging="319"/>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same-store group rooms traveled in the 2025 period of 6.1% from the 2024 period and an increase in same-store transient rooms traveled in the 2025 period of 5.4% from the 2024 period, as the 2024 period included strong corporate group room nights traveled.</w:t>
      </w:r>
    </w:p>
    <w:p>
      <w:pPr>
        <w:spacing w:after="0" w:line="135"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in-the-year-for-the-year cancelled room nights at our hotels increased by approximately 11,000 rooms in the 2025 period, as compared to the 2024 period, as macroeconomic uncertainty has impacted current period results.</w:t>
      </w:r>
    </w:p>
    <w:p>
      <w:pPr>
        <w:spacing w:after="0" w:line="148"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12.0% in total revenue and Total RevPAR at Gaylord National in the 2025 period, as compared to the 2024 period, primarily as a result of an increase in group room nights traveled and the related increase in catering business.</w:t>
      </w:r>
    </w:p>
    <w:p>
      <w:pPr>
        <w:spacing w:after="0" w:line="135" w:lineRule="exact"/>
        <w:rPr>
          <w:rFonts w:ascii="Times New Roman" w:cs="Times New Roman" w:eastAsia="Times New Roman" w:hAnsi="Times New Roman"/>
          <w:sz w:val="18"/>
          <w:szCs w:val="18"/>
          <w:color w:val="auto"/>
        </w:rPr>
      </w:pPr>
    </w:p>
    <w:p>
      <w:pPr>
        <w:ind w:left="720" w:right="199" w:hanging="319"/>
        <w:spacing w:after="0" w:line="289" w:lineRule="auto"/>
        <w:tabs>
          <w:tab w:leader="none" w:pos="7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7.3% in total revenue and Total RevPAR at Gaylord Rockies in the 2025 period, as compared to the 2024 period, primarily as a result of an increase in transient room nights traveled and an increase in food and beverage outlet revenue associated with the multi-year enhancement project completed at the property in 2024.</w:t>
      </w:r>
    </w:p>
    <w:p>
      <w:pPr>
        <w:spacing w:after="0" w:line="117" w:lineRule="exact"/>
        <w:rPr>
          <w:rFonts w:ascii="Times New Roman" w:cs="Times New Roman" w:eastAsia="Times New Roman" w:hAnsi="Times New Roman"/>
          <w:sz w:val="17"/>
          <w:szCs w:val="17"/>
          <w:color w:val="auto"/>
        </w:rPr>
      </w:pPr>
    </w:p>
    <w:p>
      <w:pPr>
        <w:ind w:left="720" w:right="79" w:hanging="319"/>
        <w:spacing w:after="0" w:line="261"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10.3% in total revenue and Total RevPAR at Gaylord Opryland in the 2025 period, as compared to the 2024 period, primarily as a result of a decrease in group room nights traveled and ongoing construction-related disruption at the property. The decrease in group room nights traveled was exacerbated by macroeconomic uncertainty.</w:t>
      </w:r>
    </w:p>
    <w:p>
      <w:pPr>
        <w:spacing w:after="0" w:line="152" w:lineRule="exact"/>
        <w:rPr>
          <w:rFonts w:ascii="Times New Roman" w:cs="Times New Roman" w:eastAsia="Times New Roman" w:hAnsi="Times New Roman"/>
          <w:sz w:val="18"/>
          <w:szCs w:val="18"/>
          <w:color w:val="auto"/>
        </w:rPr>
      </w:pPr>
    </w:p>
    <w:p>
      <w:pPr>
        <w:jc w:val="both"/>
        <w:ind w:left="720" w:right="23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of 10.5% and 10.2% in Entertainment revenue and Entertainment operating expenses, respectively, in the 2025 period, as compared to the 2024 period. Entertainment segment results benefited from the operation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679"/>
        <w:spacing w:after="0" w:line="282" w:lineRule="auto"/>
        <w:rPr>
          <w:sz w:val="20"/>
          <w:szCs w:val="20"/>
          <w:color w:val="auto"/>
        </w:rPr>
      </w:pPr>
      <w:r>
        <w:rPr>
          <w:rFonts w:ascii="Times New Roman" w:cs="Times New Roman" w:eastAsia="Times New Roman" w:hAnsi="Times New Roman"/>
          <w:sz w:val="18"/>
          <w:szCs w:val="18"/>
          <w:color w:val="auto"/>
        </w:rPr>
        <w:t>Category 10, which opened in November 2024, as well as the W Austin, which faced construction-related disruptions in the prior year period.</w:t>
      </w:r>
    </w:p>
    <w:p>
      <w:pPr>
        <w:spacing w:after="0" w:line="135"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Important factors and trends contributing to our performance during the nine months ended September 30, 2025, compared to the nine months ended September 30, 2024, were:</w:t>
      </w:r>
    </w:p>
    <w:p>
      <w:pPr>
        <w:spacing w:after="0" w:line="121" w:lineRule="exact"/>
        <w:rPr>
          <w:sz w:val="20"/>
          <w:szCs w:val="20"/>
          <w:color w:val="auto"/>
        </w:rPr>
      </w:pPr>
    </w:p>
    <w:p>
      <w:pPr>
        <w:ind w:left="720" w:right="71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JW Marriott Desert Ridge, including $41.5 million in revenues; for our ownership period beginning June 10, 2025, the property averaged $136.07 in RevPAR and $386.27 in Total RevPAR.</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same-store ADR of 2.3% in the 2025 period, as compared to the 2024 period.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same-store transient rooms traveled in the 2025 period of 4.1% over the 2024 period.</w:t>
      </w:r>
    </w:p>
    <w:p>
      <w:pPr>
        <w:spacing w:after="0" w:line="184"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in-the-year-for-the-year cancelled room nights at our hotels increased by approximately 24,000 rooms in the 2025 period, as compared to the 2024 period, as macroeconomic uncertainty has impacted current period results.</w:t>
      </w:r>
    </w:p>
    <w:p>
      <w:pPr>
        <w:spacing w:after="0" w:line="135" w:lineRule="exact"/>
        <w:rPr>
          <w:rFonts w:ascii="Times New Roman" w:cs="Times New Roman" w:eastAsia="Times New Roman" w:hAnsi="Times New Roman"/>
          <w:sz w:val="18"/>
          <w:szCs w:val="18"/>
          <w:color w:val="auto"/>
        </w:rPr>
      </w:pPr>
    </w:p>
    <w:p>
      <w:pPr>
        <w:ind w:left="720" w:right="239" w:hanging="319"/>
        <w:spacing w:after="0" w:line="258"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of 33.0% and 42.7% in Entertainment revenue and Entertainment operating expenses, respectively, in the 2025 period, as compared to the 2024 period, primarily related to Southern Entertainment, which was negatively impacted by several weather-related events. Entertainment segment results also benefited from the operation of Category 10, which opened in November 2024, as well as the W Austin, which faced construction-related disruptions in the prior year period.</w:t>
      </w:r>
    </w:p>
    <w:p>
      <w:pPr>
        <w:spacing w:after="0" w:line="156" w:lineRule="exact"/>
        <w:rPr>
          <w:rFonts w:ascii="Times New Roman" w:cs="Times New Roman" w:eastAsia="Times New Roman" w:hAnsi="Times New Roman"/>
          <w:sz w:val="18"/>
          <w:szCs w:val="18"/>
          <w:color w:val="auto"/>
        </w:rPr>
      </w:pPr>
    </w:p>
    <w:p>
      <w:pPr>
        <w:ind w:left="720" w:right="99" w:hanging="319"/>
        <w:spacing w:after="0" w:line="261"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for the nine months ended September 30, 2024 were reduced by a $9.1 million refund of Tennessee franchise tax for prior years caused by a change in tax law, which did not recur in 2025. This reduction was comprised of $5.6 million, $3.4 million and $0.1 million in our Hospitality segment, Entertainment segment and Corporate and Other segment, respectively.</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important factors and trends for the three and nine months ended, and as of, September 30, 2025 include:</w:t>
      </w:r>
    </w:p>
    <w:p>
      <w:pPr>
        <w:spacing w:after="0" w:line="185" w:lineRule="exact"/>
        <w:rPr>
          <w:sz w:val="20"/>
          <w:szCs w:val="20"/>
          <w:color w:val="auto"/>
        </w:rPr>
      </w:pPr>
    </w:p>
    <w:p>
      <w:pPr>
        <w:ind w:left="720" w:right="79" w:hanging="319"/>
        <w:spacing w:after="0" w:line="25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gross definite group room nights booked at our hotels for all future periods in the three and nine months ended September 30, 2025 has increased 9.2% and decreased 1.9%, respectively, as compared to the same periods in 2024; the increase in near-term cancellations noted above, as ongoing economic policy uncertainty is weighing on near-term meeting planner decision-making, has resulted in a decrease of 3.6% and 8.4%, respectively, in same-store net definite group room nights booked at our hotels in the 2025 periods, as compared to the 2024 periods.</w:t>
      </w:r>
    </w:p>
    <w:p>
      <w:pPr>
        <w:spacing w:after="0" w:line="160" w:lineRule="exact"/>
        <w:rPr>
          <w:rFonts w:ascii="Times New Roman" w:cs="Times New Roman" w:eastAsia="Times New Roman" w:hAnsi="Times New Roman"/>
          <w:sz w:val="18"/>
          <w:szCs w:val="18"/>
          <w:color w:val="auto"/>
        </w:rPr>
      </w:pPr>
    </w:p>
    <w:p>
      <w:pPr>
        <w:ind w:left="720" w:right="339" w:hanging="319"/>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group room nights on the books for all future years at our hotels at September 30, 2025 are 3.3% higher than the number on the books at the same point in 2024. In addition, the estimated ADR on those group room nights on the books at September 30, 2025 is 5.2% higher than the same point in 2024.</w:t>
      </w:r>
    </w:p>
    <w:p>
      <w:pPr>
        <w:spacing w:after="0" w:line="135" w:lineRule="exact"/>
        <w:rPr>
          <w:rFonts w:ascii="Times New Roman" w:cs="Times New Roman" w:eastAsia="Times New Roman" w:hAnsi="Times New Roman"/>
          <w:sz w:val="18"/>
          <w:szCs w:val="18"/>
          <w:color w:val="auto"/>
        </w:rPr>
      </w:pPr>
    </w:p>
    <w:p>
      <w:pPr>
        <w:ind w:left="720" w:right="199" w:hanging="319"/>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Nashville visitation and tourism trends remain steady, new hotel supply has impacted transient occupancy levels and, more recently, room rates. We expect this incremental transient rate risk to continue for Gaylord Opryland for the remainder of 2025.</w:t>
      </w:r>
    </w:p>
    <w:p>
      <w:pPr>
        <w:spacing w:after="0" w:line="135" w:lineRule="exact"/>
        <w:rPr>
          <w:rFonts w:ascii="Times New Roman" w:cs="Times New Roman" w:eastAsia="Times New Roman" w:hAnsi="Times New Roman"/>
          <w:sz w:val="18"/>
          <w:szCs w:val="18"/>
          <w:color w:val="auto"/>
        </w:rPr>
      </w:pPr>
    </w:p>
    <w:p>
      <w:pPr>
        <w:ind w:left="720" w:right="99" w:hanging="319"/>
        <w:spacing w:after="0" w:line="258"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strong revenues in recent periods have partially mitigated increasing operating costs in the current inflationary environment. In addition, while in recent years we have experienced higher interest rates than in historical periods, interest rates on our debt have decreased in the three and nine months ended September 30, 2025, as compared to the same periods in 2024. The current inflationary environment is expected to continue in at least the near future.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Detailed Segment Financial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Hospitality Segment</w:t>
      </w:r>
    </w:p>
    <w:p>
      <w:pPr>
        <w:spacing w:after="0" w:line="187" w:lineRule="exact"/>
        <w:rPr>
          <w:sz w:val="20"/>
          <w:szCs w:val="20"/>
          <w:color w:val="auto"/>
        </w:rPr>
      </w:pPr>
    </w:p>
    <w:p>
      <w:pPr>
        <w:ind w:left="60" w:right="6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Hospitality segment for the three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2025 and 2024 (in thousands, except percentages and performance metrics):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10"/>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4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195,227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184,154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2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585,359</w:t>
            </w:r>
          </w:p>
        </w:tc>
        <w:tc>
          <w:tcPr>
            <w:tcW w:w="3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557,284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233,674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224,835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737,328</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719,304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tcBorders>
              <w:bottom w:val="single" w:sz="8" w:color="CCEEFF"/>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revenue</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71,968</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58,054</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260" w:type="dxa"/>
            <w:vAlign w:val="bottom"/>
            <w:tcBorders>
              <w:bottom w:val="single" w:sz="8" w:color="CCEEFF"/>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192,123</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171,012</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3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revenue</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500,869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467,043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w:t>
            </w:r>
          </w:p>
        </w:tc>
        <w:tc>
          <w:tcPr>
            <w:tcW w:w="26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1,514,810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1,447,600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w:t>
            </w:r>
          </w:p>
        </w:tc>
        <w:tc>
          <w:tcPr>
            <w:tcW w:w="3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Hospitality operating expenses: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48,668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45,129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2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142,195</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134,292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139,961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127,040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2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414,252</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387,588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expenses (1)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144,882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123,716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2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399,394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360,298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Management fees, net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16,551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16,889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52,930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56,300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4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63,729</w:t>
            </w:r>
          </w:p>
        </w:tc>
        <w:tc>
          <w:tcPr>
            <w:tcW w:w="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51,488</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2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175,232</w:t>
            </w: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152,271</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bottom w:val="single" w:sz="8" w:color="CCEEFF"/>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operating expenses</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413,791</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364,262</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13.6</w:t>
            </w:r>
          </w:p>
        </w:tc>
        <w:tc>
          <w:tcPr>
            <w:tcW w:w="260" w:type="dxa"/>
            <w:vAlign w:val="bottom"/>
            <w:tcBorders>
              <w:bottom w:val="single" w:sz="8" w:color="CCEEF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1,184,003</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1,090,749</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8.5</w:t>
            </w:r>
          </w:p>
        </w:tc>
        <w:tc>
          <w:tcPr>
            <w:tcW w:w="3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Hospitality operating income</w:t>
            </w: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87,078</w:t>
            </w:r>
          </w:p>
        </w:tc>
        <w:tc>
          <w:tcPr>
            <w:tcW w:w="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102,781</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3"/>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(15.3)%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330,807</w:t>
            </w: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356,851</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3"/>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0"/>
        </w:trPr>
        <w:tc>
          <w:tcPr>
            <w:tcW w:w="3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Hospitality performance metrics:</w:t>
            </w: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2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66.6</w:t>
            </w:r>
          </w:p>
        </w:tc>
        <w:tc>
          <w:tcPr>
            <w:tcW w:w="20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(2.9)pts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69.8</w:t>
            </w:r>
          </w:p>
        </w:tc>
        <w:tc>
          <w:tcPr>
            <w:tcW w:w="2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(0.2)pts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257.74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252.42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260.25</w:t>
            </w:r>
          </w:p>
        </w:tc>
        <w:tc>
          <w:tcPr>
            <w:tcW w:w="3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254.72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(2)</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171.63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175.37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181.60</w:t>
            </w:r>
          </w:p>
        </w:tc>
        <w:tc>
          <w:tcPr>
            <w:tcW w:w="3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178.19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(3)</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440.33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444.77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469.95</w:t>
            </w:r>
          </w:p>
        </w:tc>
        <w:tc>
          <w:tcPr>
            <w:tcW w:w="3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462.87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505,644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477,121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2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1,263,520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1,315,138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Same-store Hospitality performance metrics (4):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67.3</w:t>
            </w:r>
          </w:p>
        </w:tc>
        <w:tc>
          <w:tcPr>
            <w:tcW w:w="20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(2.2)pts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70.3</w:t>
            </w:r>
          </w:p>
        </w:tc>
        <w:tc>
          <w:tcPr>
            <w:tcW w:w="2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258.04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252.42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260.52</w:t>
            </w:r>
          </w:p>
        </w:tc>
        <w:tc>
          <w:tcPr>
            <w:tcW w:w="3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254.72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(2)</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173.71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175.37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183.17</w:t>
            </w:r>
          </w:p>
        </w:tc>
        <w:tc>
          <w:tcPr>
            <w:tcW w:w="3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178.19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(3)</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442.58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444.77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472.83</w:t>
            </w:r>
          </w:p>
        </w:tc>
        <w:tc>
          <w:tcPr>
            <w:tcW w:w="3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462.87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459,897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477,121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1,204,951</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1,315,138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539" w:hanging="330"/>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hotel expenses for the nine months ended September 30, 2024 were reduced by a refund of $5.6 million of Tennessee franchise tax for prior years caused by a change in tax law.</w:t>
      </w:r>
    </w:p>
    <w:p>
      <w:pPr>
        <w:spacing w:after="0" w:line="134" w:lineRule="exact"/>
        <w:rPr>
          <w:rFonts w:ascii="Times New Roman" w:cs="Times New Roman" w:eastAsia="Times New Roman" w:hAnsi="Times New Roman"/>
          <w:sz w:val="18"/>
          <w:szCs w:val="18"/>
          <w:color w:val="auto"/>
        </w:rPr>
      </w:pPr>
    </w:p>
    <w:p>
      <w:pPr>
        <w:ind w:left="380" w:right="239" w:hanging="330"/>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RevPAR by dividing room revenue by room nights available to guests for the period. Room nights available to guests include nights that rooms are out of service. Hospitality RevPAR is not comparable to similarly titled measures such as revenues.</w:t>
      </w:r>
    </w:p>
    <w:p>
      <w:pPr>
        <w:spacing w:after="0" w:line="135" w:lineRule="exact"/>
        <w:rPr>
          <w:rFonts w:ascii="Times New Roman" w:cs="Times New Roman" w:eastAsia="Times New Roman" w:hAnsi="Times New Roman"/>
          <w:sz w:val="18"/>
          <w:szCs w:val="18"/>
          <w:color w:val="auto"/>
        </w:rPr>
      </w:pPr>
    </w:p>
    <w:p>
      <w:pPr>
        <w:ind w:left="380" w:right="219" w:hanging="330"/>
        <w:spacing w:after="0" w:line="261"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Total RevPAR by dividing the sum of room, food and beverage, and other ancillary services revenue (which equals Hospitality segment revenue) by room nights available to guests for the period. Room nights available to guests include nights that rooms are out of service. Hospitality Total RevPAR is not comparable to similarly titled measures such as revenues.</w:t>
      </w:r>
    </w:p>
    <w:p>
      <w:pPr>
        <w:spacing w:after="0" w:line="139" w:lineRule="exact"/>
        <w:rPr>
          <w:rFonts w:ascii="Times New Roman" w:cs="Times New Roman" w:eastAsia="Times New Roman" w:hAnsi="Times New Roman"/>
          <w:sz w:val="18"/>
          <w:szCs w:val="18"/>
          <w:color w:val="auto"/>
        </w:rPr>
      </w:pPr>
    </w:p>
    <w:p>
      <w:pPr>
        <w:ind w:left="380" w:right="359" w:hanging="330"/>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Hospitality segment metrics do not include JW Marriott Desert Ridge, which we purchased on June 10, 2025.</w:t>
      </w:r>
    </w:p>
    <w:p>
      <w:pPr>
        <w:spacing w:after="0" w:line="135" w:lineRule="exact"/>
        <w:rPr>
          <w:sz w:val="20"/>
          <w:szCs w:val="20"/>
          <w:color w:val="auto"/>
        </w:rPr>
      </w:pPr>
    </w:p>
    <w:p>
      <w:pPr>
        <w:ind w:left="60" w:right="479"/>
        <w:spacing w:after="0" w:line="266" w:lineRule="auto"/>
        <w:rPr>
          <w:sz w:val="20"/>
          <w:szCs w:val="20"/>
          <w:color w:val="auto"/>
        </w:rPr>
      </w:pPr>
      <w:r>
        <w:rPr>
          <w:rFonts w:ascii="Times New Roman" w:cs="Times New Roman" w:eastAsia="Times New Roman" w:hAnsi="Times New Roman"/>
          <w:sz w:val="18"/>
          <w:szCs w:val="18"/>
          <w:color w:val="auto"/>
        </w:rPr>
        <w:t>Total Hospitality segment revenues in the three and nine months ended September 30, 2025 include $11.7 million and $27.9 million, respectively, in attrition and cancellation fee revenue, an increase of $3.8 million and $1.7 million, respectively, in attrition and cancellation fee collections from the 2024 periods.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The percentage of group versus transient business based on rooms sold for our Hospitality segment for the periods presented was approximately as follows:</w:t>
      </w:r>
    </w:p>
    <w:p>
      <w:pPr>
        <w:spacing w:after="0" w:line="1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640" w:type="dxa"/>
            <w:vAlign w:val="bottom"/>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gridSpan w:val="5"/>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4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560" w:type="dxa"/>
            <w:vAlign w:val="bottom"/>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Transient</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29 %</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26 %</w:t>
            </w: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24 %</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23 %</w:t>
            </w:r>
          </w:p>
        </w:tc>
      </w:tr>
    </w:tbl>
    <w:p>
      <w:pPr>
        <w:spacing w:after="0" w:line="179"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Other hotel expenses for the three and nine months ended September 30, 2025 and 2024 consist of the following (in thousands):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5"/>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4"/>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Borders>
              <w:bottom w:val="single" w:sz="8" w:color="auto"/>
            </w:tcBorders>
            <w:gridSpan w:val="4"/>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0"/>
                <w:szCs w:val="10"/>
                <w:color w:val="auto"/>
              </w:rPr>
            </w:pPr>
          </w:p>
        </w:tc>
        <w:tc>
          <w:tcPr>
            <w:tcW w:w="500" w:type="dxa"/>
            <w:vAlign w:val="bottom"/>
            <w:gridSpan w:val="2"/>
          </w:tcPr>
          <w:p>
            <w:pPr>
              <w:jc w:val="right"/>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90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480" w:type="dxa"/>
            <w:vAlign w:val="bottom"/>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employment costs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46,355</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$ 153,053</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$ 141,475</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12,536</w:t>
            </w:r>
          </w:p>
        </w:tc>
        <w:tc>
          <w:tcPr>
            <w:tcW w:w="120" w:type="dxa"/>
            <w:vAlign w:val="bottom"/>
          </w:tcPr>
          <w:p>
            <w:pPr>
              <w:spacing w:after="0"/>
              <w:rPr>
                <w:sz w:val="18"/>
                <w:szCs w:val="18"/>
                <w:color w:val="auto"/>
              </w:rPr>
            </w:pPr>
          </w:p>
        </w:tc>
        <w:tc>
          <w:tcPr>
            <w:tcW w:w="7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14.5 %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35,009</w:t>
            </w:r>
          </w:p>
        </w:tc>
        <w:tc>
          <w:tcPr>
            <w:tcW w:w="14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53,311</w:t>
            </w:r>
          </w:p>
        </w:tc>
        <w:tc>
          <w:tcPr>
            <w:tcW w:w="120" w:type="dxa"/>
            <w:vAlign w:val="bottom"/>
          </w:tcPr>
          <w:p>
            <w:pPr>
              <w:spacing w:after="0"/>
              <w:rPr>
                <w:sz w:val="18"/>
                <w:szCs w:val="18"/>
                <w:color w:val="auto"/>
              </w:rPr>
            </w:pPr>
          </w:p>
        </w:tc>
        <w:tc>
          <w:tcPr>
            <w:tcW w:w="7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17.2 %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171,920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149,936</w:t>
            </w:r>
          </w:p>
        </w:tc>
        <w:tc>
          <w:tcPr>
            <w:tcW w:w="14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hotel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123,716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17.1 %</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$ 399,394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$ 360,298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Administrative employment costs include salaries and benefits for hotel administrative functions, including, among others, senior management, accounting, human resources, sales, conference services, engineering and security. Administrative employment costs and utility costs increased in the three and nine months ended September 30, 2025, as compared to the same periods in 2024, primarily due to JW Marriott Desert Ridge. The increase in property taxes during the three and nine months ended September 30, 2025, as compared to the 2024 periods, was primarily due to JW Marriott Desert Ridge, as well as slight increases at several Hospitality segment properties due to recent reappraisals. The increase in other expenses, which include supplies, advertising, maintenance costs and consulting costs, during the three and nine months ended September 30, 2025, as compared to the same periods in 2024, was primarily due to JW Marriott Desert Ridge, as well as slight increases of various miscellaneous expenses across the Hospitality segment. In addition, the nine-month 2024 period includes a refund of $5.6 million of Tennessee franchise tax for prior years caused by a change in tax law, which reduced other expenses in the nine-month 2024 period.</w:t>
      </w:r>
    </w:p>
    <w:p>
      <w:pPr>
        <w:spacing w:after="0" w:line="151"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Each of our management agreements with Marriott requires us to pay Marriott a base management fee based on the gross revenues from the applicable property for each fiscal year or portion thereof. The applicable percentage for our Gaylord Hotels properties, excluding Gaylord Rockies, is approximately 2% of gross revenues, Gaylord Rockies and JW Marriott Desert Ridge are approximately 3% of gross revenues, and JW Marriott Hill Country is approximately 3.5% of gross revenues. Additionally, we pay Marriott an incentive management fee based on the profitability of our hotels. In the three months ended September 30, 2025 and 2024, we incurred $12.0 million and $11.0 million, respectively, and in the nine months ended September 30, 2025 and 2024, we incurred $36.0 million and $34.0 million, respectively, related to base management fees for our Hospitality segment. In the three months ended September 30, 2025 and 2024, we incurred $5.3 million and $6.7 million, respectively, and in the nine months ended September 30, 2025 and 2024, we incurred $19.3 million and $24.6 million, respectively, related to incentive management fees for our Hospitality segment. Management fees are presented throughout this Quarterly Report on Form 10-Q net of the amortization of the deferred management rights proceeds discussed in Note 9, “Deferred Management Rights Proceeds,” to the accompanying condensed consolidated financial statements included herein.</w:t>
      </w:r>
    </w:p>
    <w:p>
      <w:pPr>
        <w:spacing w:after="0" w:line="160"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Total Hospitality segment depreciation and amortization expense increased in the three and nine months ended September 30, 2025, as compared to the same period in 2024, primarily due to an increase at Gaylord Palms associated with the addition of depreciable assets associated with the property’s rooms and lobby renovation, as well as the increase in depreciable assets associated with JW Marriott Desert Ridge.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Property-Level Results. </w:t>
      </w:r>
      <w:r>
        <w:rPr>
          <w:rFonts w:ascii="Times New Roman" w:cs="Times New Roman" w:eastAsia="Times New Roman" w:hAnsi="Times New Roman"/>
          <w:sz w:val="18"/>
          <w:szCs w:val="18"/>
          <w:color w:val="auto"/>
        </w:rPr>
        <w:t>The following presents the property-level financial results of our Hospitality segment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nine months ended September 30, 2025 and 2024.</w:t>
      </w:r>
    </w:p>
    <w:p>
      <w:pPr>
        <w:spacing w:after="0" w:line="158" w:lineRule="exact"/>
        <w:rPr>
          <w:sz w:val="20"/>
          <w:szCs w:val="20"/>
          <w:color w:val="auto"/>
        </w:rPr>
      </w:pPr>
    </w:p>
    <w:p>
      <w:pPr>
        <w:ind w:left="60" w:right="2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Opryland Results. </w:t>
      </w:r>
      <w:r>
        <w:rPr>
          <w:rFonts w:ascii="Times New Roman" w:cs="Times New Roman" w:eastAsia="Times New Roman" w:hAnsi="Times New Roman"/>
          <w:sz w:val="18"/>
          <w:szCs w:val="18"/>
          <w:color w:val="auto"/>
        </w:rPr>
        <w:t>The results of Gaylord Opryland for the three and nine months ended September 30,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are as follows (in thousands, except percentages and performance metrics):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46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48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45,615</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48,487</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138,599</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142,165</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57,020</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150,241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163,779</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17,489</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17,152</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47,881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50,902</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96"/>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110,078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122,659</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336,721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356,846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10,707</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3"/>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29,760</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80,901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84,884</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 (1)</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31,310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31,715</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90,350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86,400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03"/>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5,652</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17,723</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8,132</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8,203</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24,767</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0.9 %</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79,395</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86,037</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240,796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244,757</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30,683</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36,622</w:t>
            </w: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95,925</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112,089</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64.0 %</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71.8 %</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(7.8)pts</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68.1 %</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70.8 %</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(2.7)pts</w:t>
            </w:r>
          </w:p>
        </w:tc>
        <w:tc>
          <w:tcPr>
            <w:tcW w:w="0" w:type="dxa"/>
            <w:vAlign w:val="bottom"/>
          </w:tcPr>
          <w:p>
            <w:pPr>
              <w:spacing w:after="0"/>
              <w:rPr>
                <w:sz w:val="1"/>
                <w:szCs w:val="1"/>
                <w:color w:val="auto"/>
              </w:rPr>
            </w:pPr>
          </w:p>
        </w:tc>
      </w:tr>
      <w:tr>
        <w:trPr>
          <w:trHeight w:val="203"/>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268.20</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254.05</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258.31</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253.83</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182.49</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0"/>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414.30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461.65</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427.08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450.95</w:t>
            </w:r>
          </w:p>
        </w:tc>
        <w:tc>
          <w:tcPr>
            <w:tcW w:w="2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0" w:lineRule="exact"/>
        <w:rPr>
          <w:sz w:val="20"/>
          <w:szCs w:val="20"/>
          <w:color w:val="auto"/>
        </w:rPr>
      </w:pPr>
    </w:p>
    <w:p>
      <w:pPr>
        <w:ind w:left="720" w:right="17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hotel expenses for the nine months ended September 30, 2024 were reduced by a refund of $5.4 million of Tennessee franchise tax for prior years caused by a change in tax law.</w:t>
      </w:r>
    </w:p>
    <w:p>
      <w:pPr>
        <w:spacing w:after="0" w:line="160" w:lineRule="exact"/>
        <w:rPr>
          <w:sz w:val="20"/>
          <w:szCs w:val="20"/>
          <w:color w:val="auto"/>
        </w:rPr>
      </w:pPr>
    </w:p>
    <w:p>
      <w:pPr>
        <w:ind w:left="60" w:right="2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Palms Results. </w:t>
      </w:r>
      <w:r>
        <w:rPr>
          <w:rFonts w:ascii="Times New Roman" w:cs="Times New Roman" w:eastAsia="Times New Roman" w:hAnsi="Times New Roman"/>
          <w:sz w:val="18"/>
          <w:szCs w:val="18"/>
          <w:color w:val="auto"/>
        </w:rPr>
        <w:t>The results of Gaylord Palms for the three and nine months ended September 30, 2025 and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as follows (in thousands, except percentages and performance metrics):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0"/>
                <w:szCs w:val="10"/>
                <w:color w:val="auto"/>
              </w:rPr>
            </w:pPr>
          </w:p>
        </w:tc>
        <w:tc>
          <w:tcPr>
            <w:tcW w:w="68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520" w:type="dxa"/>
            <w:vAlign w:val="bottom"/>
            <w:gridSpan w:val="2"/>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48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23,352</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$ 21,511</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8.6 %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85,792</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75,777</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13.2 %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33,088</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37,730</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111,531</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120,271</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10,305</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9,001</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14.5 %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26,456</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16.9 %</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66,745</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68,242</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228,251</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222,504</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5,965</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5,867</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19,477</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18,503</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19,621</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20,292</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62,238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62,792</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21,527</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67,476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64,285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9.6 %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8,038</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8,851</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6,318</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40.1 %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25,670</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18,078</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42.0 %</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58,748</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55,919</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5.1 %</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182,801</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171,696</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6.5 %</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7,997</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$ 12,323</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45,450</w:t>
            </w: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50,808</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64.2 %</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61.0 %</w:t>
            </w: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 pts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73.0 %</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66.0 %</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7.0 pts</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230.01</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$ 223.10</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3.1 %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250.64</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243.86</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147.75</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$ 136.09</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8.6 %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182.92</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160.98</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13.6 %</w:t>
            </w:r>
          </w:p>
        </w:tc>
        <w:tc>
          <w:tcPr>
            <w:tcW w:w="0" w:type="dxa"/>
            <w:vAlign w:val="bottom"/>
          </w:tcPr>
          <w:p>
            <w:pPr>
              <w:spacing w:after="0"/>
              <w:rPr>
                <w:sz w:val="1"/>
                <w:szCs w:val="1"/>
                <w:color w:val="auto"/>
              </w:rPr>
            </w:pPr>
          </w:p>
        </w:tc>
      </w:tr>
      <w:tr>
        <w:trPr>
          <w:trHeight w:val="210"/>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422.29</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$ 431.76</w:t>
            </w:r>
          </w:p>
        </w:tc>
        <w:tc>
          <w:tcPr>
            <w:tcW w:w="1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486.66</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472.68</w:t>
            </w:r>
          </w:p>
        </w:tc>
        <w:tc>
          <w:tcPr>
            <w:tcW w:w="2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3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Texan Results. </w:t>
      </w:r>
      <w:r>
        <w:rPr>
          <w:rFonts w:ascii="Times New Roman" w:cs="Times New Roman" w:eastAsia="Times New Roman" w:hAnsi="Times New Roman"/>
          <w:sz w:val="18"/>
          <w:szCs w:val="18"/>
          <w:color w:val="auto"/>
        </w:rPr>
        <w:t>The results of Gaylord Texan for the three and nine months ended September 30, 2025 and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as follows (in thousands, except percentages and performance metrics):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2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2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1420" w:type="dxa"/>
            <w:vAlign w:val="bottom"/>
            <w:gridSpan w:val="2"/>
            <w:vMerge w:val="restart"/>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0"/>
                <w:szCs w:val="10"/>
                <w:color w:val="auto"/>
              </w:rPr>
            </w:pPr>
          </w:p>
        </w:tc>
        <w:tc>
          <w:tcPr>
            <w:tcW w:w="68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520" w:type="dxa"/>
            <w:vAlign w:val="bottom"/>
            <w:gridSpan w:val="2"/>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48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$ 27,848</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$ 29,676</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(6.2)%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88,603</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91,534</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35,704</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35,055</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125,364</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124,963</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10,530</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8,365</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25.9 %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25,398</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14.1 %</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74,082</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73,096</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1.3 %</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242,953</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241,895</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7,064</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6,444</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9.6 %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20,414</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19,381</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5.3 %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65,857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65,447</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19,389</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8.8 %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60,623</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57,232</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5.9 %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3,465</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11,443</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6,221</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5,720</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8.8 %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18,307</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57,602</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54,399</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5.9 %</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173,776</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170,852</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8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$ 16,480</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$ 18,697</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69,177</w:t>
            </w: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71,043</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67.0 %</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71.8 %</w:t>
            </w: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(4.8)pts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70.7 %</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74.6 %</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(3.9)pts</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$ 248.99</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$ 247.51</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0.6 %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253.19</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246.78</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$ 166.86</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$ 177.82</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178.91</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0"/>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$ 443.90</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$ 437.99</w:t>
            </w:r>
          </w:p>
        </w:tc>
        <w:tc>
          <w:tcPr>
            <w:tcW w:w="1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1.3 %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490.59</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486.68</w:t>
            </w:r>
          </w:p>
        </w:tc>
        <w:tc>
          <w:tcPr>
            <w:tcW w:w="2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right="3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National Results. </w:t>
      </w:r>
      <w:r>
        <w:rPr>
          <w:rFonts w:ascii="Times New Roman" w:cs="Times New Roman" w:eastAsia="Times New Roman" w:hAnsi="Times New Roman"/>
          <w:sz w:val="18"/>
          <w:szCs w:val="18"/>
          <w:color w:val="auto"/>
        </w:rPr>
        <w:t>The results of Gaylord National for the three and nine months ended September 30,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are as follows (in thousands, except percentages and performance metrics):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20" w:type="dxa"/>
            <w:vAlign w:val="bottom"/>
            <w:gridSpan w:val="9"/>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1420" w:type="dxa"/>
            <w:vAlign w:val="bottom"/>
            <w:gridSpan w:val="2"/>
            <w:vMerge w:val="restart"/>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520" w:type="dxa"/>
            <w:vAlign w:val="bottom"/>
            <w:gridSpan w:val="2"/>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48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$ 29,158</w:t>
            </w:r>
          </w:p>
        </w:tc>
        <w:tc>
          <w:tcPr>
            <w:tcW w:w="1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28,092</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3.8 %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94,040</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89,680</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35,550</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16.7 %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127,258</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117,942</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7.9 %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7,443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6,109</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21.8 %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18,772</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12.1 %</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78,098</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69,751</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12.0 %</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242,340</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226,394</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10,549</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9,980</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5.7 %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33,505</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31,029</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8.0 %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24,222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21,806</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11.1 %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75,481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67,964</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19,953</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9.8 %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66,331</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61,617</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7.7 %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50.2 %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11.2 %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8,451</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0.2 %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25,398</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25,257</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66,758</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61,258</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9.0 %</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205,708</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190,357</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8.1 %</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8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$ 11,340</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8,493</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33.5 %</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36,632</w:t>
            </w: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36,037</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65.7 %</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63.5 %</w:t>
            </w: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 pts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68.6 %</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66.3 %</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 pts</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$ 241.65</w:t>
            </w:r>
          </w:p>
        </w:tc>
        <w:tc>
          <w:tcPr>
            <w:tcW w:w="1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240.73</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0.4 %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251.56</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247.47</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$ 158.79</w:t>
            </w:r>
          </w:p>
        </w:tc>
        <w:tc>
          <w:tcPr>
            <w:tcW w:w="1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152.98</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172.58</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163.98</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10"/>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$ 425.30</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379.84</w:t>
            </w:r>
          </w:p>
        </w:tc>
        <w:tc>
          <w:tcPr>
            <w:tcW w:w="1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12.0 %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444.74</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413.96</w:t>
            </w:r>
          </w:p>
        </w:tc>
        <w:tc>
          <w:tcPr>
            <w:tcW w:w="2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439"/>
        <w:spacing w:after="0" w:line="284" w:lineRule="auto"/>
        <w:rPr>
          <w:sz w:val="20"/>
          <w:szCs w:val="20"/>
          <w:color w:val="auto"/>
        </w:rPr>
      </w:pPr>
      <w:r>
        <w:rPr>
          <w:rFonts w:ascii="Times New Roman" w:cs="Times New Roman" w:eastAsia="Times New Roman" w:hAnsi="Times New Roman"/>
          <w:sz w:val="18"/>
          <w:szCs w:val="18"/>
          <w:i w:val="1"/>
          <w:iCs w:val="1"/>
          <w:color w:val="auto"/>
        </w:rPr>
        <w:t>Gaylord Rockies Results</w:t>
      </w:r>
      <w:r>
        <w:rPr>
          <w:rFonts w:ascii="Times New Roman" w:cs="Times New Roman" w:eastAsia="Times New Roman" w:hAnsi="Times New Roman"/>
          <w:sz w:val="18"/>
          <w:szCs w:val="18"/>
          <w:color w:val="auto"/>
        </w:rPr>
        <w:t>. The results of Gaylord Rockies for the three and nine months ended September 30,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are as follows (in thousands, except percentages and performance metrics):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480" w:type="dxa"/>
            <w:vAlign w:val="bottom"/>
            <w:gridSpan w:val="7"/>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68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960" w:type="dxa"/>
            <w:vAlign w:val="bottom"/>
          </w:tcPr>
          <w:p>
            <w:pPr>
              <w:spacing w:after="0"/>
              <w:rPr>
                <w:sz w:val="15"/>
                <w:szCs w:val="15"/>
                <w:color w:val="auto"/>
              </w:rPr>
            </w:pPr>
          </w:p>
        </w:tc>
        <w:tc>
          <w:tcPr>
            <w:tcW w:w="62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0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$ 30,707</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$ 28,980</w:t>
            </w:r>
          </w:p>
        </w:tc>
        <w:tc>
          <w:tcPr>
            <w:tcW w:w="2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84,286</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78,363</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7.6 %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39,276</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36,496</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124,274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114,201</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8.8 %</w:t>
            </w:r>
          </w:p>
        </w:tc>
        <w:tc>
          <w:tcPr>
            <w:tcW w:w="0" w:type="dxa"/>
            <w:vAlign w:val="bottom"/>
          </w:tcPr>
          <w:p>
            <w:pPr>
              <w:spacing w:after="0"/>
              <w:rPr>
                <w:sz w:val="1"/>
                <w:szCs w:val="1"/>
                <w:color w:val="auto"/>
              </w:rPr>
            </w:pPr>
          </w:p>
        </w:tc>
      </w:tr>
      <w:tr>
        <w:trPr>
          <w:trHeight w:val="203"/>
        </w:trPr>
        <w:tc>
          <w:tcPr>
            <w:tcW w:w="3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7,968</w:t>
            </w:r>
          </w:p>
        </w:tc>
        <w:tc>
          <w:tcPr>
            <w:tcW w:w="2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7,182</w:t>
            </w:r>
          </w:p>
        </w:tc>
        <w:tc>
          <w:tcPr>
            <w:tcW w:w="2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10.9 %</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22,061</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20,752</w:t>
            </w: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77,951</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72,658</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230,621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213,316</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8.1 %</w:t>
            </w: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6,866</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6.8 %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17,803</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03"/>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21,758</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13.2 %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72,430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64,292</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12.7 %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12,061</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11,782</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32,920</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03"/>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6.9 %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6,369</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14,913</w:t>
            </w:r>
          </w:p>
        </w:tc>
        <w:tc>
          <w:tcPr>
            <w:tcW w:w="2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14,475</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44,662</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42,454</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60,795</w:t>
            </w:r>
          </w:p>
        </w:tc>
        <w:tc>
          <w:tcPr>
            <w:tcW w:w="2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56,613</w:t>
            </w:r>
          </w:p>
        </w:tc>
        <w:tc>
          <w:tcPr>
            <w:tcW w:w="2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7.4 %</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176,844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163,838</w:t>
            </w: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7.9 %</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$ 17,156</w:t>
            </w:r>
          </w:p>
        </w:tc>
        <w:tc>
          <w:tcPr>
            <w:tcW w:w="2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$ 16,045</w:t>
            </w: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6.9 %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53,777</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49,478</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8.7 %</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6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83.6 %</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80.8 %</w:t>
            </w:r>
          </w:p>
        </w:tc>
        <w:tc>
          <w:tcPr>
            <w:tcW w:w="80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 pts</w:t>
            </w:r>
          </w:p>
        </w:tc>
        <w:tc>
          <w:tcPr>
            <w:tcW w:w="8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78.7 %</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75.2 %</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 pts</w:t>
            </w:r>
          </w:p>
        </w:tc>
        <w:tc>
          <w:tcPr>
            <w:tcW w:w="0" w:type="dxa"/>
            <w:vAlign w:val="bottom"/>
          </w:tcPr>
          <w:p>
            <w:pPr>
              <w:spacing w:after="0"/>
              <w:rPr>
                <w:sz w:val="1"/>
                <w:szCs w:val="1"/>
                <w:color w:val="auto"/>
              </w:rPr>
            </w:pPr>
          </w:p>
        </w:tc>
      </w:tr>
      <w:tr>
        <w:trPr>
          <w:trHeight w:val="203"/>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$ 266.03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$ 259.76</w:t>
            </w:r>
          </w:p>
        </w:tc>
        <w:tc>
          <w:tcPr>
            <w:tcW w:w="2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261.20</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253.23</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$ 222.36</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$ 209.86</w:t>
            </w:r>
          </w:p>
        </w:tc>
        <w:tc>
          <w:tcPr>
            <w:tcW w:w="2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190.54</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8.0 %</w:t>
            </w:r>
          </w:p>
        </w:tc>
        <w:tc>
          <w:tcPr>
            <w:tcW w:w="0" w:type="dxa"/>
            <w:vAlign w:val="bottom"/>
          </w:tcPr>
          <w:p>
            <w:pPr>
              <w:spacing w:after="0"/>
              <w:rPr>
                <w:sz w:val="1"/>
                <w:szCs w:val="1"/>
                <w:color w:val="auto"/>
              </w:rPr>
            </w:pPr>
          </w:p>
        </w:tc>
      </w:tr>
      <w:tr>
        <w:trPr>
          <w:trHeight w:val="210"/>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$ 564.49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$ 526.16</w:t>
            </w:r>
          </w:p>
        </w:tc>
        <w:tc>
          <w:tcPr>
            <w:tcW w:w="2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7.3 %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562.80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518.67</w:t>
            </w: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8.5 %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right="139"/>
        <w:spacing w:after="0" w:line="284" w:lineRule="auto"/>
        <w:rPr>
          <w:sz w:val="20"/>
          <w:szCs w:val="20"/>
          <w:color w:val="auto"/>
        </w:rPr>
      </w:pPr>
      <w:r>
        <w:rPr>
          <w:rFonts w:ascii="Times New Roman" w:cs="Times New Roman" w:eastAsia="Times New Roman" w:hAnsi="Times New Roman"/>
          <w:sz w:val="18"/>
          <w:szCs w:val="18"/>
          <w:i w:val="1"/>
          <w:iCs w:val="1"/>
          <w:color w:val="auto"/>
        </w:rPr>
        <w:t>JW Marriott Hill Country Results</w:t>
      </w:r>
      <w:r>
        <w:rPr>
          <w:rFonts w:ascii="Times New Roman" w:cs="Times New Roman" w:eastAsia="Times New Roman" w:hAnsi="Times New Roman"/>
          <w:sz w:val="18"/>
          <w:szCs w:val="18"/>
          <w:color w:val="auto"/>
        </w:rPr>
        <w:t>. The results of JW Marriott Hill Country for the three and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2025 and 2024 are as follows (in thousands, except percentages and performance metrics):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20,769</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22,278</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64,107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63,732</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22,155</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77,708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75,363</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03"/>
        </w:trPr>
        <w:tc>
          <w:tcPr>
            <w:tcW w:w="3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10,971</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9,840</w:t>
            </w:r>
          </w:p>
        </w:tc>
        <w:tc>
          <w:tcPr>
            <w:tcW w:w="2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11.5 %</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31,649</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27,969</w:t>
            </w: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13.2 %</w:t>
            </w: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51,615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54,273</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173,464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167,064</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3.8 %</w:t>
            </w:r>
          </w:p>
        </w:tc>
        <w:tc>
          <w:tcPr>
            <w:tcW w:w="0" w:type="dxa"/>
            <w:vAlign w:val="bottom"/>
          </w:tcPr>
          <w:p>
            <w:pPr>
              <w:spacing w:after="0"/>
              <w:rPr>
                <w:sz w:val="1"/>
                <w:szCs w:val="1"/>
                <w:color w:val="auto"/>
              </w:rPr>
            </w:pPr>
          </w:p>
        </w:tc>
      </w:tr>
      <w:tr>
        <w:trPr>
          <w:trHeight w:val="20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4,152</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11,859</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3"/>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13,160</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39,657</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17,126</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51,400</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6.9 %</w:t>
            </w:r>
          </w:p>
        </w:tc>
        <w:tc>
          <w:tcPr>
            <w:tcW w:w="0" w:type="dxa"/>
            <w:vAlign w:val="bottom"/>
          </w:tcPr>
          <w:p>
            <w:pPr>
              <w:spacing w:after="0"/>
              <w:rPr>
                <w:sz w:val="1"/>
                <w:szCs w:val="1"/>
                <w:color w:val="auto"/>
              </w:rPr>
            </w:pPr>
          </w:p>
        </w:tc>
      </w:tr>
      <w:tr>
        <w:trPr>
          <w:trHeight w:val="203"/>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7,159</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7,937</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7,573</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4.8 %</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23,687</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22,441</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44,766</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44,297</w:t>
            </w:r>
          </w:p>
        </w:tc>
        <w:tc>
          <w:tcPr>
            <w:tcW w:w="2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138,516</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132,516</w:t>
            </w: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9,976</w:t>
            </w: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34,948</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34,548</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66.7 %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73.8 %</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(7.1)pts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70.1 %</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72.2 %</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(2.1)pts</w:t>
            </w:r>
          </w:p>
        </w:tc>
        <w:tc>
          <w:tcPr>
            <w:tcW w:w="0" w:type="dxa"/>
            <w:vAlign w:val="bottom"/>
          </w:tcPr>
          <w:p>
            <w:pPr>
              <w:spacing w:after="0"/>
              <w:rPr>
                <w:sz w:val="1"/>
                <w:szCs w:val="1"/>
                <w:color w:val="auto"/>
              </w:rPr>
            </w:pPr>
          </w:p>
        </w:tc>
      </w:tr>
      <w:tr>
        <w:trPr>
          <w:trHeight w:val="203"/>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337.63</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327.27</w:t>
            </w:r>
          </w:p>
        </w:tc>
        <w:tc>
          <w:tcPr>
            <w:tcW w:w="2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334.35</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321.73</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241.68</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232.14</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10"/>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559.92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588.74</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634.13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608.50</w:t>
            </w: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99"/>
        <w:spacing w:after="0" w:line="267" w:lineRule="auto"/>
        <w:rPr>
          <w:sz w:val="20"/>
          <w:szCs w:val="20"/>
          <w:color w:val="auto"/>
        </w:rPr>
      </w:pPr>
      <w:r>
        <w:rPr>
          <w:rFonts w:ascii="Times New Roman" w:cs="Times New Roman" w:eastAsia="Times New Roman" w:hAnsi="Times New Roman"/>
          <w:sz w:val="18"/>
          <w:szCs w:val="18"/>
          <w:i w:val="1"/>
          <w:iCs w:val="1"/>
          <w:color w:val="auto"/>
        </w:rPr>
        <w:t>JW Marriott Desert Ridge Results</w:t>
      </w:r>
      <w:r>
        <w:rPr>
          <w:rFonts w:ascii="Times New Roman" w:cs="Times New Roman" w:eastAsia="Times New Roman" w:hAnsi="Times New Roman"/>
          <w:sz w:val="18"/>
          <w:szCs w:val="18"/>
          <w:color w:val="auto"/>
        </w:rPr>
        <w:t>. We purchased JW Marriott Desert Ridge on June 10, 2025. The results of JW Marriott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Desert Ridge for the three months ended September 30, 2025 and the period from June 10, 2025 to September 30, 2025 are as follows (in thousands, except percentages and performance metrics):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6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7,099</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8,811</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41,467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18,688</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39,794</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47,726</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(6,259)</w:t>
            </w: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57.9 %</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54.4 %</w:t>
            </w:r>
          </w:p>
        </w:tc>
        <w:tc>
          <w:tcPr>
            <w:tcW w:w="0" w:type="dxa"/>
            <w:vAlign w:val="bottom"/>
          </w:tcPr>
          <w:p>
            <w:pPr>
              <w:spacing w:after="0"/>
              <w:rPr>
                <w:sz w:val="1"/>
                <w:szCs w:val="1"/>
                <w:color w:val="auto"/>
              </w:rPr>
            </w:pPr>
          </w:p>
        </w:tc>
      </w:tr>
      <w:tr>
        <w:trPr>
          <w:trHeight w:val="203"/>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Entertainment Segment</w:t>
      </w:r>
    </w:p>
    <w:p>
      <w:pPr>
        <w:spacing w:after="0" w:line="187" w:lineRule="exact"/>
        <w:rPr>
          <w:sz w:val="20"/>
          <w:szCs w:val="20"/>
          <w:color w:val="auto"/>
        </w:rPr>
      </w:pPr>
    </w:p>
    <w:p>
      <w:pPr>
        <w:ind w:left="60" w:right="4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Entertainment segment for the three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2025 and 2024 (in thousands, except percentages):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6"/>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6"/>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6"/>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right"/>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580" w:type="dxa"/>
            <w:vAlign w:val="bottom"/>
          </w:tcPr>
          <w:p>
            <w:pPr>
              <w:jc w:val="right"/>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82,915</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324,443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243,993</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(173,806)</w:t>
            </w:r>
          </w:p>
        </w:tc>
        <w:tc>
          <w:tcPr>
            <w:tcW w:w="160" w:type="dxa"/>
            <w:vAlign w:val="bottom"/>
          </w:tcPr>
          <w:p>
            <w:pPr>
              <w:spacing w:after="0"/>
              <w:rPr>
                <w:sz w:val="18"/>
                <w:szCs w:val="18"/>
                <w:color w:val="auto"/>
              </w:rPr>
            </w:pPr>
          </w:p>
        </w:tc>
        <w:tc>
          <w:tcPr>
            <w:tcW w:w="9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42.7 %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48.2 %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Loss on sale of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26.0 %</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28.0 %</w:t>
            </w:r>
          </w:p>
        </w:tc>
        <w:tc>
          <w:tcPr>
            <w:tcW w:w="0" w:type="dxa"/>
            <w:vAlign w:val="bottom"/>
          </w:tcPr>
          <w:p>
            <w:pPr>
              <w:spacing w:after="0"/>
              <w:rPr>
                <w:sz w:val="1"/>
                <w:szCs w:val="1"/>
                <w:color w:val="auto"/>
              </w:rPr>
            </w:pPr>
          </w:p>
        </w:tc>
      </w:tr>
      <w:tr>
        <w:trPr>
          <w:trHeight w:val="21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11,827</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45,638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44,984</w:t>
            </w:r>
          </w:p>
        </w:tc>
        <w:tc>
          <w:tcPr>
            <w:tcW w:w="160" w:type="dxa"/>
            <w:vAlign w:val="bottom"/>
          </w:tcPr>
          <w:p>
            <w:pPr>
              <w:spacing w:after="0"/>
              <w:rPr>
                <w:sz w:val="18"/>
                <w:szCs w:val="18"/>
                <w:color w:val="auto"/>
              </w:rPr>
            </w:pPr>
          </w:p>
        </w:tc>
        <w:tc>
          <w:tcPr>
            <w:tcW w:w="9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720" w:right="27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for the nine months ended September 30, 2024 were reduced by a refund of $3.4 million of Tennessee franchise tax for prior years caused by a change in tax law.</w:t>
      </w:r>
    </w:p>
    <w:p>
      <w:pPr>
        <w:spacing w:after="0" w:line="162"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Revenues increased in our Entertainment segment in the three months ended September 30, 2025, as compared to the prior year period, primarily due to Category 10 Nashville, which opened in November 2024, and the W Austin, which faced construction-related disruptions in the prior year period. Revenues increased in our Entertainment segment in the nine months ended September 30, 2025, as compared to the prior year period, primarily related to Southern Entertainment, which we purchased in January 2025, Category 10 Nashville, and the W Austin.</w:t>
      </w:r>
    </w:p>
    <w:p>
      <w:pPr>
        <w:spacing w:after="0" w:line="15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Entertainment segment operating expenses increased in the 2025 periods, as compared to the 2024 periods, primarily related to Southern Entertainment and the operations of Category 10. The nine-month 2025 increase in Entertainment segment operating expenses, as compared to the 2024 period, was also impacted by an increase at the W Austin, as well as the 2024 period including a refund of Tennessee franchise tax for prior years caused by a change in tax law, which reduced operating expenses in the nine-month 2024 period.</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and amortization increased in the 2025 periods, as compared to the 2024 periods, primarily associated with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99"/>
        <w:spacing w:after="0" w:line="266" w:lineRule="auto"/>
        <w:rPr>
          <w:sz w:val="20"/>
          <w:szCs w:val="20"/>
          <w:color w:val="auto"/>
        </w:rPr>
      </w:pPr>
      <w:r>
        <w:rPr>
          <w:rFonts w:ascii="Times New Roman" w:cs="Times New Roman" w:eastAsia="Times New Roman" w:hAnsi="Times New Roman"/>
          <w:sz w:val="18"/>
          <w:szCs w:val="18"/>
          <w:color w:val="auto"/>
        </w:rPr>
        <w:t>the increase in depreciable and amortizable assets associated with Category 10 and Southern Entertainment, as well as increased depreciation and amortization related to Block 21 attributable to construction enhancements completed at the property in 2024 and the first half of 2025.</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Segment</w:t>
      </w:r>
    </w:p>
    <w:p>
      <w:pPr>
        <w:spacing w:after="0" w:line="187" w:lineRule="exact"/>
        <w:rPr>
          <w:sz w:val="20"/>
          <w:szCs w:val="20"/>
          <w:color w:val="auto"/>
        </w:rPr>
      </w:pPr>
    </w:p>
    <w:p>
      <w:pPr>
        <w:ind w:left="60" w:right="2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Corporate and Other segment for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2025 and 2024 (in thousands, except percentages):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7"/>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00" w:type="dxa"/>
            <w:vAlign w:val="bottom"/>
            <w:gridSpan w:val="6"/>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jc w:val="center"/>
              <w:ind w:left="2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gridSpan w:val="2"/>
          </w:tcPr>
          <w:p>
            <w:pPr>
              <w:jc w:val="right"/>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520" w:type="dxa"/>
            <w:vAlign w:val="bottom"/>
          </w:tcPr>
          <w:p>
            <w:pPr>
              <w:jc w:val="right"/>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8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31,080</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0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(10,293)</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(9,951)</w:t>
            </w:r>
          </w:p>
        </w:tc>
        <w:tc>
          <w:tcPr>
            <w:tcW w:w="8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(31,503)</w:t>
            </w:r>
          </w:p>
        </w:tc>
        <w:tc>
          <w:tcPr>
            <w:tcW w:w="14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Corporate and Other operating expenses consist primarily of costs associated with senior management salaries and benefits, legal, human resources, accounting, pension, information technology, consulting and other administrative costs. Corporate and Other segment operating expenses increased in the three and nine months ended September 30, 2025, as compared to the prior year periods, primarily as a result of increased employment expenses.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Preopening Costs</w:t>
      </w:r>
    </w:p>
    <w:p>
      <w:pPr>
        <w:spacing w:after="0" w:line="18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Preopening costs during the three and nine months ended September 30, 2025 primarily include costs associated with Category 10 Las Vegas, which is expected to open in late 2026. Preopening costs during the three months ended September 30, 2024 primarily include costs associated with Category 10 Nashville, which opened in November 2024. Preopening costs during the nine months ended September 30, 2024 primarily include costs associated with Category 10 Nashville and Ole Red Las Vegas, which opened in January 2024.</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Gain (Loss) on Sale of Assets</w:t>
      </w:r>
    </w:p>
    <w:p>
      <w:pPr>
        <w:spacing w:after="0" w:line="20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Loss on sale of assets during the three and nine months ended September 30, 2025 includes the sale of miscellaneous Entertainment segment assets. Gain on sale of assets during the nine months ended September 30, 2024 includes the sale of miscellaneous corporate assets.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Results Affecting Net Income</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other factors which affected our net income for the three and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 and 2024 (in thousands, except percentages):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4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000" w:type="dxa"/>
            <w:vAlign w:val="bottom"/>
            <w:gridSpan w:val="4"/>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Borders>
              <w:bottom w:val="single" w:sz="8" w:color="auto"/>
            </w:tcBorders>
            <w:gridSpan w:val="4"/>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Borders>
              <w:bottom w:val="single" w:sz="8" w:color="auto"/>
            </w:tcBorders>
            <w:gridSpan w:val="4"/>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80" w:type="dxa"/>
            <w:vAlign w:val="bottom"/>
            <w:vMerge w:val="restart"/>
          </w:tcPr>
          <w:p>
            <w:pPr>
              <w:spacing w:after="0"/>
              <w:rPr>
                <w:sz w:val="10"/>
                <w:szCs w:val="10"/>
                <w:color w:val="auto"/>
              </w:rPr>
            </w:pPr>
          </w:p>
        </w:tc>
        <w:tc>
          <w:tcPr>
            <w:tcW w:w="76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vMerge w:val="restart"/>
          </w:tcPr>
          <w:p>
            <w:pPr>
              <w:spacing w:after="0"/>
              <w:rPr>
                <w:sz w:val="10"/>
                <w:szCs w:val="10"/>
                <w:color w:val="auto"/>
              </w:rPr>
            </w:pP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580" w:type="dxa"/>
            <w:vAlign w:val="bottom"/>
          </w:tcPr>
          <w:p>
            <w:pPr>
              <w:jc w:val="right"/>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840" w:type="dxa"/>
            <w:vAlign w:val="bottom"/>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vMerge w:val="restart"/>
          </w:tcPr>
          <w:p>
            <w:pPr>
              <w:spacing w:after="0"/>
              <w:rPr>
                <w:sz w:val="10"/>
                <w:szCs w:val="10"/>
                <w:color w:val="auto"/>
              </w:rPr>
            </w:pPr>
          </w:p>
        </w:tc>
        <w:tc>
          <w:tcPr>
            <w:tcW w:w="84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580" w:type="dxa"/>
            <w:vAlign w:val="bottom"/>
          </w:tcPr>
          <w:p>
            <w:pPr>
              <w:jc w:val="right"/>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(64,873)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(54,546)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(177,690)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(171,566)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15,878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21,805</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(loss) from unconsolidated joint</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ventures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(511.1)%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494.0 %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1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38.7 %</w:t>
            </w: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00"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presents interest expense associated with our outstanding borrowings, including the impact of interest rate swaps, for the three and nine months ended September 30, 2025 and 2024 (in thousands, except percentages):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7"/>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40" w:type="dxa"/>
            <w:vAlign w:val="bottom"/>
            <w:gridSpan w:val="5"/>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580" w:type="dxa"/>
            <w:vAlign w:val="bottom"/>
          </w:tcPr>
          <w:p>
            <w:pPr>
              <w:jc w:val="right"/>
              <w:ind w:right="13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580" w:type="dxa"/>
            <w:vAlign w:val="bottom"/>
          </w:tcPr>
          <w:p>
            <w:pPr>
              <w:jc w:val="right"/>
              <w:ind w:right="13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RHP Revolving Credit Facility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RHP Term Loan B</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14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22,231</w:t>
            </w:r>
          </w:p>
        </w:tc>
        <w:tc>
          <w:tcPr>
            <w:tcW w:w="14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RHP Senior Notes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26.8 %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133,423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Gaylord Rockies Term Loan</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4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OEG Revolver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OEG Term Loan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14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30.7 %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23,779</w:t>
            </w:r>
          </w:p>
        </w:tc>
        <w:tc>
          <w:tcPr>
            <w:tcW w:w="14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Block 21 CMBS Loan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(1,931)</w:t>
            </w: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40.8 %</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(4,551)</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56.1 %</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18.9 %</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177,690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Other includes capitalized interest, as well as other miscellaneous items.</w:t>
      </w:r>
    </w:p>
    <w:p>
      <w:pPr>
        <w:spacing w:after="0" w:line="225"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Our weighted average interest rate on our borrowings, excluding capitalized interest, but including the impact of interest rate swaps, was 6.5% and 6.5% for the three months ended September 30, 2025 and 2024, respectively, and 6.5% and 6.8% for the nine months ended September 30, 2025 and 2024, respectively.</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Interest income for the three and nine months ended September 30, 2025 and 2024 primarily includes amounts earned on our cash balances, as well as the bonds that were received in connection with the development of Gaylord National, which we hold as notes receivable. See Note 7, “Notes Receivable,” to the accompanying condensed consolidated financial statements included herein for additional discussion of interest income on these bonds.</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187"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As a result of the April 2025 incremental borrowings under the OEG credit agreement and the defeasance of the Block 21 CMBS loan, we recognized a loss on extinguishment of debt of $0.4 million and $2.9 million in the three and nine months ended September 30, 2025, respectively.</w:t>
      </w:r>
    </w:p>
    <w:p>
      <w:pPr>
        <w:spacing w:after="0" w:line="149"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As a result of the June 2024 refinancing of the OEG credit agreement, the April 2024 repricing of the RHP term loan B, and the March 2024 repayment of the previous Gaylord Rockies $800 million term loan, we recognized a loss on extinguishment of debt of $2.3 million in the nine months ended September 30, 2024.</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Gains and (Losses), net</w:t>
      </w:r>
    </w:p>
    <w:p>
      <w:pPr>
        <w:spacing w:after="0" w:line="187"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Other gains and (losses), net for the three and nine months ended September 30, 2025 and 2024 includes the receipt of $3.3 million and $3.2 million, respectively, from a fund associated with the Gaylord National bonds to reimburse us for certain marketing and maintenance expenses.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87"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As a REIT, we generally are not subject to federal corporate income taxes on ordinary taxable income and capital gains income from real estate investments that we distribute to our stockholders. We are required to pay federal and state corporate income taxes on earnings of our TRSs.</w:t>
      </w:r>
    </w:p>
    <w:p>
      <w:pPr>
        <w:spacing w:after="0" w:line="135"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2025 and 2024, we recorded an income tax provision (benefit) of $(3.6) million and $0.9 million, respectively, and for the nine months ended September 30, 2025 and 2024, we recorded an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income tax provision of $8.4 million and $13.7 million, respectively, related to our TRSs. The change in the income tax provision for the 2025 periods, as compared to the 2024 periods, relates to changes in income at our TRSs.</w:t>
      </w:r>
    </w:p>
    <w:p>
      <w:pPr>
        <w:spacing w:after="0" w:line="135"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We are currently evaluating the potential tax implications of the OBBBA, but based on our preliminary assessment, we do not expect the legislation to have a material impact on our financial statements.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89"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We present the following non-GAAP financial measures that we believe are useful to investors as key measures of our operating performance: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EBITDAre, Adjusted EBITDAre and Adjusted EBITDAre, Excluding Noncontrolling Interest Definition</w:t>
      </w:r>
    </w:p>
    <w:p>
      <w:pPr>
        <w:spacing w:after="0" w:line="225"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of the affiliate, and adjustments to reflect the entity’s share of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of unconsolidated affiliates.</w:t>
      </w:r>
    </w:p>
    <w:p>
      <w:pPr>
        <w:spacing w:after="0" w:line="182" w:lineRule="exact"/>
        <w:rPr>
          <w:sz w:val="20"/>
          <w:szCs w:val="20"/>
          <w:color w:val="auto"/>
        </w:rPr>
      </w:pPr>
    </w:p>
    <w:p>
      <w:pPr>
        <w:ind w:left="60" w:right="439"/>
        <w:spacing w:after="0" w:line="284" w:lineRule="auto"/>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is then calculated as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plus to the extent the following adjustments occurred during the periods presented:</w:t>
      </w:r>
    </w:p>
    <w:p>
      <w:pPr>
        <w:spacing w:after="0" w:line="160" w:lineRule="exact"/>
        <w:rPr>
          <w:sz w:val="20"/>
          <w:szCs w:val="20"/>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on bonds;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from unconsolidated joint ventures;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5" w:lineRule="exact"/>
        <w:rPr>
          <w:sz w:val="20"/>
          <w:szCs w:val="20"/>
          <w:color w:val="auto"/>
        </w:rPr>
      </w:pPr>
    </w:p>
    <w:p>
      <w:pPr>
        <w:ind w:left="60" w:right="719"/>
        <w:spacing w:after="0" w:line="284" w:lineRule="auto"/>
        <w:rPr>
          <w:sz w:val="20"/>
          <w:szCs w:val="20"/>
          <w:color w:val="auto"/>
        </w:rPr>
      </w:pPr>
      <w:r>
        <w:rPr>
          <w:rFonts w:ascii="Times New Roman" w:cs="Times New Roman" w:eastAsia="Times New Roman" w:hAnsi="Times New Roman"/>
          <w:sz w:val="18"/>
          <w:szCs w:val="18"/>
          <w:color w:val="auto"/>
        </w:rPr>
        <w:t>We then exclude the pro rata share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related to noncontrolling interests to calculate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w:t>
      </w:r>
    </w:p>
    <w:p>
      <w:pPr>
        <w:spacing w:after="0" w:line="158"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We use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when evaluating our performance because we believe that presenting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provides useful information to investors regarding our operating performance and debt leverage metrics.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FFO, Adjusted FFO, and Adjusted FFO Available to Common Stockholders and Unit Holders Definition</w:t>
      </w:r>
    </w:p>
    <w:p>
      <w:pPr>
        <w:spacing w:after="0" w:line="225"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calculate FFO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attributable to decreases in the value of depreciated real estate held by the entity, income (loss) from consolidated joint ventures attributable to noncontrolling interest, and pro rata adjustments from unconsolidated joint ventures.</w:t>
      </w:r>
    </w:p>
    <w:p>
      <w:pPr>
        <w:spacing w:after="0" w:line="16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To calculate Adjusted FFO available to common stockholders and unit holders, we then exclude, to the extent the following adjustments occurred during the periods presented:</w:t>
      </w:r>
    </w:p>
    <w:p>
      <w:pPr>
        <w:spacing w:after="0" w:line="162" w:lineRule="exact"/>
        <w:rPr>
          <w:sz w:val="20"/>
          <w:szCs w:val="20"/>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 amortization;</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write-offs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debt discounts or premiums and amortization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pro rata adjustments from unconsolidated joint ventures;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on other assets;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expense (benefit);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7"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FFO available to common stockholders and unit holders and Adjusted FFO available to common stockholders and unit holders exclude the ownership portion of the joint ventures not controlled or owned by the Company.</w:t>
      </w:r>
    </w:p>
    <w:p>
      <w:pPr>
        <w:spacing w:after="0" w:line="16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We believe that the presentation of these non-GAAP financial measures provides useful information to investors regarding the performance of our ongoing operations because each presents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87"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We caution investors that non-GAAP financial measures we present may not be comparable to similar measures disclosed by other companies, because not all companies calculate these non-GAAP measures in the same manner. The non-GAAP financial measures we present should not be considered as alternative measures of our net income,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operating income, or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39"/>
        <w:spacing w:after="0" w:line="267"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for the three and nine months ended September 30, 2025 and 2024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5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r>
      <w:tr>
        <w:trPr>
          <w:trHeight w:val="19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33,959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60,398</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$ 172,848</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$ 207,899</w:t>
            </w:r>
          </w:p>
        </w:tc>
        <w:tc>
          <w:tcPr>
            <w:tcW w:w="80" w:type="dxa"/>
            <w:vAlign w:val="bottom"/>
            <w:shd w:val="clear" w:color="auto" w:fill="CCEEFF"/>
          </w:tcPr>
          <w:p>
            <w:pPr>
              <w:spacing w:after="0"/>
              <w:rPr>
                <w:sz w:val="17"/>
                <w:szCs w:val="17"/>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47,327</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161,812</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149,761</w:t>
            </w:r>
          </w:p>
        </w:tc>
        <w:tc>
          <w:tcPr>
            <w:tcW w:w="80" w:type="dxa"/>
            <w:vAlign w:val="bottom"/>
          </w:tcPr>
          <w:p>
            <w:pPr>
              <w:spacing w:after="0"/>
              <w:rPr>
                <w:sz w:val="17"/>
                <w:szCs w:val="17"/>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(benefit) for income taxes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(3,633)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8,374</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13,652</w:t>
            </w:r>
          </w:p>
        </w:tc>
        <w:tc>
          <w:tcPr>
            <w:tcW w:w="80" w:type="dxa"/>
            <w:vAlign w:val="bottom"/>
            <w:shd w:val="clear" w:color="auto" w:fill="CCEEFF"/>
          </w:tcPr>
          <w:p>
            <w:pPr>
              <w:spacing w:after="0"/>
              <w:rPr>
                <w:sz w:val="17"/>
                <w:szCs w:val="17"/>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73,202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59,051</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203,882</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174,806</w:t>
            </w:r>
          </w:p>
        </w:tc>
        <w:tc>
          <w:tcPr>
            <w:tcW w:w="80" w:type="dxa"/>
            <w:vAlign w:val="bottom"/>
          </w:tcPr>
          <w:p>
            <w:pPr>
              <w:spacing w:after="0"/>
              <w:rPr>
                <w:sz w:val="17"/>
                <w:szCs w:val="17"/>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loss on sale of assets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(270)</w:t>
            </w: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 rata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7"/>
                <w:szCs w:val="17"/>
                <w:color w:val="auto"/>
              </w:rPr>
            </w:pPr>
          </w:p>
        </w:tc>
      </w:tr>
      <w:tr>
        <w:trPr>
          <w:trHeight w:val="196"/>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17"/>
                <w:szCs w:val="17"/>
                <w:i w:val="1"/>
                <w:iCs w:val="1"/>
                <w:color w:val="auto"/>
              </w:rPr>
              <w:t>re</w:t>
            </w: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164,860</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167,699</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548,213</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545,853</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Preopening costs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1,474</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3,361</w:t>
            </w:r>
          </w:p>
        </w:tc>
        <w:tc>
          <w:tcPr>
            <w:tcW w:w="80" w:type="dxa"/>
            <w:vAlign w:val="bottom"/>
          </w:tcPr>
          <w:p>
            <w:pPr>
              <w:spacing w:after="0"/>
              <w:rPr>
                <w:sz w:val="17"/>
                <w:szCs w:val="17"/>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lease expense</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3,053</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2,904</w:t>
            </w:r>
          </w:p>
        </w:tc>
        <w:tc>
          <w:tcPr>
            <w:tcW w:w="80" w:type="dxa"/>
            <w:vAlign w:val="bottom"/>
            <w:shd w:val="clear" w:color="auto" w:fill="CCEEFF"/>
          </w:tcPr>
          <w:p>
            <w:pPr>
              <w:spacing w:after="0"/>
              <w:rPr>
                <w:sz w:val="17"/>
                <w:szCs w:val="17"/>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3,479</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10,777</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10,724</w:t>
            </w:r>
          </w:p>
        </w:tc>
        <w:tc>
          <w:tcPr>
            <w:tcW w:w="80" w:type="dxa"/>
            <w:vAlign w:val="bottom"/>
          </w:tcPr>
          <w:p>
            <w:pPr>
              <w:spacing w:after="0"/>
              <w:rPr>
                <w:sz w:val="17"/>
                <w:szCs w:val="17"/>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Pension settlement charge</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80" w:type="dxa"/>
            <w:vAlign w:val="bottom"/>
            <w:shd w:val="clear" w:color="auto" w:fill="CCEEFF"/>
          </w:tcPr>
          <w:p>
            <w:pPr>
              <w:spacing w:after="0"/>
              <w:rPr>
                <w:sz w:val="17"/>
                <w:szCs w:val="17"/>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 on Gaylord National bonds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3,252</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3,503</w:t>
            </w:r>
          </w:p>
        </w:tc>
        <w:tc>
          <w:tcPr>
            <w:tcW w:w="80" w:type="dxa"/>
            <w:vAlign w:val="bottom"/>
          </w:tcPr>
          <w:p>
            <w:pPr>
              <w:spacing w:after="0"/>
              <w:rPr>
                <w:sz w:val="17"/>
                <w:szCs w:val="17"/>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2,922</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2,319</w:t>
            </w:r>
          </w:p>
        </w:tc>
        <w:tc>
          <w:tcPr>
            <w:tcW w:w="80" w:type="dxa"/>
            <w:vAlign w:val="bottom"/>
            <w:shd w:val="clear" w:color="auto" w:fill="CCEEFF"/>
          </w:tcPr>
          <w:p>
            <w:pPr>
              <w:spacing w:after="0"/>
              <w:rPr>
                <w:sz w:val="17"/>
                <w:szCs w:val="17"/>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Transaction costs of acquisitions</w:t>
            </w:r>
          </w:p>
        </w:tc>
        <w:tc>
          <w:tcPr>
            <w:tcW w:w="1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 rata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(198)</w:t>
            </w:r>
          </w:p>
        </w:tc>
      </w:tr>
      <w:tr>
        <w:trPr>
          <w:trHeight w:val="196"/>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173,073</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174,803</w:t>
            </w:r>
          </w:p>
        </w:tc>
        <w:tc>
          <w:tcPr>
            <w:tcW w:w="14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570,431</w:t>
            </w:r>
          </w:p>
        </w:tc>
        <w:tc>
          <w:tcPr>
            <w:tcW w:w="18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569,063</w:t>
            </w:r>
          </w:p>
        </w:tc>
        <w:tc>
          <w:tcPr>
            <w:tcW w:w="80" w:type="dxa"/>
            <w:vAlign w:val="bottom"/>
          </w:tcPr>
          <w:p>
            <w:pPr>
              <w:spacing w:after="0"/>
              <w:rPr>
                <w:sz w:val="17"/>
                <w:szCs w:val="17"/>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of noncontrolling interest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(6,705)</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(6,735)</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(23,626)</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(22,119)</w:t>
            </w:r>
          </w:p>
        </w:tc>
      </w:tr>
      <w:tr>
        <w:trPr>
          <w:trHeight w:val="196"/>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excluding noncontrolling interest</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166,368</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168,068</w:t>
            </w:r>
          </w:p>
        </w:tc>
        <w:tc>
          <w:tcPr>
            <w:tcW w:w="1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$ 546,805</w:t>
            </w:r>
          </w:p>
        </w:tc>
        <w:tc>
          <w:tcPr>
            <w:tcW w:w="1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$ 546,944</w:t>
            </w:r>
          </w:p>
        </w:tc>
        <w:tc>
          <w:tcPr>
            <w:tcW w:w="80" w:type="dxa"/>
            <w:vAlign w:val="bottom"/>
          </w:tcPr>
          <w:p>
            <w:pPr>
              <w:spacing w:after="0"/>
              <w:rPr>
                <w:sz w:val="17"/>
                <w:szCs w:val="17"/>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to FFO and Adjusted FFO for the three and nine months ended September 30, 2025 and 2024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5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7"/>
                <w:szCs w:val="17"/>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$ 169,600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$ 202,872</w:t>
            </w:r>
          </w:p>
        </w:tc>
        <w:tc>
          <w:tcPr>
            <w:tcW w:w="60" w:type="dxa"/>
            <w:vAlign w:val="bottom"/>
            <w:shd w:val="clear" w:color="auto" w:fill="CCEEFF"/>
          </w:tcPr>
          <w:p>
            <w:pPr>
              <w:spacing w:after="0"/>
              <w:rPr>
                <w:sz w:val="18"/>
                <w:szCs w:val="18"/>
                <w:color w:val="auto"/>
              </w:rPr>
            </w:pPr>
          </w:p>
        </w:tc>
      </w:tr>
      <w:tr>
        <w:trPr>
          <w:trHeight w:val="216"/>
        </w:trPr>
        <w:tc>
          <w:tcPr>
            <w:tcW w:w="5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 in OP Units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60" w:type="dxa"/>
            <w:vAlign w:val="bottom"/>
            <w:tcBorders>
              <w:bottom w:val="single" w:sz="8" w:color="CCEEFF"/>
            </w:tcBorders>
          </w:tcPr>
          <w:p>
            <w:pPr>
              <w:spacing w:after="0"/>
              <w:rPr>
                <w:sz w:val="18"/>
                <w:szCs w:val="18"/>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and unit holders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170,692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204,211</w:t>
            </w:r>
          </w:p>
        </w:tc>
        <w:tc>
          <w:tcPr>
            <w:tcW w:w="60" w:type="dxa"/>
            <w:vAlign w:val="bottom"/>
            <w:shd w:val="clear" w:color="auto" w:fill="CCEEFF"/>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203,635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174,664</w:t>
            </w:r>
          </w:p>
        </w:tc>
        <w:tc>
          <w:tcPr>
            <w:tcW w:w="60" w:type="dxa"/>
            <w:vAlign w:val="bottom"/>
          </w:tcPr>
          <w:p>
            <w:pPr>
              <w:spacing w:after="0"/>
              <w:rPr>
                <w:sz w:val="18"/>
                <w:szCs w:val="18"/>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(9,142)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(6,553)</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 rata adjustments from joint ventures</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r>
      <w:tr>
        <w:trPr>
          <w:trHeight w:val="210"/>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 available to common stockholders and unit holders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116,205</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365,185</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372,325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tcPr>
          <w:p>
            <w:pPr>
              <w:spacing w:after="0"/>
              <w:rPr>
                <w:sz w:val="18"/>
                <w:szCs w:val="18"/>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60" w:type="dxa"/>
            <w:vAlign w:val="bottom"/>
            <w:shd w:val="clear" w:color="auto" w:fill="CCEEFF"/>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Pension settlement charge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60" w:type="dxa"/>
            <w:vAlign w:val="bottom"/>
          </w:tcPr>
          <w:p>
            <w:pPr>
              <w:spacing w:after="0"/>
              <w:rPr>
                <w:sz w:val="18"/>
                <w:szCs w:val="18"/>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 rata adjustments from joint ventures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w:t>
            </w:r>
          </w:p>
        </w:tc>
        <w:tc>
          <w:tcPr>
            <w:tcW w:w="60" w:type="dxa"/>
            <w:vAlign w:val="bottom"/>
            <w:shd w:val="clear" w:color="auto" w:fill="CCEEFF"/>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discounts and premiums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60" w:type="dxa"/>
            <w:vAlign w:val="bottom"/>
          </w:tcPr>
          <w:p>
            <w:pPr>
              <w:spacing w:after="0"/>
              <w:rPr>
                <w:sz w:val="18"/>
                <w:szCs w:val="18"/>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60" w:type="dxa"/>
            <w:vAlign w:val="bottom"/>
            <w:shd w:val="clear" w:color="auto" w:fill="CCEEFF"/>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(1,621)</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(902)</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(3,639)</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(2,020)</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costs of acquisitions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provision (benefit)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10,715</w:t>
            </w:r>
          </w:p>
        </w:tc>
        <w:tc>
          <w:tcPr>
            <w:tcW w:w="60" w:type="dxa"/>
            <w:vAlign w:val="bottom"/>
          </w:tcPr>
          <w:p>
            <w:pPr>
              <w:spacing w:after="0"/>
              <w:rPr>
                <w:sz w:val="18"/>
                <w:szCs w:val="18"/>
                <w:color w:val="auto"/>
              </w:rPr>
            </w:pPr>
          </w:p>
        </w:tc>
      </w:tr>
      <w:tr>
        <w:trPr>
          <w:trHeight w:val="209"/>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FFO available to common stockholders and unit holders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$ 385,020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$ 396,361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00"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i w:val="1"/>
          <w:iCs w:val="1"/>
          <w:color w:val="auto"/>
        </w:rPr>
        <w:t>Cash Flows Provided By Operating Activities</w:t>
      </w:r>
      <w:r>
        <w:rPr>
          <w:rFonts w:ascii="Times New Roman" w:cs="Times New Roman" w:eastAsia="Times New Roman" w:hAnsi="Times New Roman"/>
          <w:sz w:val="18"/>
          <w:szCs w:val="18"/>
          <w:color w:val="auto"/>
        </w:rPr>
        <w:t>. Cash flow from operating activities is the principal source of cash used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 our operating expenses, interest payments on debt, maintenance capital expenditures, and dividends to stockholders. During the nine months ended September 30, 2025, our net cash flows provided by operating activities were $426.0 million, primarily reflecting our net income before depreciation expense, amortization expense and other non-cash charges of $401.4 million and favorable changes in working capital of $24.5 million. The favorable changes in working capital primarily resulted from an increase in advanced ticket purchases at our OEG venues, an increase in advanced room deposits on future hotel stays, and an increase in interest payable.</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nine months ended September 30, 2024, our net cash flows provided by operating activities were</w:t>
      </w:r>
    </w:p>
    <w:p>
      <w:pPr>
        <w:spacing w:after="0" w:line="27" w:lineRule="exact"/>
        <w:rPr>
          <w:sz w:val="20"/>
          <w:szCs w:val="20"/>
          <w:color w:val="auto"/>
        </w:rPr>
      </w:pPr>
    </w:p>
    <w:p>
      <w:pPr>
        <w:ind w:left="60" w:right="199"/>
        <w:spacing w:after="0" w:line="260" w:lineRule="auto"/>
        <w:rPr>
          <w:sz w:val="20"/>
          <w:szCs w:val="20"/>
          <w:color w:val="auto"/>
        </w:rPr>
      </w:pPr>
      <w:r>
        <w:rPr>
          <w:rFonts w:ascii="Times New Roman" w:cs="Times New Roman" w:eastAsia="Times New Roman" w:hAnsi="Times New Roman"/>
          <w:sz w:val="18"/>
          <w:szCs w:val="18"/>
          <w:color w:val="auto"/>
        </w:rPr>
        <w:t>$409.9 million, primarily reflecting our net income before depreciation expense, amortization expense and other non-cash charges of $411.9 million, partially offset by unfavorable changes in working capital of $2.0 million.</w:t>
      </w:r>
    </w:p>
    <w:p>
      <w:pPr>
        <w:spacing w:after="0" w:line="139"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Flows Used In Investing Activities. </w:t>
      </w:r>
      <w:r>
        <w:rPr>
          <w:rFonts w:ascii="Times New Roman" w:cs="Times New Roman" w:eastAsia="Times New Roman" w:hAnsi="Times New Roman"/>
          <w:sz w:val="18"/>
          <w:szCs w:val="18"/>
          <w:color w:val="auto"/>
        </w:rPr>
        <w:t>During the nine months ended September 30, 2025, our primary uses of funds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investing activities were the use of $862.0 million to purchase JW Marriott Desert Ridge and purchases of property and equipment, which totaled $252.1 million. Purchases of property and equipment consisted primarily of projects at Gaylord Opryland, including a meeting space expansion, the renovation of an existing ballroom and pre-function space, and the development of a sports bar, pavilion and event lawn; a rooms renovation at Gaylord Texan; and ongoing maintenance capital expenditures for each of our existing properties.</w:t>
      </w:r>
    </w:p>
    <w:p>
      <w:pPr>
        <w:spacing w:after="0" w:line="157"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our primary use of funds for investing activities were purchases of property and equipment, which totaled $317.3 million, and consisted primarily of enhancements at Gaylord Rockies to construct a new events pavilion, enhance the grand lodge and reposition its food and beverage outlets; the conversion of the Wildhorse Saloon to Category 10; a rooms renovation at the W Austin and common area enhancements at Block 21; the completion of Ole Red Las Vegas; enhancements to meeting spaces at Gaylord Opryland; a rooms and lobby renovation at Gaylord Palms; and ongoing maintenance capital expenditures for each of our existing properties.</w:t>
      </w:r>
    </w:p>
    <w:p>
      <w:pPr>
        <w:spacing w:after="0" w:line="145" w:lineRule="exact"/>
        <w:rPr>
          <w:sz w:val="20"/>
          <w:szCs w:val="20"/>
          <w:color w:val="auto"/>
        </w:rPr>
      </w:pPr>
    </w:p>
    <w:p>
      <w:pPr>
        <w:ind w:left="60" w:right="179"/>
        <w:spacing w:after="0" w:line="275" w:lineRule="auto"/>
        <w:rPr>
          <w:sz w:val="20"/>
          <w:szCs w:val="20"/>
          <w:color w:val="auto"/>
        </w:rPr>
      </w:pPr>
      <w:r>
        <w:rPr>
          <w:rFonts w:ascii="Times New Roman" w:cs="Times New Roman" w:eastAsia="Times New Roman" w:hAnsi="Times New Roman"/>
          <w:sz w:val="17"/>
          <w:szCs w:val="17"/>
          <w:i w:val="1"/>
          <w:iCs w:val="1"/>
          <w:color w:val="auto"/>
        </w:rPr>
        <w:t>Cash Flows Provided By (Used In) Financing Activities</w:t>
      </w:r>
      <w:r>
        <w:rPr>
          <w:rFonts w:ascii="Times New Roman" w:cs="Times New Roman" w:eastAsia="Times New Roman" w:hAnsi="Times New Roman"/>
          <w:sz w:val="17"/>
          <w:szCs w:val="17"/>
          <w:color w:val="auto"/>
        </w:rPr>
        <w:t>. Our cash flows from financing activities primarily reflect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incurrence and repayment of long-term debt and the payment of cash distributions. During the nine months ended September 30, 2025, our net cash flows provided by financing activities were $642.2 million, primarily reflecting the issuance of $625.0 million in senior notes and $275.5 million in net proceeds from the issuance of approximately 3.0 million shares of our common stock, partially offset by the payment of $212.6 million in cash distributions, the repayment of $21.0 million under the OEG revolving credit facility, and the payment of $13.1 million in deferred financing costs.</w:t>
      </w:r>
    </w:p>
    <w:p>
      <w:pPr>
        <w:spacing w:after="0" w:line="130"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our net cash flows used in financing activities were $226.0 million, primarily reflecting the issuance of $1 billion in senior notes, offset by the prepayment of the Gaylord Rockies $800.0 million term loan, the repayment of $202.7 million under our term loan B, the payment of $199.8 million in cash dividends, and the payment of $23.1 million in deferred financing costs.</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87"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At September 30, 2025, we had $483.3 million in unrestricted cash and $780.0 million available for borrowing in the aggregate under our revolving credit facility and the OEG revolving credit facility. During the nine months ended September 30, 2025, we issued $625 million in new senior notes, received $275.5 million in net proceeds from the issuance of approximately 3.0 million shares of our common stock, used $862.0 million in net cash to purchase JW Marriott Desert Ridge, incurred capital expenditures of $252.1 million and paid $212.6 million in cash distributions. These changes, partially offset by the cash flows provided by operations discussed above, were the primary factors in the decrease in our cash balance from December 31, 2024 to September 30, 2025.</w:t>
      </w:r>
    </w:p>
    <w:p>
      <w:pPr>
        <w:spacing w:after="0" w:line="148"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anticipate investing in our operations during the remainder of 2025 by spending between approximately $125 million and $175 million in capital expenditures, which includes projects at Gaylord Opryland for the development of a sports bar, pavilion and event lawn, and a meeting space expansion; a rooms renovation at Gaylord Texan; the preparation for a rooms renovation at JW Marriott Hill Country; and ongoing maintenance capital for each of our current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facilities. At this time, the scope of our multiyear capital program remains unchanged; however, the discrete nature of the projects in the pipeline allows us to take a flexible approach to evolving macroeconomic conditions. Further, our dividend policy provides that we will make minimum dividends of 100% of REIT taxable income annually. Future dividends are subject to our board of directors’ future determinations as to amount and timing. We currently have no debt maturities until May 2027. We believe we will be able to refinance our debt agreements prior to their maturities.</w:t>
      </w:r>
    </w:p>
    <w:p>
      <w:pPr>
        <w:spacing w:after="0" w:line="15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believe that our cash on hand and cash flow from operations, together with amounts available for borrowing under each of our revolving credit facility and the OEG revolving credit facility, will be adequate to fund our general short-term commitments, as well as: (i) current operating expenses, (ii) interest expense on long-term debt obligations, (iii) financing lease and operating lease obligations, (iv) declared dividends and (v) the capital expenditures described above. Our ability to draw on our credit facility and the OEG revolving credit facility is subject to the satisfaction of provisions of the credit facility and the OEG revolving credit facility, as applicable.</w:t>
      </w:r>
    </w:p>
    <w:p>
      <w:pPr>
        <w:spacing w:after="0" w:line="147"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Our outstanding principal debt agreements are described below. At September 30, 2025, there were no defaults under the covenants related to our outstanding debt.</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Principal Debt Agreements</w:t>
      </w:r>
    </w:p>
    <w:p>
      <w:pPr>
        <w:spacing w:after="0" w:line="198"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On May 18, 2023, we entered into a Credit Agreement (as modified pursuant to the First Incremental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the Second Incremental Agreement (as hereinafter defined), the “Credit Agreement”) among 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w:t>
      </w:r>
    </w:p>
    <w:p>
      <w:pPr>
        <w:spacing w:after="0" w:line="145"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The Credit Agreement provides for a $700.0 million revolving credit facility (the “Revolver”) and a senior secured term loan B (the “Term Loan B”) (in the original principal amount of $500.0 million, which was reduced to $295.0 million on March 28, 2024 in connection with the First Incremental Agreement), as well as an accordion feature that will allow us to increase the facilities by an aggregate total of up to $475 million, which may be allocated between the Revolver and the Term Loan B at our option.</w:t>
      </w:r>
    </w:p>
    <w:p>
      <w:pPr>
        <w:spacing w:after="0" w:line="143"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Each of the Revolver and the Term Loan B is guaranteed by us, each of our subsidiaries that own the Gaylord Hotels properties, the JW Marriott properties and certain of our other subsidiaries. Each of the Revolver and the Term Loan B is secured by equity pledges of our subsidiaries that are the fee owners of Gaylord Opryland and Gaylord Texan, their respective direct and indirect parent entities, and the equity of Ryman Hotel Operations Holdco, LLC, a wholly owned indirect subsidiary of the Company. Assets and equity of OEG are not subject to the liens of the Credit Agreement.</w:t>
      </w:r>
    </w:p>
    <w:p>
      <w:pPr>
        <w:spacing w:after="0" w:line="15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In addition, each of the Revolver and Term Loan B contains certain covenants that,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w:t>
      </w:r>
    </w:p>
    <w:p>
      <w:pPr>
        <w:spacing w:after="0" w:line="139" w:lineRule="exact"/>
        <w:rPr>
          <w:sz w:val="20"/>
          <w:szCs w:val="20"/>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net leverage ratio of not greater than 6.50x.</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fixed charge coverage ratio of not less than 1.50x.</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secured indebtedness must not exceed 30% of consolidated total asset value.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secured recourse indebtedness must not exceed 10% of consolidated total asset value.</w:t>
      </w:r>
    </w:p>
    <w:p>
      <w:pPr>
        <w:spacing w:after="0" w:line="184"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Unencumbered leverage ratio must not exceed 55% (with the ability to surge to 60% in connection with a material acquisition).</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Unencumbered adjusted NOI to unsecured interest expense ratio of not less than 2.0x.</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47" w:lineRule="exact"/>
        <w:rPr>
          <w:sz w:val="20"/>
          <w:szCs w:val="20"/>
          <w:color w:val="auto"/>
        </w:rPr>
      </w:pPr>
    </w:p>
    <w:p>
      <w:pPr>
        <w:jc w:val="both"/>
        <w:ind w:left="60" w:right="179"/>
        <w:spacing w:after="0" w:line="271" w:lineRule="auto"/>
        <w:rPr>
          <w:sz w:val="20"/>
          <w:szCs w:val="20"/>
          <w:color w:val="auto"/>
        </w:rPr>
      </w:pPr>
      <w:r>
        <w:rPr>
          <w:rFonts w:ascii="Times New Roman" w:cs="Times New Roman" w:eastAsia="Times New Roman" w:hAnsi="Times New Roman"/>
          <w:sz w:val="17"/>
          <w:szCs w:val="17"/>
          <w:i w:val="1"/>
          <w:iCs w:val="1"/>
          <w:color w:val="auto"/>
        </w:rPr>
        <w:t>Revolving Credit Facility</w:t>
      </w:r>
      <w:r>
        <w:rPr>
          <w:rFonts w:ascii="Times New Roman" w:cs="Times New Roman" w:eastAsia="Times New Roman" w:hAnsi="Times New Roman"/>
          <w:sz w:val="17"/>
          <w:szCs w:val="17"/>
          <w:color w:val="auto"/>
        </w:rPr>
        <w:t>. The maturity date of the Revolver is May 18, 2027, with the option to extend the maturity 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a maximum of one additional year through either (i) a single 12-month extension option or (ii) two individual 6-month extensions (subject to extension fees as detailed in the Credit Agreement). Borrowings under the Revolver bear interest at an annual rate equal to, at our option, either (i) Adjusted Term SOFR plus the applicable margin ranging from 1.40% to</w:t>
      </w:r>
    </w:p>
    <w:p>
      <w:pPr>
        <w:spacing w:after="0" w:line="1" w:lineRule="exact"/>
        <w:rPr>
          <w:sz w:val="20"/>
          <w:szCs w:val="20"/>
          <w:color w:val="auto"/>
        </w:rPr>
      </w:pPr>
    </w:p>
    <w:p>
      <w:pPr>
        <w:ind w:left="60" w:right="119"/>
        <w:spacing w:after="0" w:line="277" w:lineRule="auto"/>
        <w:rPr>
          <w:sz w:val="20"/>
          <w:szCs w:val="20"/>
          <w:color w:val="auto"/>
        </w:rPr>
      </w:pPr>
      <w:r>
        <w:rPr>
          <w:rFonts w:ascii="Times New Roman" w:cs="Times New Roman" w:eastAsia="Times New Roman" w:hAnsi="Times New Roman"/>
          <w:sz w:val="17"/>
          <w:szCs w:val="17"/>
          <w:color w:val="auto"/>
        </w:rPr>
        <w:t>2.00%, (ii) Adjusted Daily Simple SOFR plus the applicable margin ranging from 1.40% to 2.00% or (iii) a base rate as set forth in the Credit Agreement plus the applicable margin ranging from 0.40% to 1.00%, with each option dependent upon our funded debt to total asset value ratio (as defined in the Credit Agreement). Principal is payable in full at maturity.</w:t>
      </w:r>
    </w:p>
    <w:p>
      <w:pPr>
        <w:spacing w:after="0" w:line="128" w:lineRule="exact"/>
        <w:rPr>
          <w:sz w:val="20"/>
          <w:szCs w:val="20"/>
          <w:color w:val="auto"/>
        </w:rPr>
      </w:pPr>
    </w:p>
    <w:p>
      <w:pPr>
        <w:jc w:val="both"/>
        <w:ind w:left="60" w:right="259"/>
        <w:spacing w:after="0" w:line="261" w:lineRule="auto"/>
        <w:rPr>
          <w:sz w:val="20"/>
          <w:szCs w:val="20"/>
          <w:color w:val="auto"/>
        </w:rPr>
      </w:pPr>
      <w:r>
        <w:rPr>
          <w:rFonts w:ascii="Times New Roman" w:cs="Times New Roman" w:eastAsia="Times New Roman" w:hAnsi="Times New Roman"/>
          <w:sz w:val="18"/>
          <w:szCs w:val="18"/>
          <w:color w:val="auto"/>
        </w:rPr>
        <w:t>For purposes of the Revolver, Adjusted Term SOFR is calculated as the sum of Term SOFR plus an adjustment of 0.10% (all as more specifically described in the Credit Agreement), subject to a floor of 0.00%. Adjusted Daily Simple SOFR is calculated as the sum of SOFR plus an adjustment of 0.10% (all as more specifically described in the Credit Agreement), subject to a floor of 0.00%.</w:t>
      </w:r>
    </w:p>
    <w:p>
      <w:pPr>
        <w:spacing w:after="0" w:line="13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At September 30, 2025, no amounts were outstanding under the Revolver, and there was $700.0 million of availability under the Revolver (subject to the satisfaction of debt incurrence tests under the indentures governing our $1 billion in aggregate principal amount of senior notes due 2032 (the “$1 Billion 6.50% Senior Notes”), our $700 million in aggregate principal amount of senior notes due 2027 (the “$700 Million 4.75% Senior Notes”), our $625 million in aggregate principal amount of senior notes due 2033 (the “$625 Million 6.50% Senior Notes”), our $600 million in aggregate principal amount of senior notes due 2029 (the “$600 Million 4.50% Senior Notes”) and our $400 million in aggregate principal amount of senior notes due 2028 (the “$400 Million 7.25% Senior Notes”), which we met at September 30, 2025).</w:t>
      </w:r>
    </w:p>
    <w:p>
      <w:pPr>
        <w:spacing w:after="0" w:line="163"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Term Loan B. </w:t>
      </w:r>
      <w:r>
        <w:rPr>
          <w:rFonts w:ascii="Times New Roman" w:cs="Times New Roman" w:eastAsia="Times New Roman" w:hAnsi="Times New Roman"/>
          <w:sz w:val="17"/>
          <w:szCs w:val="17"/>
          <w:color w:val="auto"/>
        </w:rPr>
        <w:t>The Term Loan B has a maturity date of May 18, 2030. Prior to the effectiveness of the First Incremental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and the Second Incremental Agreement (as hereinafter defined), the applicable interest rate margins for borrowings under the Term Loan B were, at our option, either (i) Term SOFR plus 2.75%, (ii) Daily Simple SOFR plus 2.75% or (iii) a base rate as set forth in the Credit Agreement plus 1.75%. The Credit Agreement requires principal amortization payments in an amount equal to 1% per annum of the principal amount of the Term Loan B, which is payable quarterly. In addition, if for any fiscal year, there is Excess Cash Flow (as defined in the Credit Agreement), an additional principal amount is required. Amounts borrowed under the Term Loan B that are repaid or prepaid may not be reborrowed.</w:t>
      </w:r>
    </w:p>
    <w:p>
      <w:pPr>
        <w:spacing w:after="0" w:line="133"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On April 12, 2024, we entered into an Incremental Tranche B Term Loan Agreement (the “First Incremental Agreement”), which supplemented the Credit Agreement and included the addition of certain new lenders and the removal of certain other lenders. The First Incremental Agreement reduced the applicable interest rate margins to (i) 2.25% for SOFR Loans (as defined in the Credit Agreement) and (ii) 1.25% for base rate loans.</w:t>
      </w:r>
    </w:p>
    <w:p>
      <w:pPr>
        <w:spacing w:after="0" w:line="139" w:lineRule="exact"/>
        <w:rPr>
          <w:sz w:val="20"/>
          <w:szCs w:val="20"/>
          <w:color w:val="auto"/>
        </w:rPr>
      </w:pPr>
    </w:p>
    <w:p>
      <w:pPr>
        <w:ind w:left="60" w:right="399"/>
        <w:spacing w:after="0" w:line="255" w:lineRule="auto"/>
        <w:rPr>
          <w:sz w:val="20"/>
          <w:szCs w:val="20"/>
          <w:color w:val="auto"/>
        </w:rPr>
      </w:pPr>
      <w:r>
        <w:rPr>
          <w:rFonts w:ascii="Times New Roman" w:cs="Times New Roman" w:eastAsia="Times New Roman" w:hAnsi="Times New Roman"/>
          <w:sz w:val="18"/>
          <w:szCs w:val="18"/>
          <w:color w:val="auto"/>
        </w:rPr>
        <w:t>On December 19, 2024, we entered into an additional Incremental Tranche B Term Loan Agreement (the “Second Incremental Agreement”), which supplemented the Credit Agreement. The Second Incremental Agreement reduces the applicable interest rate margins for the refinanced Term Loan B. The applicable interest rate margins for the refinanced Term Loan B under the Second Incremental Agreement are (i) 2.00% for SOFR Loans (as defined in the Credit Agreement) and (ii) 1.00% for base rate loans. Further, the Second Incremental Agreement provides for the applicable interest rate margins to be further reduced by an additional 0.25% upon our meeting certain criteria as set forth in the Second Incremental Agreement.</w:t>
      </w:r>
    </w:p>
    <w:p>
      <w:pPr>
        <w:spacing w:after="0" w:line="16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At September 30, 2025, the interest rate on the Term Loan B was Term SOFR plus 2.00%. Neither the First Incremental Agreement nor the Second Incremental Agreement changed the maturity dates under the Credit Agreement or resulted in any increase in principal indebtedness. In addition, the Second Incremental Agreement confirmed that the annual amortization under the Term Loan B is 1% of the refinanced $293.5 million outstanding principal amount, with the balance due at maturity. At September 30, 2025, $290.6 million in borrowings were outstanding under the Term Loan B.</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purposes of the Term Loan B, each of Term SOFR and Daily Simple SOFR are subject to a floor of 0.00%.</w:t>
      </w:r>
    </w:p>
    <w:p>
      <w:pPr>
        <w:spacing w:after="0" w:line="196"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$1 Billion 6.50% Senior Notes. </w:t>
      </w:r>
      <w:r>
        <w:rPr>
          <w:rFonts w:ascii="Times New Roman" w:cs="Times New Roman" w:eastAsia="Times New Roman" w:hAnsi="Times New Roman"/>
          <w:sz w:val="18"/>
          <w:szCs w:val="18"/>
          <w:color w:val="auto"/>
        </w:rPr>
        <w:t>On March 28, 2024, the Operating Partnership and Finco (collectively, the “issuing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completed the private placement of $1.0 billion in aggregate principal amount of 6.50% senior notes due 2032, which are guaranteed by the Company and its subsidiaries that guarantee the Credit Agreement. The $1 Billion 6.50% Senior Notes and guarantees were issued pursuant to an indenture by and among the issuing subsidiaries, the guarantors and U.S. Bank Trust Company, National Association, as trustee. The $1 Billion 6.50% Senior Notes have a maturity date of April 1, 2032 and bear interest at 6.50% per annum, payable semi-annually in cash in arrears on April 1 and October 1 each year, beginning October 1, 2024. The $1 Billion 6.50% Senior Notes are general unsecured and unsubordinated obligations of the issuing subsidiaries and rank equal in right of payment with such subsidiaries’ existing and future senior unsecured indebtedness, including the $700 Million 4.75% Senior Notes, the $625 Million 6.50% Senior Notes, the $600 Million 4.50% Senior Notes and the $400 Million 7.25% Senior Notes, and senior in right of payment to future subordinated indebtedness, if any. The $1 Billion 6.50%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$1 Billion 6.50%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$1 Billion 6.50% Senior Notes.</w:t>
      </w:r>
    </w:p>
    <w:p>
      <w:pPr>
        <w:spacing w:after="0" w:line="155"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net proceeds from the issuance of the $1 Billion 6.50% Senior Notes totaled approximately $983 million, after deducting the initial purchasers’ discounts, commissions and offering expenses. We used a portion of these net proceeds to prepay the indebtedness outstanding under our previous $800.0 million Gaylord Rockies term loan and used the remaining proceeds, together with cash on hand, to repay $200.0 million under the Term Loan B.</w:t>
      </w:r>
    </w:p>
    <w:p>
      <w:pPr>
        <w:spacing w:after="0" w:line="13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$1 Billion 6.50% Senior Notes are redeemable before April 1, 2027, in whole or in part, at 100.00%, plus accrued and unpaid interest thereon to, but not including, the redemption date, plus a make-whole premium. The $1 Billion 6.50% Senior Notes will be redeemable, in whole or in part, at any time on or after April 1, 2027 at a redemption price expressed as a percentage of the principal amount thereof, which percentage is 103.250%, 101.625%, and 100.000% beginning on April 1 of 2027, 2028, and 2029, respectively, plus accrued and unpaid interest thereon to, but not including, the redemption date.</w:t>
      </w:r>
    </w:p>
    <w:p>
      <w:pPr>
        <w:spacing w:after="0" w:line="158"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$700 Million 4.75% Senior Notes. </w:t>
      </w:r>
      <w:r>
        <w:rPr>
          <w:rFonts w:ascii="Times New Roman" w:cs="Times New Roman" w:eastAsia="Times New Roman" w:hAnsi="Times New Roman"/>
          <w:sz w:val="18"/>
          <w:szCs w:val="18"/>
          <w:color w:val="auto"/>
        </w:rPr>
        <w:t>In September 2019, the Operating Partnership and Finco completed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of $500.0 million in aggregate principal amount of senior notes due 2027, which are guaranteed by the Company and its subsidiaries that guarantee the Credit Agreement. The $500 Million 4.75% Senior Notes and guarantees were issued pursuant to an indenture by and among the issuing subsidiaries and the guarantors and U.S. Bank Trust Company, National Association as trustee. The $500 Million 4.75% Senior Notes have a maturity date of October 15, 2027 and bear interest at 4.75% per annum, payable semi-annually in cash in arrears on April 15 and October 15 each year. The $500 Million 4.75% Senior Notes are general unsecured and unsubordinated obligations of the issuing subsidiaries and rank equal in right of payment with such subsidiaries’ existing and future senior unsecured indebtedness, including the $1 Billion 6.50% Senior Notes, the $625 Million 6.50% Senior Notes, the $600 Million 4.50% Senior Notes and the $400 Million 7.25%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55"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Million 4.75% Senior Notes”). All other terms and conditions of the additional 2027 notes are identical to the $500 Million 4.75% Senior Notes.</w:t>
      </w:r>
    </w:p>
    <w:p>
      <w:pPr>
        <w:spacing w:after="0" w:line="162"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The $700 Million 4.75% Senior Notes are currently redeemable, in whole or in part, at 100% of the principal amount thereof plus accrued and unpaid interest thereon to, but not including, the redemption date.</w:t>
      </w:r>
    </w:p>
    <w:p>
      <w:pPr>
        <w:spacing w:after="0" w:line="135"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completed a registered offer to exchange the $700 Million 4.75% Senior Notes for registered notes with substantially identical terms as the $700 Million 4.75% Senior Notes in July 2020.</w:t>
      </w:r>
    </w:p>
    <w:p>
      <w:pPr>
        <w:spacing w:after="0" w:line="11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i w:val="1"/>
          <w:iCs w:val="1"/>
          <w:color w:val="auto"/>
        </w:rPr>
        <w:t>$625 Million 6.50% Senior Notes</w:t>
      </w:r>
      <w:r>
        <w:rPr>
          <w:rFonts w:ascii="Times New Roman" w:cs="Times New Roman" w:eastAsia="Times New Roman" w:hAnsi="Times New Roman"/>
          <w:sz w:val="18"/>
          <w:szCs w:val="18"/>
          <w:color w:val="auto"/>
        </w:rPr>
        <w:t>. On June 4, 2025, the Operating Partnership and Finco completed the private 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$625.0 million in aggregate principal amount of 6.50% senior notes due 2033, which are guaranteed by the Company and its subsidiaries that guarantee the Credit Agreement. The $625 Million 6.50% Senior Notes and guarantees were issued pursuant to an indenture by and among the issuing subsidiaries, the guarantors and U.S. Bank Trust Company, National Association, as trustee. The $625 Million 6.50% Senior Notes have a maturity date of June 15, 2033 and bear interest at 6.50% per annum, payable semi-annually in cash in arrears on June 15 and December 15 each year, beginning on December 15, 2025. The $625 Million 6.50% Senior Notes are general unsecured and unsubordinated obligations of the issuing subsidiaries and rank equal in right of payment with such subsidiaries’ existing and future senior unsecured indebtedness, including the $1 Billion 6.50% Senior Notes, the $700 Million 4.75% Senior Notes, the $600 Million 4.50% Senior Notes and the $400 Million 7.25% Senior Notes, and senior in right of payment to future subordinated indebtedness, if any. The $625 Million 6.50%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$625 Million 6.50%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$625 Million 6.50% Senior Notes.</w:t>
      </w:r>
    </w:p>
    <w:p>
      <w:pPr>
        <w:spacing w:after="0" w:line="155" w:lineRule="exact"/>
        <w:rPr>
          <w:sz w:val="20"/>
          <w:szCs w:val="20"/>
          <w:color w:val="auto"/>
        </w:rPr>
      </w:pPr>
    </w:p>
    <w:p>
      <w:pPr>
        <w:jc w:val="both"/>
        <w:ind w:left="60" w:right="479"/>
        <w:spacing w:after="0" w:line="266" w:lineRule="auto"/>
        <w:rPr>
          <w:sz w:val="20"/>
          <w:szCs w:val="20"/>
          <w:color w:val="auto"/>
        </w:rPr>
      </w:pPr>
      <w:r>
        <w:rPr>
          <w:rFonts w:ascii="Times New Roman" w:cs="Times New Roman" w:eastAsia="Times New Roman" w:hAnsi="Times New Roman"/>
          <w:sz w:val="18"/>
          <w:szCs w:val="18"/>
          <w:color w:val="auto"/>
        </w:rPr>
        <w:t>The net proceeds from the issuance of the $625 Million 6.50% Senior Notes totaled approximately $614 million, after deducting the initial purchasers’ discounts, commissions and offering expenses. We used these net proceeds to fund a portion of the purchase price for JW Marriott Desert Ridge.</w:t>
      </w:r>
    </w:p>
    <w:p>
      <w:pPr>
        <w:spacing w:after="0" w:line="149" w:lineRule="exact"/>
        <w:rPr>
          <w:sz w:val="20"/>
          <w:szCs w:val="20"/>
          <w:color w:val="auto"/>
        </w:rPr>
      </w:pPr>
    </w:p>
    <w:p>
      <w:pPr>
        <w:ind w:left="60" w:right="199"/>
        <w:spacing w:after="0" w:line="276" w:lineRule="auto"/>
        <w:rPr>
          <w:sz w:val="20"/>
          <w:szCs w:val="20"/>
          <w:color w:val="auto"/>
        </w:rPr>
      </w:pPr>
      <w:r>
        <w:rPr>
          <w:rFonts w:ascii="Times New Roman" w:cs="Times New Roman" w:eastAsia="Times New Roman" w:hAnsi="Times New Roman"/>
          <w:sz w:val="17"/>
          <w:szCs w:val="17"/>
          <w:color w:val="auto"/>
        </w:rPr>
        <w:t>The $625 Million 6.50% Senior Notes are redeemable before June 15, 2028, in whole or in part, at 100.00%, plus accrued and unpaid interest thereon to, but not including, the redemption date, plus a make-whole premium. The $625 Million</w:t>
      </w:r>
    </w:p>
    <w:p>
      <w:pPr>
        <w:spacing w:after="0" w:line="1"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6.50% Senior Notes will be redeemable, in whole or in part, at any time on or after June 15, 2028 at a redemption price expressed as a percentage of the principal amount thereof, which percentage is 103.250%, 101.625%, and 100.000% beginning on June 15 of 2028, 2029, and 2030, respectively, plus accrued and unpaid interest thereon to, but not including, the redemption date.</w:t>
      </w:r>
    </w:p>
    <w:p>
      <w:pPr>
        <w:spacing w:after="0" w:line="146"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i w:val="1"/>
          <w:iCs w:val="1"/>
          <w:color w:val="auto"/>
        </w:rPr>
        <w:t>$600 Million 4.50% Senior Notes</w:t>
      </w:r>
      <w:r>
        <w:rPr>
          <w:rFonts w:ascii="Times New Roman" w:cs="Times New Roman" w:eastAsia="Times New Roman" w:hAnsi="Times New Roman"/>
          <w:sz w:val="17"/>
          <w:szCs w:val="17"/>
          <w:color w:val="auto"/>
        </w:rPr>
        <w:t>. In February 2021, the Operating Partnership and Finco completed the private placement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$600.0 million in aggregate principal amount of 4.50% senior notes due 2029, which are guaranteed by the Company and its subsidiaries that guarantee the Credit Agreement. The $600 Million 4.50% Senior Notes and guarantees were issued pursuant to an indenture by and among the issuing subsidiaries and the guarantors and U.S. Bank Trust Company, National Association as trustee. The $600 Million 4.50% Senior Notes have a maturity date of February 15, 2029 and bear interest at 4.50% per annum, payable semi-annually in cash in arrears on February 15 and August 15 each year. The $600 Million</w:t>
      </w:r>
    </w:p>
    <w:p>
      <w:pPr>
        <w:spacing w:after="0" w:line="2" w:lineRule="exact"/>
        <w:rPr>
          <w:sz w:val="20"/>
          <w:szCs w:val="20"/>
          <w:color w:val="auto"/>
        </w:rPr>
      </w:pPr>
    </w:p>
    <w:p>
      <w:pPr>
        <w:ind w:left="60" w:right="99"/>
        <w:spacing w:after="0" w:line="267" w:lineRule="auto"/>
        <w:rPr>
          <w:sz w:val="20"/>
          <w:szCs w:val="20"/>
          <w:color w:val="auto"/>
        </w:rPr>
      </w:pPr>
      <w:r>
        <w:rPr>
          <w:rFonts w:ascii="Times New Roman" w:cs="Times New Roman" w:eastAsia="Times New Roman" w:hAnsi="Times New Roman"/>
          <w:sz w:val="17"/>
          <w:szCs w:val="17"/>
          <w:color w:val="auto"/>
        </w:rPr>
        <w:t>4.50% Senior Notes are general unsecured and unsubordinated obligations of the issuing subsidiaries and rank equal in right of payment with such subsidiaries’ existing and future senior unsecured indebtedness, including the $1 Billion 6.50% Senior Notes, the $700 Million 4.75% Senior Notes, the $625 Million 6.50% Senior Notes and the $400 Million 7.25% Senior Notes,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$600 Million 4.50% Senior Notes are currently redeemable, in whole or in part, at a redemption price expressed as a percentage of the principal amount thereof, which percentage is currently 101.500% and will be 100.750%, and 100.000% beginning on February 15 of 2026, and 2027, respectively, plus accrued and unpaid interest thereon to, but not including, the redemption date.</w:t>
      </w:r>
    </w:p>
    <w:p>
      <w:pPr>
        <w:spacing w:after="0" w:line="151" w:lineRule="exact"/>
        <w:rPr>
          <w:sz w:val="20"/>
          <w:szCs w:val="20"/>
          <w:color w:val="auto"/>
        </w:rPr>
      </w:pPr>
    </w:p>
    <w:p>
      <w:pPr>
        <w:ind w:left="60" w:right="79"/>
        <w:spacing w:after="0" w:line="270" w:lineRule="auto"/>
        <w:rPr>
          <w:sz w:val="20"/>
          <w:szCs w:val="20"/>
          <w:color w:val="auto"/>
        </w:rPr>
      </w:pPr>
      <w:r>
        <w:rPr>
          <w:rFonts w:ascii="Times New Roman" w:cs="Times New Roman" w:eastAsia="Times New Roman" w:hAnsi="Times New Roman"/>
          <w:sz w:val="17"/>
          <w:szCs w:val="17"/>
          <w:i w:val="1"/>
          <w:iCs w:val="1"/>
          <w:color w:val="auto"/>
        </w:rPr>
        <w:t>$400 Million 7.25% Senior Notes</w:t>
      </w:r>
      <w:r>
        <w:rPr>
          <w:rFonts w:ascii="Times New Roman" w:cs="Times New Roman" w:eastAsia="Times New Roman" w:hAnsi="Times New Roman"/>
          <w:sz w:val="17"/>
          <w:szCs w:val="17"/>
          <w:color w:val="auto"/>
        </w:rPr>
        <w:t>. On June 22, 2023, the Operating Partnership and Finco completed the private placement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$400.0 million in aggregate principal amount of 7.25% senior notes due 2028, which are guaranteed by the Company and its subsidiaries that guarantee the Credit Agreement. The $400 Million 7.25% Senior Notes and guarantees were issued pursuant to an indenture by and among the issuing subsidiaries, the guarantors and U.S. Bank Trust Company, National Association as trustee. The $400 Million 7.25% Senior Notes have a maturity date of July 15, 2028 and bear interest at</w:t>
      </w:r>
    </w:p>
    <w:p>
      <w:pPr>
        <w:spacing w:after="0" w:line="1" w:lineRule="exact"/>
        <w:rPr>
          <w:sz w:val="20"/>
          <w:szCs w:val="20"/>
          <w:color w:val="auto"/>
        </w:rPr>
      </w:pPr>
    </w:p>
    <w:p>
      <w:pPr>
        <w:ind w:left="60" w:right="79"/>
        <w:spacing w:after="0" w:line="267" w:lineRule="auto"/>
        <w:rPr>
          <w:sz w:val="20"/>
          <w:szCs w:val="20"/>
          <w:color w:val="auto"/>
        </w:rPr>
      </w:pPr>
      <w:r>
        <w:rPr>
          <w:rFonts w:ascii="Times New Roman" w:cs="Times New Roman" w:eastAsia="Times New Roman" w:hAnsi="Times New Roman"/>
          <w:sz w:val="17"/>
          <w:szCs w:val="17"/>
          <w:color w:val="auto"/>
        </w:rPr>
        <w:t>7.25% per annum, payable semi-annually in cash in arrears on January 15 and July 15 each year. The $400 Million 7.25% Senior Notes are general unsecured and unsubordinated obligations of the issuing subsidiaries and rank equal in right of payment with such subsidiaries’ existing and future senior unsecured indebtedness, including the $1 Billion 6.50% Senior Notes, the $700 Million 4.75% Senior Notes, the $625 Million 6.50% Senior Notes and the $600 Million 4.50% Senior Notes, and senior in right of payment to future subordinated indebtedness, if any. The $400 Million 7.25%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7.25%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7.25% Senior Notes.</w:t>
      </w:r>
    </w:p>
    <w:p>
      <w:pPr>
        <w:spacing w:after="0" w:line="141"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$400 Million 7.25% Senior Notes are currently redeemable, in whole or in part, at a redemption price expressed as a percentage of the principal amount thereof, which percentage is currently 103.625% and will be 101.813% and 100.000% beginning on July 15 of 2026, and 2027, respectively, plus accrued and unpaid interest thereon to, but not including, the redemption date.</w:t>
      </w:r>
    </w:p>
    <w:p>
      <w:pPr>
        <w:spacing w:after="0" w:line="139"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Each of the indentures governing the $1 Billion 6.50% Senior Notes, the $700 Million 4.75% Senior Notes, the $625 Million 6.50% Senior Notes, the $600 Million 4.50% Senior Notes and the $400 Million 7.25% Senior Notes contain certain covenants which, among other things and subject to certain exceptions and qualifications, limit the incurrence of additional indebtedness, investments, dividends, transactions with affiliates, asset sales, acquisitions, mergers and consolidations, liens and encumbrances and other matters customarily restricted in such agreements. In addition, if the Company experiences specific kinds of changes of control, the Company must offer to repurchase some or all of the senior notes at 101% of their principal amount, plus accrued and unpaid interest, if any, up to, but excluding, the repurchase date.</w:t>
      </w:r>
    </w:p>
    <w:p>
      <w:pPr>
        <w:spacing w:after="0" w:line="14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OEG Credit Agreement</w:t>
      </w:r>
      <w:r>
        <w:rPr>
          <w:rFonts w:ascii="Times New Roman" w:cs="Times New Roman" w:eastAsia="Times New Roman" w:hAnsi="Times New Roman"/>
          <w:sz w:val="18"/>
          <w:szCs w:val="18"/>
          <w:color w:val="auto"/>
        </w:rPr>
        <w:t>. On June 28, 2024, OEG Borrower, LLC (“OEG Borrower”) and OEG Finance, LLC (“OEG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each a wholly owned direct or indirect subsidiary of OEG, entered into a certain First Amendment, which amends the Credit Agreement dated as of June 16, 2022 among OEG Borrower, as borrower, OEG Finance, certain subsidiaries of OEG Borrower from time to time party thereto as guarantors, the lenders party thereto and JPMorgan Chase Bank, N.A., as administrative agent (as amended, the “2024 OEG Credit Agreement”).</w:t>
      </w:r>
    </w:p>
    <w:p>
      <w:pPr>
        <w:spacing w:after="0" w:line="185" w:lineRule="exact"/>
        <w:rPr>
          <w:sz w:val="20"/>
          <w:szCs w:val="20"/>
          <w:color w:val="auto"/>
        </w:rPr>
      </w:pPr>
    </w:p>
    <w:p>
      <w:pPr>
        <w:ind w:left="60" w:right="319"/>
        <w:spacing w:after="0" w:line="277" w:lineRule="auto"/>
        <w:rPr>
          <w:sz w:val="20"/>
          <w:szCs w:val="20"/>
          <w:color w:val="auto"/>
        </w:rPr>
      </w:pPr>
      <w:r>
        <w:rPr>
          <w:rFonts w:ascii="Times New Roman" w:cs="Times New Roman" w:eastAsia="Times New Roman" w:hAnsi="Times New Roman"/>
          <w:sz w:val="17"/>
          <w:szCs w:val="17"/>
          <w:color w:val="auto"/>
        </w:rPr>
        <w:t>The 2024 OEG Credit Agreement provides for (i) a senior secured term loan facility in the aggregate amount of $300.0 million (the “2024 OEG Term Loan”) and (ii) a senior secured revolving credit facility in an aggregate principal amount not to exceed $80.0 million (the “OEG Revolver”). The 2024 OEG Term Loan refinanced and replaced the former term loan in the outstanding principal amount of $294.8 million as of June 28, 2024 and the OEG Revolver refinanced and replaced the senior secured revolving credit facility in an aggregate principal amount not to exceed $65.0 million.</w:t>
      </w:r>
    </w:p>
    <w:p>
      <w:pPr>
        <w:spacing w:after="0" w:line="127"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On April 28, 2025, OEG Borrower and OEG Finance entered into a Second Amendment, which amended the 2024 OEG Credit Agreement (as amended, the “OEG Credit Agreement”) in which OEG Borrower obtained an incremental term loan in an aggregate principal amount equal to $130.0 million (the “Incremental OEG Loan”) on the same terms as the 2024 OEG Term Loan. The net proceeds of the Incremental OEG Loan, together with cash on hand, were used to defease the Block 21 CMBS Loan (as defined below) in full, which releases the borrower thereunder from the $127.9 million amount outstanding under the Block 21 CMBS Loan. As amended by the Second Amendment, the OEG Credit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Agreement provides for (i) a senior secured term loan facility in an aggregate principal amount equal to $428.5 million (the “OEG Term Loan”) and (ii) the OEG Revolver. The Incremental OEG Loan did not change any applicable interest rates or maturity dates of any indebtedness under the 2024 OEG Credit Agreement. In addition, the terms of the Incremental OEG Loan confirm that the annual amortization under the 2024 OEG Term Loan is approximately 1% of the refinanced $428.5 million outstanding principal amount, with the balance due at maturity.</w:t>
      </w:r>
    </w:p>
    <w:p>
      <w:pPr>
        <w:spacing w:after="0" w:line="156" w:lineRule="exact"/>
        <w:rPr>
          <w:sz w:val="20"/>
          <w:szCs w:val="20"/>
          <w:color w:val="auto"/>
        </w:rPr>
      </w:pPr>
    </w:p>
    <w:p>
      <w:pPr>
        <w:ind w:left="60" w:right="939"/>
        <w:spacing w:after="0" w:line="282" w:lineRule="auto"/>
        <w:rPr>
          <w:sz w:val="20"/>
          <w:szCs w:val="20"/>
          <w:color w:val="auto"/>
        </w:rPr>
      </w:pPr>
      <w:r>
        <w:rPr>
          <w:rFonts w:ascii="Times New Roman" w:cs="Times New Roman" w:eastAsia="Times New Roman" w:hAnsi="Times New Roman"/>
          <w:sz w:val="18"/>
          <w:szCs w:val="18"/>
          <w:color w:val="auto"/>
        </w:rPr>
        <w:t>At September 30, 2025, $426.3 million was outstanding under the OEG Term Loan, and there were no amounts outstanding under the OEG Revolver.</w:t>
      </w:r>
    </w:p>
    <w:p>
      <w:pPr>
        <w:spacing w:after="0" w:line="121" w:lineRule="exact"/>
        <w:rPr>
          <w:sz w:val="20"/>
          <w:szCs w:val="20"/>
          <w:color w:val="auto"/>
        </w:rPr>
      </w:pPr>
    </w:p>
    <w:p>
      <w:pPr>
        <w:ind w:left="60" w:right="79"/>
        <w:spacing w:after="0" w:line="272" w:lineRule="auto"/>
        <w:rPr>
          <w:sz w:val="20"/>
          <w:szCs w:val="20"/>
          <w:color w:val="auto"/>
        </w:rPr>
      </w:pPr>
      <w:r>
        <w:rPr>
          <w:rFonts w:ascii="Times New Roman" w:cs="Times New Roman" w:eastAsia="Times New Roman" w:hAnsi="Times New Roman"/>
          <w:sz w:val="17"/>
          <w:szCs w:val="17"/>
          <w:color w:val="auto"/>
        </w:rPr>
        <w:t>The OEG Term Loan and the OEG Revolver are each secured by substantially all of the assets of OEG Finance and each of its subsidiaries. The OEG Term Loan bears interest at a rate equal to either, at OEG Borrower’s election, as of the closing contemplated by the OEG Credit Agreement: (a) the Alternate Base Rate plus 2.50% or (b) Adjusted Term SOFR plus</w:t>
      </w:r>
    </w:p>
    <w:p>
      <w:pPr>
        <w:spacing w:after="0" w:line="2"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3.50% (all as more specifically described in the OEG Credit Agreement). In November 2022, OEG entered into an interest rate swap to fix the SOFR portion of the interest rate on $100.0 million of borrowings at 4.533% through December 2025. In August 2025, OEG entered into an interest rate swap to fix the SOFR portion of the interest rate on $100.0 million of borrowings at 3.214% from December 2025 through December 2028. In September 2025, OEG entered into an additional interest rate swap to fix the SOFR portion of the interest rate on $125.0 million of borrowings at 3.17% through December 2028.</w:t>
      </w:r>
    </w:p>
    <w:p>
      <w:pPr>
        <w:spacing w:after="0" w:line="149"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Borrowings under the OEG Revolver bear interest at a rate equal to either, at OEG Borrower’s election, as of the closing contemplated by the OEG Credit Agreement: (a) the Alternate Base Rate plus the Applicable Rate (as defined in the OEG Credit Agreement) or (b) Adjusted Term SOFR plus the Applicable Rate. Under the OEG Credit Agreement, (i) the Applicable Rate for Alternative Base Rate loans will be between 2.75% and 2.25% and (ii) the Applicable Rate for Adjusted Term SOFR loans will be between 3.75% and 3.25%, in each of (i) and (ii) based upon the First Lien Leverage Ratio of OEG Finance and its consolidated subsidiaries (as more specifically described in the OEG Credit Agreement).</w:t>
      </w:r>
    </w:p>
    <w:p>
      <w:pPr>
        <w:spacing w:after="0" w:line="160"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Applicable Rate for borrowings under the OEG Revolver as of September 30, 2025 is 2.50% for Alternative Base Rate Loans and 3.50% for Adjusted Term SOFR loans. The Applicable Rate for borrowings under the OEG Term Loan as of September 30, 2025 is 2.50% for Alternative Base Rate Loans and 3.50% for Adjusted Term SOFR loans.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OEG Term Loan matures on June 28, 2031 and the OEG Revolver matures on June 28, 2029.</w:t>
      </w:r>
    </w:p>
    <w:p>
      <w:pPr>
        <w:spacing w:after="0" w:line="183"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Block 21 CMBS Loan</w:t>
      </w:r>
      <w:r>
        <w:rPr>
          <w:rFonts w:ascii="Times New Roman" w:cs="Times New Roman" w:eastAsia="Times New Roman" w:hAnsi="Times New Roman"/>
          <w:sz w:val="18"/>
          <w:szCs w:val="18"/>
          <w:color w:val="auto"/>
        </w:rPr>
        <w:t>. In connection with the purchase of Block 21 in May 2022, a subsidiary of the Company assumed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$136 million, ten-year, non-recourse term loan secured by a mortgage on Block 21 (the “Block 21 CMBS Loan”). The proceeds of the Incremental OEG Loan described above were used to defease the Block 21 CMBS Loan in full in April 2025.</w:t>
      </w:r>
    </w:p>
    <w:p>
      <w:pPr>
        <w:spacing w:after="0" w:line="153"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Additional Debt Limitations</w:t>
      </w:r>
      <w:r>
        <w:rPr>
          <w:rFonts w:ascii="Times New Roman" w:cs="Times New Roman" w:eastAsia="Times New Roman" w:hAnsi="Times New Roman"/>
          <w:sz w:val="18"/>
          <w:szCs w:val="18"/>
          <w:color w:val="auto"/>
        </w:rPr>
        <w:t>. Pursuant to the terms of the management agreements and pooling agreement with Marriott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Gaylord Hotels properties, excluding Gaylord Rockies, we are subject to certain debt limitations described below.</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management agreements provide for the following limitations on indebtedness encumbering a hotel:</w:t>
      </w:r>
    </w:p>
    <w:p>
      <w:pPr>
        <w:spacing w:after="0" w:line="185" w:lineRule="exact"/>
        <w:rPr>
          <w:sz w:val="20"/>
          <w:szCs w:val="20"/>
          <w:color w:val="auto"/>
        </w:rPr>
      </w:pPr>
    </w:p>
    <w:p>
      <w:pPr>
        <w:ind w:left="720" w:right="35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encumbering the hotel shall be no greater than 75% of the fair market value of the hotel; and</w:t>
      </w:r>
    </w:p>
    <w:p>
      <w:pPr>
        <w:spacing w:after="0" w:line="134"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pooled limitations on Secured Debt (as defined in the pooling agreement) are as follows:</w:t>
      </w:r>
    </w:p>
    <w:p>
      <w:pPr>
        <w:spacing w:after="0" w:line="185" w:lineRule="exact"/>
        <w:rPr>
          <w:sz w:val="20"/>
          <w:szCs w:val="20"/>
          <w:color w:val="auto"/>
        </w:rPr>
      </w:pPr>
    </w:p>
    <w:p>
      <w:pPr>
        <w:ind w:left="720" w:right="19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on Pooled Hotels (as defined in the pooling agreement), shall be no more than 75% of the fair market value of Pooled Hotels.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pooling agreement) of Pooled Hotels in the</w:t>
      </w:r>
    </w:p>
    <w:p>
      <w:pPr>
        <w:spacing w:after="0" w:line="27" w:lineRule="exact"/>
        <w:rPr>
          <w:rFonts w:ascii="Times New Roman" w:cs="Times New Roman" w:eastAsia="Times New Roman" w:hAnsi="Times New Roman"/>
          <w:sz w:val="18"/>
          <w:szCs w:val="18"/>
          <w:color w:val="auto"/>
        </w:rPr>
      </w:pPr>
    </w:p>
    <w:p>
      <w:pPr>
        <w:ind w:left="720" w:right="2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prior to closing on any mortgage or mezzanine debt to (b) annual debt service for the Pooled Hotels, shall equal or exceed 1.2:1.</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Gaylord Rockies is not a Pooled Hotel for this purpose.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Estimated Interest on Principal Debt Agreements</w:t>
      </w:r>
    </w:p>
    <w:p>
      <w:pPr>
        <w:spacing w:after="0" w:line="187" w:lineRule="exact"/>
        <w:rPr>
          <w:sz w:val="20"/>
          <w:szCs w:val="20"/>
          <w:color w:val="auto"/>
        </w:rPr>
      </w:pPr>
    </w:p>
    <w:p>
      <w:pPr>
        <w:ind w:left="60" w:right="179"/>
        <w:spacing w:after="0" w:line="273" w:lineRule="auto"/>
        <w:rPr>
          <w:sz w:val="20"/>
          <w:szCs w:val="20"/>
          <w:color w:val="auto"/>
        </w:rPr>
      </w:pPr>
      <w:r>
        <w:rPr>
          <w:rFonts w:ascii="Times New Roman" w:cs="Times New Roman" w:eastAsia="Times New Roman" w:hAnsi="Times New Roman"/>
          <w:sz w:val="17"/>
          <w:szCs w:val="17"/>
          <w:color w:val="auto"/>
        </w:rPr>
        <w:t>Based on the stated interest rates on our fixed-rate debt and the rates in effect at September 30, 2025 for our variable-rate debt after considering interest rate swaps, our estimated interest obligations through 2029 are $880.0 million. These estimated obligations are $61.2 million for the remainder of 2025, $244.5 million in 2026, $237.0 million in 2027, $196.9 million in 2028, and $140.4 million in 2029.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10-K for the year ended December 31, 2024 for a discussion of the interest we paid during 2024, 2023 and 2022.</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87"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Inflation has had a more meaningful impact on our business during recent periods than in historical periods. However, favorable ADR and outside-the-room spend in our Hospitality segment and business levels in our Entertainment segment in recent periods have reduced the impact of increased operating costs on our financial position and results of operations.</w:t>
      </w:r>
    </w:p>
    <w:p>
      <w:pPr>
        <w:spacing w:after="0" w:line="135"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Additionally, increased interest rates have driven higher interest expense on our debt than in historical periods, although interest rates on our debt have decreased in the 2025 period, as compared to the 2024 period. In an effort to mitigate the impact of increased interest rates, at September 30, 2025, 88% of our outstanding debt is fixed-rate debt, after considering the impact of interest rate swaps.</w:t>
      </w:r>
    </w:p>
    <w:p>
      <w:pPr>
        <w:spacing w:after="0" w:line="153"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A prolonged inflationary environment could adversely affect our operating costs, customer spending and bookings, and our financial results.</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Supplemental Guarantor Financial Information</w:t>
      </w:r>
    </w:p>
    <w:p>
      <w:pPr>
        <w:spacing w:after="0" w:line="18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$1 Billion 6.50% Senior Notes, $700 Million 4.75% Senior Notes, $625 Million 6.50% Senior Notes, $600 Million 4.50% Senior Notes and $400 Million 7.25% Senior Notes were each issued by the Operating Partnership and Finco (collectively, the “Issuers”), and are guaranteed on a senior unsecured basis by the Company (as the parent company), each of the Operating Partnership’s subsidiaries that own the Gaylord Hotels properties, the JW Marriott properties and certain other of the Company’s subsidiaries, each of which also guarantees the Credit Agreement, as amended (such subsidiary guarantors, together with the Company, the “Guarantors”). The Guarantors are 100% owned 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 have guaranteed these senior notes, and the guarantees are structurally subordinated to all indebtedness and other obligations of such subsidiaries that have not guaranteed these senior notes.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for the Issuers and the Guarantors on a combined basis. The intercompany balances and transactions between these parties, as well as any investments in or equity in earnings from non-guarantor subsidiaries, have been eliminated (amounts in thousands).</w:t>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4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3,978,245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9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3,978,245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payables due to non-guarantor subsidiaries</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3,864,512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0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liabilities</w:t>
            </w:r>
          </w:p>
        </w:tc>
        <w:tc>
          <w:tcPr>
            <w:tcW w:w="9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4,098,562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tcBorders>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Total noncontrolling interest</w:t>
            </w: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20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4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non-guarantor subsidiaries</w:t>
            </w:r>
          </w:p>
        </w:tc>
        <w:tc>
          <w:tcPr>
            <w:tcW w:w="9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(excluding expenses to non-guarantor subsidiaries)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to non-guarantor subsidiaries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non-guarantor subsidiaries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147,310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conformity with GAAP. Certain of our accounting policies, including those related to impairment of long-lived and other assets, credit losses on financial assets, income taxes, acquisitions and purchase price allocations, and legal contingencies, require that we apply significant judgment in 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10-K for the year ended December 31, 2024. There were no newly identified critical accounting policies in the first nine months of 2025, nor were there any material changes to the critical accounting policies and estimates discussed in our Annual Report on Form 10-K for the year ended December 31, 2024.</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quantitative and qualitative market risks since December 31, 2024. For a discussion of the Company’s exposure to market risk, refer to the Company’s market risk disclosures set forth in Part II, Item 7A, “Quantitative and Qualitative Disclosures About Market Risk” of the Company’s Annual Report on Form 10-K for the year ended December 31, 2024.</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including our Chief Executive Officer and Chief Financial Officer, of the effectiveness of the design and operation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49"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99" w:lineRule="exact"/>
        <w:rPr>
          <w:sz w:val="20"/>
          <w:szCs w:val="20"/>
          <w:color w:val="auto"/>
        </w:rPr>
      </w:pPr>
    </w:p>
    <w:p>
      <w:pPr>
        <w:ind w:left="60" w:right="139"/>
        <w:spacing w:after="0" w:line="281" w:lineRule="auto"/>
        <w:rPr>
          <w:sz w:val="20"/>
          <w:szCs w:val="20"/>
          <w:color w:val="auto"/>
        </w:rPr>
      </w:pPr>
      <w:r>
        <w:rPr>
          <w:rFonts w:ascii="Times New Roman" w:cs="Times New Roman" w:eastAsia="Times New Roman" w:hAnsi="Times New Roman"/>
          <w:sz w:val="17"/>
          <w:szCs w:val="17"/>
          <w:color w:val="auto"/>
        </w:rPr>
        <w:t>On June 10, 2025, we acquired JW Marriott Desert Ridge. We are currently in the process of assessing JW Marriott Desert Ridge’s internal control over financial reporting and integrating the entity’s internal control over financial reporting with our existing internal control over financial reporting. As permitted by SEC regulations, we intend to exclude JW Marriott Desert Ridge from our assessment of internal control over financial reporting as of December 31, 2025.</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is a party to certain litigation in the ordinary course, as described in Note 13, “Commitments and Contingencies,” to our condensed consolidated financial statements included herein and which our management deems will not have a material effect on our financial statements.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Except as otherwise described herein, there have been no material changes from the risk factors disclosed in Part I, Item 1A, “Risk Factors,” of our Annual Report on Form 10-K for the year ended December 31, 2024.</w:t>
      </w:r>
    </w:p>
    <w:p>
      <w:pPr>
        <w:spacing w:after="0" w:line="117"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and operating results may suffer if we are unsuccessful in integrating JW Marriott Desert Ridge with our existing assets</w:t>
      </w:r>
      <w:r>
        <w:rPr>
          <w:rFonts w:ascii="Times New Roman" w:cs="Times New Roman" w:eastAsia="Times New Roman" w:hAnsi="Times New Roman"/>
          <w:sz w:val="18"/>
          <w:szCs w:val="18"/>
          <w:b w:val="1"/>
          <w:bCs w:val="1"/>
          <w:color w:val="auto"/>
        </w:rPr>
        <w:t>.</w:t>
      </w:r>
    </w:p>
    <w:p>
      <w:pPr>
        <w:spacing w:after="0" w:line="118"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If we are unable to successfully integrate JW Marriott Desert Ridge with our other assets in an efficient and effective manner, the anticipated benefits of the JW Marriott Desert Ridge transaction may not be fully realized, or at all, or may take longer to realize than expected and may not meet estimated growth projections or expectations. Further, we may not achieve the projected efficiencies and synergies once we have fully integrated JW Marriott Desert Ridge into our operations, which may lead to additional costs not anticipated at the time of the JW Marriott Desert Ridge transaction. An inability to realize the full extent of the anticipated benefits of the JW Marriott Desert Ridge transaction or any delays encountered in the integration process could have an adverse effect on our results of operations, cash flows and financial position.</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Integrating JW Marriott Desert Ridge may be more difficult, costly or time consuming than expected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The integrations of JW Marriott Desert Ridge with our other assets will require the dedication of significant management resources, which may distract management’s attention from day-to-day business operations. Phoenix, Arizona is a new market for us, and our relative unfamiliarity with the market may result in our having to devote additional time and expense to gain familiarity with the market and effectively manage this asset. Many of these factors will be outside of our control and any one of them could result in delays, increased costs, decreases in revenues and diversion of management’s time and energy from ongoing business concerns, which could materially affect our results of operations, cash flows and financial position.</w:t>
      </w:r>
    </w:p>
    <w:p>
      <w:pPr>
        <w:spacing w:after="0" w:line="144"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Each of our Gaylord Hotels properties and JW Marriott properties operate under a brand owned by Marriott; therefore, we are subject to risks associated with concentrating our hotel portfolio in brands owned by Marriott</w:t>
      </w:r>
      <w:r>
        <w:rPr>
          <w:rFonts w:ascii="Times New Roman" w:cs="Times New Roman" w:eastAsia="Times New Roman" w:hAnsi="Times New Roman"/>
          <w:sz w:val="18"/>
          <w:szCs w:val="18"/>
          <w:b w:val="1"/>
          <w:bCs w:val="1"/>
          <w:color w:val="auto"/>
        </w:rPr>
        <w:t>.</w:t>
      </w:r>
    </w:p>
    <w:p>
      <w:pPr>
        <w:spacing w:after="0" w:line="132"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Each of our hotel properties are managed by Marriott under Marriott-owned brands. As a result, our success is dependent in part on the continued success of Marriott and, in particular, the Gaylord Hotels and JW Marriott brands. Consequently, if market recognition or the positive perception of Marriott is reduced or compromised, the goodwill associated with the Gaylord Hotels properties and JW Marriott properties in our portfolio may be adversely affected,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which could negatively impact our results of operations, cash flows, financial position and our ability to service debt and make distributions to our stockholders.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30, 2025, none of our directors or officers (as defined in Rule 16a-1(f) of the Exchange Act) adopted or terminated a “Rule 10b5-1 trading arrangement” or “non-Rule 10b5-1 trading arrangement” (in each case,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Exhibit Number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gridSpan w:val="5"/>
          </w:tcPr>
          <w:p>
            <w:pPr>
              <w:ind w:left="2020"/>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24"/>
                <w:szCs w:val="24"/>
                <w:color w:val="auto"/>
              </w:rPr>
            </w:pPr>
          </w:p>
        </w:tc>
        <w:tc>
          <w:tcPr>
            <w:tcW w:w="64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Amended and Restated Certificate of Incorporation of Ryman Hospitality Properties, Inc.</w:t>
              </w:r>
            </w:hyperlink>
          </w:p>
        </w:tc>
        <w:tc>
          <w:tcPr>
            <w:tcW w:w="100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7"/>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(incorporated by reference to Exhibit 3.1 to the Company’s Current Report on Form 8-K filed</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October 1, 2012).</w:t>
              </w:r>
            </w:hyperlink>
          </w:p>
        </w:tc>
        <w:tc>
          <w:tcPr>
            <w:tcW w:w="5460" w:type="dxa"/>
            <w:vAlign w:val="bottom"/>
            <w:tcBorders>
              <w:top w:val="single" w:sz="8" w:color="0000EE"/>
            </w:tcBorders>
            <w:gridSpan w:val="2"/>
          </w:tcPr>
          <w:p>
            <w:pPr>
              <w:spacing w:after="0"/>
              <w:rPr>
                <w:sz w:val="17"/>
                <w:szCs w:val="17"/>
                <w:color w:val="auto"/>
              </w:rPr>
            </w:pPr>
          </w:p>
        </w:tc>
        <w:tc>
          <w:tcPr>
            <w:tcW w:w="700" w:type="dxa"/>
            <w:vAlign w:val="bottom"/>
            <w:gridSpan w:val="3"/>
          </w:tcPr>
          <w:p>
            <w:pPr>
              <w:spacing w:after="0"/>
              <w:rPr>
                <w:sz w:val="17"/>
                <w:szCs w:val="17"/>
                <w:color w:val="auto"/>
              </w:rPr>
            </w:pPr>
          </w:p>
        </w:tc>
      </w:tr>
      <w:tr>
        <w:trPr>
          <w:trHeight w:val="196"/>
        </w:trPr>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17"/>
                <w:szCs w:val="17"/>
                <w:color w:val="auto"/>
              </w:rPr>
            </w:pPr>
          </w:p>
        </w:tc>
        <w:tc>
          <w:tcPr>
            <w:tcW w:w="68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Second Amended and Restated Bylaws of Ryman Hospitality Properties, Inc. (incorporated by</w:t>
              </w:r>
            </w:hyperlink>
          </w:p>
        </w:tc>
        <w:tc>
          <w:tcPr>
            <w:tcW w:w="62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reference to Exhibit 3.2 to the Company’s Annual Report on Form 10-K filed February 24, 2023).</w:t>
              </w:r>
            </w:hyperlink>
          </w:p>
        </w:tc>
        <w:tc>
          <w:tcPr>
            <w:tcW w:w="380" w:type="dxa"/>
            <w:vAlign w:val="bottom"/>
          </w:tcPr>
          <w:p>
            <w:pPr>
              <w:spacing w:after="0"/>
              <w:rPr>
                <w:sz w:val="17"/>
                <w:szCs w:val="17"/>
                <w:color w:val="auto"/>
              </w:rPr>
            </w:pPr>
          </w:p>
        </w:tc>
      </w:tr>
    </w:tbl>
    <w:p>
      <w:pPr>
        <w:spacing w:after="0" w:line="9" w:lineRule="exact"/>
        <w:rPr>
          <w:sz w:val="20"/>
          <w:szCs w:val="20"/>
          <w:color w:val="auto"/>
        </w:rPr>
      </w:pPr>
    </w:p>
    <w:p>
      <w:pPr>
        <w:ind w:left="1520" w:right="299" w:hanging="978"/>
        <w:spacing w:after="0" w:line="261" w:lineRule="auto"/>
        <w:tabs>
          <w:tab w:leader="none" w:pos="1520" w:val="left"/>
        </w:tabs>
        <w:numPr>
          <w:ilvl w:val="0"/>
          <w:numId w:val="28"/>
        </w:numPr>
        <w:rPr>
          <w:rFonts w:ascii="Times New Roman" w:cs="Times New Roman" w:eastAsia="Times New Roman" w:hAnsi="Times New Roman"/>
          <w:sz w:val="18"/>
          <w:szCs w:val="18"/>
          <w:u w:val="single" w:color="auto"/>
          <w:color w:val="0000EE"/>
        </w:rPr>
      </w:pPr>
      <w:hyperlink r:id="rId63">
        <w:r>
          <w:rPr>
            <w:rFonts w:ascii="Times New Roman" w:cs="Times New Roman" w:eastAsia="Times New Roman" w:hAnsi="Times New Roman"/>
            <w:sz w:val="18"/>
            <w:szCs w:val="18"/>
            <w:u w:val="single" w:color="auto"/>
            <w:color w:val="0000EE"/>
          </w:rPr>
          <w:t>List of Parent and Subsidiary Guarantors (incorporated by reference to Exhibit 22 to the Company’s</w:t>
        </w:r>
      </w:hyperlink>
      <w:r>
        <w:rPr>
          <w:rFonts w:ascii="Times New Roman" w:cs="Times New Roman" w:eastAsia="Times New Roman" w:hAnsi="Times New Roman"/>
          <w:sz w:val="18"/>
          <w:szCs w:val="18"/>
          <w:u w:val="single" w:color="auto"/>
          <w:color w:val="0000EE"/>
        </w:rPr>
        <w:t xml:space="preserve"> </w:t>
      </w:r>
      <w:hyperlink r:id="rId63">
        <w:r>
          <w:rPr>
            <w:rFonts w:ascii="Times New Roman" w:cs="Times New Roman" w:eastAsia="Times New Roman" w:hAnsi="Times New Roman"/>
            <w:sz w:val="18"/>
            <w:szCs w:val="18"/>
            <w:u w:val="single" w:color="auto"/>
            <w:color w:val="0000EE"/>
          </w:rPr>
          <w:t>Quarterly Report on Form 10-Q filed August 5, 2025).</w:t>
        </w:r>
      </w:hyperlink>
    </w:p>
    <w:tbl>
      <w:tblPr>
        <w:tblLayout w:type="fixed"/>
        <w:tblInd w:w="540" w:type="dxa"/>
        <w:tblCellMar>
          <w:top w:w="0" w:type="dxa"/>
          <w:left w:w="0" w:type="dxa"/>
          <w:bottom w:w="0" w:type="dxa"/>
          <w:right w:w="0" w:type="dxa"/>
        </w:tblCellMar>
      </w:tblP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642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Mark Fioravanti pursuant to Section 302 of Sarbanes-Oxley Act of 2002.</w:t>
            </w:r>
          </w:p>
        </w:tc>
        <w:tc>
          <w:tcPr>
            <w:tcW w:w="980" w:type="dxa"/>
            <w:vAlign w:val="bottom"/>
            <w:gridSpan w:val="3"/>
          </w:tcPr>
          <w:p>
            <w:pPr>
              <w:spacing w:after="0"/>
              <w:rPr>
                <w:sz w:val="15"/>
                <w:szCs w:val="15"/>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6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Jennifer Hutcheson pursuant to Section 302 of Sarbanes-Oxley Act of 2002.</w:t>
            </w:r>
          </w:p>
        </w:tc>
        <w:tc>
          <w:tcPr>
            <w:tcW w:w="76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4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Mark Fioravanti and Jennifer Hutcheson pursuant to 18 U.S.C. Section 1350, as</w:t>
            </w:r>
          </w:p>
        </w:tc>
      </w:tr>
      <w:tr>
        <w:trPr>
          <w:trHeight w:val="196"/>
        </w:trPr>
        <w:tc>
          <w:tcPr>
            <w:tcW w:w="980" w:type="dxa"/>
            <w:vAlign w:val="bottom"/>
          </w:tcPr>
          <w:p>
            <w:pPr>
              <w:spacing w:after="0"/>
              <w:rPr>
                <w:sz w:val="17"/>
                <w:szCs w:val="17"/>
                <w:color w:val="auto"/>
              </w:rPr>
            </w:pPr>
          </w:p>
        </w:tc>
        <w:tc>
          <w:tcPr>
            <w:tcW w:w="69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Sarbanes-Oxley Act of 2002.</w:t>
            </w:r>
          </w:p>
        </w:tc>
        <w:tc>
          <w:tcPr>
            <w:tcW w:w="5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660" w:type="dxa"/>
            <w:vAlign w:val="bottom"/>
            <w:shd w:val="clear" w:color="auto" w:fill="0000EE"/>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r>
      <w:tr>
        <w:trPr>
          <w:trHeight w:val="2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The following materials from Ryman Hospitality Properties, Inc.’s Quarterly Report on Form 10-Q for</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quarterly period ended September 30, 2025, formatted in Inline XBRL (eXtensible Business</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Reporting Language): (i) Condensed Consolidated Balance Sheets (unaudited) at September 30, 2025</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and December 31, 2024, (ii) Condensed Consolidated Statements of Operations and Comprehensive</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Income (unaudited) for the three and nine months ended September 30, 2025 and 2024, (iii)</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 for the nine months ended September</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30, 2025 and 2024, (iv) Condensed Consolidated Statements of Equity and Noncontrolling Interest</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(unaudited) for the three and nine months ended September 30, 2025 and 2024, and (v) Notes To</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 (unaudited).</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rFonts w:ascii="Times New Roman" w:cs="Times New Roman" w:eastAsia="Times New Roman" w:hAnsi="Times New Roman"/>
          <w:sz w:val="18"/>
          <w:szCs w:val="18"/>
          <w:color w:val="auto"/>
        </w:rPr>
      </w:pPr>
    </w:p>
    <w:p>
      <w:pPr>
        <w:ind w:left="360" w:hanging="310"/>
        <w:spacing w:after="0"/>
        <w:tabs>
          <w:tab w:leader="none" w:pos="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574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RYMAN HOSPITALITY PROPERTIES, INC.</w:t>
            </w:r>
          </w:p>
        </w:tc>
      </w:tr>
      <w:tr>
        <w:trPr>
          <w:trHeight w:val="43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2025</w:t>
            </w:r>
          </w:p>
        </w:tc>
        <w:tc>
          <w:tcPr>
            <w:tcW w:w="57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By:/s/ Mark Fioravanti</w:t>
            </w:r>
          </w:p>
        </w:tc>
      </w:tr>
      <w:tr>
        <w:trPr>
          <w:trHeight w:val="191"/>
        </w:trPr>
        <w:tc>
          <w:tcPr>
            <w:tcW w:w="3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0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Mark Fioravanti</w:t>
            </w:r>
          </w:p>
        </w:tc>
      </w:tr>
      <w:tr>
        <w:trPr>
          <w:trHeight w:val="234"/>
        </w:trPr>
        <w:tc>
          <w:tcPr>
            <w:tcW w:w="3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160" w:type="dxa"/>
            <w:vAlign w:val="bottom"/>
          </w:tcPr>
          <w:p>
            <w:pPr>
              <w:spacing w:after="0"/>
              <w:rPr>
                <w:sz w:val="24"/>
                <w:szCs w:val="24"/>
                <w:color w:val="auto"/>
              </w:rPr>
            </w:pPr>
          </w:p>
        </w:tc>
        <w:tc>
          <w:tcPr>
            <w:tcW w:w="57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By:/s/ Jennifer Hutcheson</w:t>
            </w:r>
          </w:p>
        </w:tc>
      </w:tr>
      <w:tr>
        <w:trPr>
          <w:trHeight w:val="191"/>
        </w:trPr>
        <w:tc>
          <w:tcPr>
            <w:tcW w:w="3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0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Jennifer Hutcheson</w:t>
            </w:r>
          </w:p>
        </w:tc>
      </w:tr>
      <w:tr>
        <w:trPr>
          <w:trHeight w:val="216"/>
        </w:trPr>
        <w:tc>
          <w:tcPr>
            <w:tcW w:w="3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Financial</w:t>
            </w:r>
          </w:p>
        </w:tc>
      </w:tr>
      <w:tr>
        <w:trPr>
          <w:trHeight w:val="234"/>
        </w:trPr>
        <w:tc>
          <w:tcPr>
            <w:tcW w:w="3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Fioravanti, certify that:</w:t>
      </w:r>
    </w:p>
    <w:p>
      <w:pPr>
        <w:spacing w:after="0" w:line="225"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220" w:right="260" w:hanging="564"/>
        <w:spacing w:after="0" w:line="261" w:lineRule="auto"/>
        <w:tabs>
          <w:tab w:leader="none" w:pos="12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220" w:right="180" w:hanging="564"/>
        <w:spacing w:after="0" w:line="289" w:lineRule="auto"/>
        <w:tabs>
          <w:tab w:leader="none" w:pos="122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220" w:right="40" w:hanging="564"/>
        <w:spacing w:after="0" w:line="266" w:lineRule="auto"/>
        <w:tabs>
          <w:tab w:leader="none" w:pos="12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220" w:right="180" w:hanging="564"/>
        <w:spacing w:after="0" w:line="261" w:lineRule="auto"/>
        <w:tabs>
          <w:tab w:leader="none" w:pos="12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652"/>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220" w:right="60" w:hanging="564"/>
        <w:spacing w:after="0" w:line="266" w:lineRule="auto"/>
        <w:tabs>
          <w:tab w:leader="none" w:pos="12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220" w:right="340" w:hanging="564"/>
        <w:spacing w:after="0" w:line="282" w:lineRule="auto"/>
        <w:tabs>
          <w:tab w:leader="none" w:pos="12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November 4, 2025</w:t>
            </w:r>
          </w:p>
        </w:tc>
      </w:tr>
      <w:tr>
        <w:trPr>
          <w:trHeight w:val="432"/>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9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Mark Fioravanti</w:t>
            </w:r>
          </w:p>
        </w:tc>
      </w:tr>
      <w:tr>
        <w:trPr>
          <w:trHeight w:val="191"/>
        </w:trPr>
        <w:tc>
          <w:tcPr>
            <w:tcW w:w="6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Mark Fioravanti</w:t>
            </w:r>
          </w:p>
        </w:tc>
        <w:tc>
          <w:tcPr>
            <w:tcW w:w="4720" w:type="dxa"/>
            <w:vAlign w:val="bottom"/>
          </w:tcPr>
          <w:p>
            <w:pPr>
              <w:spacing w:after="0"/>
              <w:rPr>
                <w:sz w:val="16"/>
                <w:szCs w:val="16"/>
                <w:color w:val="auto"/>
              </w:rPr>
            </w:pPr>
          </w:p>
        </w:tc>
      </w:tr>
      <w:tr>
        <w:trPr>
          <w:trHeight w:val="234"/>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776"/>
        </w:trPr>
        <w:tc>
          <w:tcPr>
            <w:tcW w:w="6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Hutcheson, certify that:</w:t>
      </w:r>
    </w:p>
    <w:p>
      <w:pPr>
        <w:spacing w:after="0" w:line="225"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220" w:right="260" w:hanging="564"/>
        <w:spacing w:after="0" w:line="261" w:lineRule="auto"/>
        <w:tabs>
          <w:tab w:leader="none" w:pos="12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220" w:right="180" w:hanging="564"/>
        <w:spacing w:after="0" w:line="289" w:lineRule="auto"/>
        <w:tabs>
          <w:tab w:leader="none" w:pos="122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220" w:right="40" w:hanging="564"/>
        <w:spacing w:after="0" w:line="266" w:lineRule="auto"/>
        <w:tabs>
          <w:tab w:leader="none" w:pos="12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220" w:right="180" w:hanging="564"/>
        <w:spacing w:after="0" w:line="261" w:lineRule="auto"/>
        <w:tabs>
          <w:tab w:leader="none" w:pos="12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220" w:right="60" w:hanging="564"/>
        <w:spacing w:after="0" w:line="266" w:lineRule="auto"/>
        <w:tabs>
          <w:tab w:leader="none" w:pos="12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220" w:right="340" w:hanging="564"/>
        <w:spacing w:after="0" w:line="282" w:lineRule="auto"/>
        <w:tabs>
          <w:tab w:leader="none" w:pos="12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November 4, 2025</w:t>
            </w:r>
          </w:p>
        </w:tc>
      </w:tr>
      <w:tr>
        <w:trPr>
          <w:trHeight w:val="432"/>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9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Jennifer Hutcheson</w:t>
            </w:r>
          </w:p>
        </w:tc>
      </w:tr>
      <w:tr>
        <w:trPr>
          <w:trHeight w:val="191"/>
        </w:trPr>
        <w:tc>
          <w:tcPr>
            <w:tcW w:w="6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Jennifer Hutcheson</w:t>
            </w:r>
          </w:p>
        </w:tc>
        <w:tc>
          <w:tcPr>
            <w:tcW w:w="5220" w:type="dxa"/>
            <w:vAlign w:val="bottom"/>
          </w:tcPr>
          <w:p>
            <w:pPr>
              <w:spacing w:after="0"/>
              <w:rPr>
                <w:sz w:val="16"/>
                <w:szCs w:val="16"/>
                <w:color w:val="auto"/>
              </w:rPr>
            </w:pPr>
          </w:p>
        </w:tc>
      </w:tr>
      <w:tr>
        <w:trPr>
          <w:trHeight w:val="216"/>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680" w:type="dxa"/>
            <w:vAlign w:val="bottom"/>
          </w:tcPr>
          <w:p>
            <w:pPr>
              <w:spacing w:after="0"/>
              <w:rPr>
                <w:sz w:val="20"/>
                <w:szCs w:val="20"/>
                <w:color w:val="auto"/>
              </w:rPr>
            </w:pP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Chief Accounting Officer</w:t>
            </w:r>
          </w:p>
        </w:tc>
      </w:tr>
      <w:tr>
        <w:trPr>
          <w:trHeight w:val="776"/>
        </w:trPr>
        <w:tc>
          <w:tcPr>
            <w:tcW w:w="6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Ryman Hospitality Properties, Inc. (the "Company") on Form 10-Q for the quarter ended September 30, 2025, as filed with the Securities and Exchange Commission on the date hereof (the "Report"), each of the undersigned certifies, pursuant to 18 U.S.C. § 1350, as adopted pursuant to §906 of the Sarbanes-Oxley Act of 2002, that:</w:t>
      </w:r>
    </w:p>
    <w:p>
      <w:pPr>
        <w:spacing w:after="0" w:line="176" w:lineRule="exact"/>
        <w:rPr>
          <w:sz w:val="20"/>
          <w:szCs w:val="20"/>
          <w:color w:val="auto"/>
        </w:rPr>
      </w:pPr>
    </w:p>
    <w:p>
      <w:pPr>
        <w:ind w:left="1260" w:hanging="604"/>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40" w:firstLine="656"/>
        <w:spacing w:after="0" w:line="282" w:lineRule="auto"/>
        <w:tabs>
          <w:tab w:leader="none" w:pos="12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Mark Fioravanti</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November 4, 2025</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Jennifer Hutcheson</w:t>
      </w:r>
    </w:p>
    <w:p>
      <w:pPr>
        <w:spacing w:after="0" w:line="23" w:lineRule="exact"/>
        <w:rPr>
          <w:sz w:val="20"/>
          <w:szCs w:val="20"/>
          <w:color w:val="auto"/>
        </w:rPr>
      </w:pPr>
    </w:p>
    <w:p>
      <w:pPr>
        <w:ind w:left="1000" w:right="3140"/>
        <w:spacing w:after="0" w:line="260" w:lineRule="auto"/>
        <w:rPr>
          <w:sz w:val="20"/>
          <w:szCs w:val="20"/>
          <w:color w:val="auto"/>
        </w:rPr>
      </w:pPr>
      <w:r>
        <w:rPr>
          <w:rFonts w:ascii="Times New Roman" w:cs="Times New Roman" w:eastAsia="Times New Roman" w:hAnsi="Times New Roman"/>
          <w:sz w:val="18"/>
          <w:szCs w:val="18"/>
          <w:color w:val="auto"/>
        </w:rPr>
        <w:t>Executive Vice President, Chief Financial Officer and Chief Accounting Officer November 4, 2025</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lowerRoman"/>
      <w:start w:val="7"/>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upperLetter"/>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22"/>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61" Type="http://schemas.openxmlformats.org/officeDocument/2006/relationships/hyperlink" Target="http://www.sec.gov/Archives/edgar/data/1040829/000119312512410191/d419132dex31.htm" TargetMode="External"/><Relationship Id="rId62" Type="http://schemas.openxmlformats.org/officeDocument/2006/relationships/hyperlink" Target="https://www.sec.gov/Archives/edgar/data/1040829/000155837023002012/rhp-20221231xex3d2.htm" TargetMode="External"/><Relationship Id="rId63" Type="http://schemas.openxmlformats.org/officeDocument/2006/relationships/hyperlink" Target="https://www.sec.gov/Archives/edgar/data/1040829/000155837025010229/rhp-20250630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2025-11-04T13:22:02Z</dcterms:created>
  <dcterms:modified xsi:type="dcterms:W3CDTF">2025-11-04T13:22:02Z</dcterms:modified>
</cp:coreProperties>
</file>