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280" w:right="980" w:hanging="3272"/>
        <w:spacing w:after="0" w:line="282" w:lineRule="auto"/>
        <w:tabs>
          <w:tab w:leader="none" w:pos="2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2026</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16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8"/>
              </w:rPr>
              <w:t>Delaware</w:t>
            </w:r>
          </w:p>
        </w:tc>
        <w:tc>
          <w:tcPr>
            <w:tcW w:w="1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9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700" w:type="dxa"/>
            <w:vAlign w:val="bottom"/>
          </w:tcPr>
          <w:p>
            <w:pPr>
              <w:spacing w:after="0"/>
              <w:rPr>
                <w:sz w:val="18"/>
                <w:szCs w:val="18"/>
                <w:color w:val="auto"/>
              </w:rPr>
            </w:pPr>
          </w:p>
        </w:tc>
        <w:tc>
          <w:tcPr>
            <w:tcW w:w="22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2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spacing w:after="0"/>
              <w:rPr>
                <w:sz w:val="20"/>
                <w:szCs w:val="20"/>
                <w:color w:val="auto"/>
              </w:rPr>
            </w:pP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Gaylord Drive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Tennessee 37214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March 31, 2026</w:t>
            </w:r>
          </w:p>
        </w:tc>
      </w:tr>
      <w:tr>
        <w:trPr>
          <w:trHeight w:val="228"/>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63,109,272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60" w:type="dxa"/>
            <w:vAlign w:val="bottom"/>
            <w:gridSpan w:val="15"/>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66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6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1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66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6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7"/>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March 31, 2026 and December 31,</w:t>
            </w:r>
          </w:p>
        </w:tc>
        <w:tc>
          <w:tcPr>
            <w:tcW w:w="5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6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Ended March 31, 2026 and 2025</w:t>
            </w:r>
          </w:p>
        </w:tc>
        <w:tc>
          <w:tcPr>
            <w:tcW w:w="720" w:type="dxa"/>
            <w:vAlign w:val="bottom"/>
            <w:tcBorders>
              <w:top w:val="single" w:sz="8" w:color="0000EE"/>
            </w:tcBorders>
          </w:tcPr>
          <w:p>
            <w:pPr>
              <w:spacing w:after="0"/>
              <w:rPr>
                <w:sz w:val="17"/>
                <w:szCs w:val="17"/>
                <w:color w:val="auto"/>
              </w:rPr>
            </w:pPr>
          </w:p>
        </w:tc>
        <w:tc>
          <w:tcPr>
            <w:tcW w:w="1320" w:type="dxa"/>
            <w:vAlign w:val="bottom"/>
            <w:gridSpan w:val="6"/>
          </w:tcPr>
          <w:p>
            <w:pPr>
              <w:spacing w:after="0"/>
              <w:rPr>
                <w:sz w:val="17"/>
                <w:szCs w:val="17"/>
                <w:color w:val="auto"/>
              </w:rPr>
            </w:pPr>
          </w:p>
        </w:tc>
        <w:tc>
          <w:tcPr>
            <w:tcW w:w="6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Three Months</w:t>
            </w:r>
          </w:p>
        </w:tc>
        <w:tc>
          <w:tcPr>
            <w:tcW w:w="6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2026 and 2025</w:t>
            </w:r>
          </w:p>
        </w:tc>
        <w:tc>
          <w:tcPr>
            <w:tcW w:w="4680" w:type="dxa"/>
            <w:vAlign w:val="bottom"/>
            <w:gridSpan w:val="12"/>
          </w:tcPr>
          <w:p>
            <w:pPr>
              <w:spacing w:after="0"/>
              <w:rPr>
                <w:sz w:val="17"/>
                <w:szCs w:val="17"/>
                <w:color w:val="auto"/>
              </w:rPr>
            </w:pPr>
          </w:p>
        </w:tc>
        <w:tc>
          <w:tcPr>
            <w:tcW w:w="6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and Noncontrolling Interest (Unaudited) - For</w:t>
            </w:r>
          </w:p>
        </w:tc>
        <w:tc>
          <w:tcPr>
            <w:tcW w:w="3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Three Months Ended March 31, 2026 and 2025</w:t>
            </w:r>
          </w:p>
        </w:tc>
        <w:tc>
          <w:tcPr>
            <w:tcW w:w="66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540" w:type="dxa"/>
            <w:vAlign w:val="bottom"/>
            <w:gridSpan w:val="4"/>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18</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620" w:type="dxa"/>
            <w:vAlign w:val="bottom"/>
            <w:gridSpan w:val="9"/>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220" w:type="dxa"/>
            <w:vAlign w:val="bottom"/>
            <w:gridSpan w:val="13"/>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320" w:type="dxa"/>
            <w:vAlign w:val="bottom"/>
            <w:gridSpan w:val="19"/>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660" w:type="dxa"/>
            <w:vAlign w:val="bottom"/>
            <w:gridSpan w:val="15"/>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960" w:type="dxa"/>
            <w:vAlign w:val="bottom"/>
            <w:gridSpan w:val="17"/>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640" w:type="dxa"/>
            <w:vAlign w:val="bottom"/>
            <w:gridSpan w:val="10"/>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680" w:type="dxa"/>
            <w:vAlign w:val="bottom"/>
            <w:gridSpan w:val="12"/>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680" w:type="dxa"/>
            <w:vAlign w:val="bottom"/>
            <w:gridSpan w:val="16"/>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400" w:type="dxa"/>
            <w:vAlign w:val="bottom"/>
            <w:gridSpan w:val="2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140" w:type="dxa"/>
            <w:vAlign w:val="bottom"/>
            <w:gridSpan w:val="23"/>
          </w:tcPr>
          <w:p>
            <w:pPr>
              <w:spacing w:after="0"/>
              <w:rPr>
                <w:sz w:val="24"/>
                <w:szCs w:val="24"/>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47</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95"/>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5"/>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5,018,898</w:t>
            </w:r>
          </w:p>
        </w:tc>
        <w:tc>
          <w:tcPr>
            <w:tcW w:w="280" w:type="dxa"/>
            <w:vAlign w:val="bottom"/>
            <w:gridSpan w:val="3"/>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139,335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 and goodwill, net</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6,193,781</w:t>
            </w:r>
          </w:p>
        </w:tc>
        <w:tc>
          <w:tcPr>
            <w:tcW w:w="16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6,181,183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3,968,404</w:t>
            </w:r>
          </w:p>
        </w:tc>
        <w:tc>
          <w:tcPr>
            <w:tcW w:w="28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3,976,913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544,482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Distributions payable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73,808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4,989,570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4,969,407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Opry Entertainment Group</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433,394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2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63,109 and 63,006 shares issued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1,709,645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1,722,332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738 and 730 shares, at cost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(27,573)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(938,311)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732,843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750,152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37,974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770,817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6,193,781</w:t>
            </w:r>
          </w:p>
        </w:tc>
        <w:tc>
          <w:tcPr>
            <w:tcW w:w="160" w:type="dxa"/>
            <w:vAlign w:val="bottom"/>
            <w:gridSpan w:val="2"/>
          </w:tcPr>
          <w:p>
            <w:pPr>
              <w:spacing w:after="0"/>
              <w:rPr>
                <w:sz w:val="17"/>
                <w:szCs w:val="17"/>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6,181,183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ind w:left="6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
                <w:szCs w:val="1"/>
                <w:color w:val="auto"/>
                <w:w w:val="4294942296"/>
              </w:rPr>
              <w: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223,758</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hotel revenue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587,280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hotel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Management fees, net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right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hotel operating expenses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374,294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326,815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Entertainment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Preopening costs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CEEFF"/>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526,776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471,159</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 interest in Opry Entertainment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other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70,475</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32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right w:val="single" w:sz="8" w:color="CCEEFF"/>
            </w:tcBorders>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Borders>
              <w:right w:val="single" w:sz="8" w:color="CCEEFF"/>
            </w:tcBorders>
            <w:vMerge w:val="continue"/>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1.03</w:t>
            </w:r>
          </w:p>
        </w:tc>
        <w:tc>
          <w:tcPr>
            <w:tcW w:w="440" w:type="dxa"/>
            <w:vAlign w:val="bottom"/>
            <w:gridSpan w:val="3"/>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net of taxes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70,625</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net of taxes, attributable to noncontrolling interest in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Opry Entertainment Group</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taxes, attributable to other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net of taxes, available to common stockholders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71,302</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tcPr>
          <w:p>
            <w:pPr>
              <w:jc w:val="right"/>
              <w:ind w:right="304"/>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vMerge w:val="restart"/>
          </w:tcPr>
          <w:p>
            <w:pPr>
              <w:ind w:left="64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69,402</w:t>
            </w:r>
          </w:p>
        </w:tc>
        <w:tc>
          <w:tcPr>
            <w:tcW w:w="4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5,754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2,933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75,701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63,717</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3,247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Equity-based compensation expense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3,802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3,622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(33,433)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(36,536)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18,920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(16,381)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25,851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15,127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169,244</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98,219</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(113,663)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(112,727)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(411)</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(18,400)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(114,074)</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(131,127)</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spacing w:after="0"/>
              <w:rPr>
                <w:sz w:val="14"/>
                <w:szCs w:val="14"/>
                <w:color w:val="auto"/>
              </w:rPr>
            </w:pP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700,000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senior notes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(700,000)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(19,243)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(77,517)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(70,258)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equity-based compensation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(5,387)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(5,441)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(107)</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(104,065)</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(81,995)</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(48,895)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(114,903)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500,180</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576,228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58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451,285</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461,325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22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424,021</w:t>
            </w:r>
          </w:p>
        </w:tc>
        <w:tc>
          <w:tcPr>
            <w:tcW w:w="4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413,858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27,264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47,467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451,285</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461,325</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800" w:type="dxa"/>
            <w:vAlign w:val="bottom"/>
            <w:gridSpan w:val="3"/>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Distributions</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 Accumulated</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spacing w:after="0"/>
              <w:rPr>
                <w:sz w:val="12"/>
                <w:szCs w:val="12"/>
                <w:color w:val="auto"/>
              </w:rPr>
            </w:pP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Common</w:t>
            </w:r>
          </w:p>
        </w:tc>
        <w:tc>
          <w:tcPr>
            <w:tcW w:w="12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100" w:type="dxa"/>
            <w:vAlign w:val="bottom"/>
          </w:tcPr>
          <w:p>
            <w:pPr>
              <w:spacing w:after="0"/>
              <w:rPr>
                <w:sz w:val="11"/>
                <w:szCs w:val="11"/>
                <w:color w:val="auto"/>
              </w:rPr>
            </w:pPr>
          </w:p>
        </w:tc>
        <w:tc>
          <w:tcPr>
            <w:tcW w:w="5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8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Stockholders'</w:t>
            </w:r>
          </w:p>
        </w:tc>
        <w:tc>
          <w:tcPr>
            <w:tcW w:w="8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00" w:type="dxa"/>
            <w:vAlign w:val="bottom"/>
          </w:tcPr>
          <w:p>
            <w:pPr>
              <w:spacing w:after="0"/>
              <w:rPr>
                <w:sz w:val="11"/>
                <w:szCs w:val="11"/>
                <w:color w:val="auto"/>
              </w:rPr>
            </w:pPr>
          </w:p>
        </w:tc>
        <w:tc>
          <w:tcPr>
            <w:tcW w:w="6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w:t>
            </w:r>
          </w:p>
        </w:tc>
      </w:tr>
      <w:tr>
        <w:trPr>
          <w:trHeight w:val="145"/>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2"/>
                <w:szCs w:val="12"/>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5"/>
              </w:rPr>
              <w:t>in OEG</w:t>
            </w:r>
          </w:p>
        </w:tc>
      </w:tr>
      <w:tr>
        <w:trPr>
          <w:trHeight w:val="129"/>
        </w:trPr>
        <w:tc>
          <w:tcPr>
            <w:tcW w:w="19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$ 1,722,332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(26,788)</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(933,250)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750,152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38,933</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$ 789,085</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422,691</w:t>
            </w:r>
          </w:p>
        </w:tc>
      </w:tr>
      <w:tr>
        <w:trPr>
          <w:trHeight w:val="135"/>
        </w:trPr>
        <w:tc>
          <w:tcPr>
            <w:tcW w:w="1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70,475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70,475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(485)</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69,990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(588)</w:t>
            </w:r>
          </w:p>
        </w:tc>
      </w:tr>
      <w:tr>
        <w:trPr>
          <w:trHeight w:val="117"/>
        </w:trPr>
        <w:tc>
          <w:tcPr>
            <w:tcW w:w="19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(11,291)</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(11,291)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(11,291)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11,291</w:t>
            </w:r>
          </w:p>
        </w:tc>
      </w:tr>
      <w:tr>
        <w:trPr>
          <w:trHeight w:val="117"/>
        </w:trPr>
        <w:tc>
          <w:tcPr>
            <w:tcW w:w="19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($1.20 per share)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(75,536)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(76,131)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(474)</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(76,605)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Restricted stock units surrendered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(5,388)</w:t>
            </w: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(5,387)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(5,387)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9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9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2026</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631</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$ 1,709,645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(27,573)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(938,311)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(11,549)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732,843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37,974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$ 770,817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433,394</w:t>
            </w: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551"/>
        </w:trPr>
        <w:tc>
          <w:tcPr>
            <w:tcW w:w="194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24"/>
                <w:szCs w:val="24"/>
                <w:color w:val="auto"/>
              </w:rPr>
            </w:pPr>
          </w:p>
        </w:tc>
        <w:tc>
          <w:tcPr>
            <w:tcW w:w="800" w:type="dxa"/>
            <w:vAlign w:val="bottom"/>
            <w:gridSpan w:val="3"/>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Distributions</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 Accumulated</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spacing w:after="0"/>
              <w:rPr>
                <w:sz w:val="24"/>
                <w:szCs w:val="24"/>
                <w:color w:val="auto"/>
              </w:rPr>
            </w:pP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Common</w:t>
            </w:r>
          </w:p>
        </w:tc>
        <w:tc>
          <w:tcPr>
            <w:tcW w:w="120" w:type="dxa"/>
            <w:vAlign w:val="bottom"/>
          </w:tcPr>
          <w:p>
            <w:pPr>
              <w:spacing w:after="0"/>
              <w:rPr>
                <w:sz w:val="11"/>
                <w:szCs w:val="11"/>
                <w:color w:val="auto"/>
              </w:rPr>
            </w:pPr>
          </w:p>
        </w:tc>
        <w:tc>
          <w:tcPr>
            <w:tcW w:w="6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100" w:type="dxa"/>
            <w:vAlign w:val="bottom"/>
          </w:tcPr>
          <w:p>
            <w:pPr>
              <w:spacing w:after="0"/>
              <w:rPr>
                <w:sz w:val="11"/>
                <w:szCs w:val="11"/>
                <w:color w:val="auto"/>
              </w:rPr>
            </w:pPr>
          </w:p>
        </w:tc>
        <w:tc>
          <w:tcPr>
            <w:tcW w:w="54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8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Stockholders'</w:t>
            </w:r>
          </w:p>
        </w:tc>
        <w:tc>
          <w:tcPr>
            <w:tcW w:w="8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00" w:type="dxa"/>
            <w:vAlign w:val="bottom"/>
          </w:tcPr>
          <w:p>
            <w:pPr>
              <w:spacing w:after="0"/>
              <w:rPr>
                <w:sz w:val="11"/>
                <w:szCs w:val="11"/>
                <w:color w:val="auto"/>
              </w:rPr>
            </w:pPr>
          </w:p>
        </w:tc>
        <w:tc>
          <w:tcPr>
            <w:tcW w:w="6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w:t>
            </w:r>
          </w:p>
        </w:tc>
      </w:tr>
      <w:tr>
        <w:trPr>
          <w:trHeight w:val="145"/>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2"/>
                <w:szCs w:val="12"/>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5"/>
              </w:rPr>
              <w:t>in OEG</w:t>
            </w:r>
          </w:p>
        </w:tc>
      </w:tr>
      <w:tr>
        <w:trPr>
          <w:trHeight w:val="128"/>
        </w:trPr>
        <w:tc>
          <w:tcPr>
            <w:tcW w:w="19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$ 1,475,211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(23,526)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(888,132)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(15,172)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548,980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3,657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$ 552,637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381,945</w:t>
            </w:r>
          </w:p>
        </w:tc>
      </w:tr>
      <w:tr>
        <w:trPr>
          <w:trHeight w:val="135"/>
        </w:trPr>
        <w:tc>
          <w:tcPr>
            <w:tcW w:w="19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62,303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r>
      <w:tr>
        <w:trPr>
          <w:trHeight w:val="117"/>
        </w:trPr>
        <w:tc>
          <w:tcPr>
            <w:tcW w:w="19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(8,960)</w:t>
            </w: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(8,960)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w:t>
            </w:r>
          </w:p>
        </w:tc>
      </w:tr>
      <w:tr>
        <w:trPr>
          <w:trHeight w:val="117"/>
        </w:trPr>
        <w:tc>
          <w:tcPr>
            <w:tcW w:w="19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w w:val="97"/>
              </w:rPr>
              <w:t>Purchase of interest in consolidated</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joint venture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($1.15 per share)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4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(68,701)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(69,335)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(454)</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(69,789)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19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Restricted stock units surrendered</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(5,648)</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(5,647)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(5,647)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9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9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$ 1,464,394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(24,329)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(893,872)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(15,260)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531,533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38,815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$ 570,348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391,616</w:t>
            </w: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and JW Marriott brands. The five Gaylord Hotels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the Company refers to as the JW Marriott properties, consist of the JW Marriott San Antonio Hill Country Resort &amp; Spa (“JW Marriott Hill Country”) and the JW Marriott Phoenix Desert Ridge Resort &amp; Spa (“JW Marriott Desert Ridge”) (effective June 10, 2025). The Company’s other owned hotel assets managed by Marriott include the Inn at Opryland, an overflow hotel adjacent to Gaylord Opryland, and the AC Hotel at National Harbor, Washington D.C. (“AC Hotel”), an overflow hotel adjacent to Gaylord National.</w:t>
      </w:r>
    </w:p>
    <w:p>
      <w:pPr>
        <w:spacing w:after="0" w:line="15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also owns an approximate 70% controlling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late 2027; Block 21, a mixed-use entertainment, lodging, office, and retail complex located in Austin, Texas (“Block 21”);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began managing the CCNB Amphitheatre outside of Greenville, South Carolina.</w:t>
      </w:r>
    </w:p>
    <w:p>
      <w:pPr>
        <w:spacing w:after="0" w:line="14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consolidates the assets, liabilities and results of operations of OEG in the accompanying condensed consolidated financial statements. The portion of OEG that the Company does not own is recorded as noncontrolling interest in Opry Entertainment Group, which is classified as mezzanine equity in the accompanying condensed consolidated balance sheets, and any adjustment necessary to reflect the noncontrolling interest at its redemption value is shown in the accompanying condensed consolidated statements of equity and noncontrolling interest. See Note 4, “Income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2025.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20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requiring public entities to disclose, on an annual and interim basis, disaggregated information about certain income statement line items, including employee compensation, purchases of inventory, depreciation, intangible asset amortization and depletion for each income statement line item that includes those expenses. The guidance is applied prospectively, but with the option to apply retrospectively, and will be effective for the Company for fiscal year 2027. The Company is currently evaluating the impact of this ASU but does not anticipate this adoption to have a material impact on the Company’s financial statements.</w:t>
      </w:r>
    </w:p>
    <w:p>
      <w:pPr>
        <w:spacing w:after="0" w:line="18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No. 2025-11, “</w:t>
      </w:r>
      <w:r>
        <w:rPr>
          <w:rFonts w:ascii="Times New Roman" w:cs="Times New Roman" w:eastAsia="Times New Roman" w:hAnsi="Times New Roman"/>
          <w:sz w:val="18"/>
          <w:szCs w:val="18"/>
          <w:i w:val="1"/>
          <w:iCs w:val="1"/>
          <w:color w:val="auto"/>
        </w:rPr>
        <w:t>Interim Reporting – Narrow-Scope Improvements</w:t>
      </w:r>
      <w:r>
        <w:rPr>
          <w:rFonts w:ascii="Times New Roman" w:cs="Times New Roman" w:eastAsia="Times New Roman" w:hAnsi="Times New Roman"/>
          <w:sz w:val="18"/>
          <w:szCs w:val="18"/>
          <w:color w:val="auto"/>
        </w:rPr>
        <w:t>,” which is intended to improve the navigability of previous guidance and clarify when that guidance is applicable. Among other items, it establishes a principle under which an entity must disclose events since the end of the last annual reporting period that have a material impact on the entity. ASU 2025-11 is not intended to change the fundamental nature of interim reporting or expand or reduce current interim disclosure guidance. The guidance may be applied retrospectively or prospectively and will be effective for the Company for interim periods beginning in fiscal year 2028. The Company is currently evaluating the impact of this ASU but does not anticipate this adoption to have a material impact on the Company’s financial statements.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JW MARRIOTT DESERT RIDGE TRANSACTION:</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 xml:space="preserve">On June 10, 2025, the Company purchased JW Marriott Desert Ridge for approximately $865 million. </w:t>
      </w:r>
      <w:r>
        <w:rPr>
          <w:rFonts w:ascii="Times New Roman" w:cs="Times New Roman" w:eastAsia="Times New Roman" w:hAnsi="Times New Roman"/>
          <w:sz w:val="18"/>
          <w:szCs w:val="18"/>
          <w:color w:val="212529"/>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funded the purchase price with a portion of the approximately $275.5 million in net proceeds of an underwritten registered public offering of approximately 3.0 million shares of the Company’s common stock and approximately $614 million in net proceeds of a private placement of $625 million aggregate principal amount of 6.50% senior notes due 2033. JW Marriott Desert Ridge assets are reflected in the Company’s Hospitality segment beginning June 10, 2025.</w:t>
      </w:r>
    </w:p>
    <w:p>
      <w:pPr>
        <w:spacing w:after="0" w:line="183"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212529"/>
        </w:rPr>
        <w:t>The Company performed a valuation of the fair value of the acquired assets and liabilities as of June 10, 2025.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 of a below market ground lease and the values of advanced bookings previously received for the hotel. The Company considers each of these estimates as Level 3 fair value measurements.</w:t>
      </w:r>
    </w:p>
    <w:p>
      <w:pPr>
        <w:spacing w:after="0" w:line="16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212529"/>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in the Company’s balance sheet at June 10, 2025 as follows (amounts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747,377</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114,875</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887,777</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0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869,510</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4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9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1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$ 164,410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$ 144,574</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44,658</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186,969</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66,294</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55,235</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25,551</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35,184</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28,815</w:t>
            </w: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$ 664,572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$ 587,280</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4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960" w:type="dxa"/>
            <w:vAlign w:val="bottom"/>
            <w:gridSpan w:val="3"/>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1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$ 128,379</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$ 110,178</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97,646</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88,393</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86,377</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74,227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80,829</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72,249</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70,948</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50,295</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55,276</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JW Marriott Desert Ridge</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10"/>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4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$ 585,389</w:t>
            </w:r>
          </w:p>
        </w:tc>
        <w:tc>
          <w:tcPr>
            <w:tcW w:w="180" w:type="dxa"/>
            <w:vAlign w:val="bottom"/>
            <w:gridSpan w:val="2"/>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$ 497,730</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Las Vegas, Nevada; and Austin, Texas.</w:t>
      </w:r>
    </w:p>
    <w:p>
      <w:pPr>
        <w:spacing w:after="0" w:line="135"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March 31, 2026 and December 31, 2025, the Company had $271.7 million and $220.6 million, respectively, in deferred revenues, which are included in accounts payable and accrued liabilities in the accompanying condensed consolidated balance sheets. Of the amount outstanding at December 31, 2025, approximately $106.7 million was recognized in revenue during the three months ended March 31,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INCOME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vMerge w:val="restart"/>
          </w:tcPr>
          <w:p>
            <w:pPr>
              <w:ind w:left="6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70,475</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in OEG</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 - if-converted method</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69,887</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equity-based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63,813</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2025,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minority investor’s noncontrolling equity interest was redeemed in exchange for shares of the Company’s common stock.</w:t>
      </w:r>
    </w:p>
    <w:p>
      <w:pPr>
        <w:spacing w:after="0" w:line="14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RHP Hotel Properties, LP (the “Operating Partnership”) have been excluded from the denominator of the diluted income per share calculation for the three months ended March 31, 2026 and 2025 as there would be no effect on the calculation of diluted income per share because the income or loss attributable to the OP Units held by the noncontrolling interest holders would also be added or subtracted to derive net income available to common stockholders.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at March 31, 2026 and December 31, 2025 is summarized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5,318,751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7,812,605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(2,723,909)</w:t>
            </w: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5,018,898</w:t>
            </w:r>
          </w:p>
        </w:tc>
        <w:tc>
          <w:tcPr>
            <w:tcW w:w="1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8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2025, in connection with the development of Gaylord National, the Company holds two issuances of governmental bonds (“Series A bond” and “Series B bond”) with a total carrying value and approximate fair value of $52.6 million and $53.5</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million at March 31, 2026 and December 31, 2025, respectively, net of credit loss reserve of $38.0 million at each of March 31, 2026 and December 31, 2025. The Company receives debt service and principal payments thereon, payable from property tax increments, hotel taxes and special hotel rental taxes generated from Gaylord National through the maturity dates of July 1, 2034 and September 1, 2037, respectively. Interest income is recorded on an accrual basis to the extent that such amounts are expected to be collected. During the periods presented, the Company has accrued interest only on the Series A bond.</w:t>
      </w:r>
    </w:p>
    <w:p>
      <w:pPr>
        <w:spacing w:after="0" w:line="160"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 payments due to others, the Series B bond is fully reserved. The Series A bond is of higher priority than other tranches which fall between the Company’s two issuances.</w:t>
      </w:r>
    </w:p>
    <w:p>
      <w:pPr>
        <w:spacing w:after="0" w:line="14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interest income of $1.0 million and $1.1 million, respectively, on these bonds. The Company received payments of $2.0 million and $2.2 million during the three months ended March 31, 2026 and 2025, respectively, relating to these notes receivable.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March 31, 2026 and December 31, 2025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$850M Revolving Credit Facility, interest at SOFR plus 1.50%, maturing January 28, 2030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Term Loan B, interest at SOFR plus 1.75%, maturing May 18, 2030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7.25%, maturing July 15, 2028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6.50%, maturing April 1, 2032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6.50%, maturing June 15, 2033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5.75%, maturing March 15, 2034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$80M OEG Revolver, interest at SOFR plus 3.50%, maturing June 28, 2029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OEG Term Loan, interest at SOFR plus 3.50%, maturing June 28, 2031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425,270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(52,282)</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0" w:type="dxa"/>
            <w:vAlign w:val="bottom"/>
          </w:tcPr>
          <w:p>
            <w:pPr>
              <w:spacing w:after="0"/>
              <w:rPr>
                <w:sz w:val="1"/>
                <w:szCs w:val="1"/>
                <w:color w:val="auto"/>
              </w:rPr>
            </w:pPr>
          </w:p>
        </w:tc>
      </w:tr>
      <w:tr>
        <w:trPr>
          <w:trHeight w:val="210"/>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3,968,404</w:t>
            </w: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3,976,913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Amounts due within one year of the balance sheet date consist of amortization payments for the term loan B of 1.0% of the refinanced $293.5 million principal balance and amortization payments for the OEG term loan of approximately 1.0% of the refinanced $428.5 million principal balance.</w:t>
      </w:r>
    </w:p>
    <w:p>
      <w:pPr>
        <w:spacing w:after="0" w:line="135" w:lineRule="exact"/>
        <w:rPr>
          <w:sz w:val="20"/>
          <w:szCs w:val="20"/>
          <w:color w:val="auto"/>
        </w:rPr>
      </w:pPr>
    </w:p>
    <w:p>
      <w:pPr>
        <w:ind w:left="60" w:right="1299"/>
        <w:spacing w:after="0" w:line="461" w:lineRule="auto"/>
        <w:rPr>
          <w:sz w:val="20"/>
          <w:szCs w:val="20"/>
          <w:color w:val="auto"/>
        </w:rPr>
      </w:pPr>
      <w:r>
        <w:rPr>
          <w:rFonts w:ascii="Times New Roman" w:cs="Times New Roman" w:eastAsia="Times New Roman" w:hAnsi="Times New Roman"/>
          <w:sz w:val="18"/>
          <w:szCs w:val="18"/>
          <w:color w:val="auto"/>
        </w:rPr>
        <w:t xml:space="preserve">At March 31, 2026, there were no defaults under the covenants related to the Company’s outstanding debt. </w:t>
      </w:r>
      <w:r>
        <w:rPr>
          <w:rFonts w:ascii="Times New Roman" w:cs="Times New Roman" w:eastAsia="Times New Roman" w:hAnsi="Times New Roman"/>
          <w:sz w:val="18"/>
          <w:szCs w:val="18"/>
          <w:i w:val="1"/>
          <w:iCs w:val="1"/>
          <w:color w:val="auto"/>
        </w:rPr>
        <w:t>$850 Million Revolving Credit Facility</w:t>
      </w:r>
    </w:p>
    <w:p>
      <w:pPr>
        <w:spacing w:after="0" w:line="1"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January 28, 2026, the Company entered into an Amendment No. 1 to Credit Agreement (the “First Amendment”), which amended the Company’s existing credit agreement to, among other things, increase the maximum borrowing capacity under the Company’s revolving credit facility (the “Revolver”) from $700.0 million to $850.0 million, remove the “SOFR Adjustment” applicable to borrowings under the Revolver, extend the maturity date of the Revolver to January 28, 2030 and modify certain financial covenants applicable to the Revolver.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$700 Million 5.75% Senior Notes due 2034</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March 11, 2026, the Operating Partnership and RHP Finance Corporation (collectively, the “issuing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completed the private placement of $700.0 million in aggregate principal amount of 5.75% senior notes due 2034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“$700 Million 5.75% Senior Notes”), which are guaranteed by the Company and its subsidiaries that guarantee the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w:t>
      </w:r>
    </w:p>
    <w:p>
      <w:pPr>
        <w:spacing w:after="0" w:line="16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$700 Million 5.75% Senior Notes and guarantees were issued pursuant to an indenture by and among the issuing subsidiaries, the guarantors and U.S. Bank Trust Company, National Association, as trustee. The $700 Million 5.75% Senior Notes have a maturity date of March 15, 2034 and bear interest at 5.75% per annum, payable semi-annually in cash in arrears on March 15 and September 15 each year, beginning on September 15, 2026. The $700 Million 5.75% Senior Notes are general unsecured and unsubordinated obligations of the issuing subsidiaries and rank equal in right of payment with such subsidiaries’ existing and future senior unsecured indebtedness, including the Company’s $400 million in aggregate principal amount of 7.25% senior notes due 2028, $600 million in aggregate principal amount of 4.50% senior notes due 2029, $1 billion in aggregate principal amount of 6.50% senior notes due 2032, and $625 million in aggregate principal amount of 6.50% senior notes due 2033, and senior in right of payment to future subordinated indebtedness, if any.</w:t>
      </w:r>
    </w:p>
    <w:p>
      <w:pPr>
        <w:spacing w:after="0" w:line="154"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The $700 Million 5.75% Senior Notes are effectively subordinated to the issuing subsidiaries’ secured indebtedness, including the Operating Partnership’s existing credit facility, to the extent of the value of the assets securing such indebtedness and structurally subordinated to all indebtedness and other obligations of the Operating Partnership’s subsidiaries that do not guarantee the $700 Million 5.75% Senior Notes. The guarantees rank equally in right of payment with the applicable guarantor’s existing and future senior unsecured indebtedness and senior in right of payment to any future subordinated indebtedness of such guarantor. The $700 Million 5.75%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$700 Million 5.75% Senior Notes.</w:t>
      </w:r>
    </w:p>
    <w:p>
      <w:pPr>
        <w:spacing w:after="0" w:line="16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$700 Million 5.75% Senior Notes totaled approximately $687 million, after deducting the initial purchasers’ discounts, commissions and offering expenses. The Company used these net proceeds, together with cash on hand, to redeem in full the Company’s former $700 million in aggregate principal amount of 4.75% senior notes originally due 2027.</w:t>
      </w:r>
    </w:p>
    <w:p>
      <w:pPr>
        <w:spacing w:after="0" w:line="13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$700 Million 5.75% Senior Notes are redeemable before March 15, 2029, in whole or in part, at 100.00%, plus accrued and unpaid interest thereon to, but not including, the redemption date, plus a make-whole premium. The $700 Million 5.75% Senior Notes will be redeemable, in whole or in part, at any time on or after March 15, 2029 at a redemption price expressed as a percentage of the principal amount thereof, which percentage is 102.875%, 101.438%, and 100.000% beginning on March 15 of 2029, 2030, and 2031, respectively, plus accrued and unpaid interest thereon to, but not including, the redemption date.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months ended March 31, 2026 and 2025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4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3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2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2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March 31, 2026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620,415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(525,171)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19"/>
                <w:szCs w:val="19"/>
                <w:color w:val="auto"/>
              </w:rPr>
            </w:pPr>
          </w:p>
        </w:tc>
        <w:tc>
          <w:tcPr>
            <w:tcW w:w="5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39.4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2.1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7.3 %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5.9 %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 PLANS: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0.2 million restricted stock units with a weighted-average grant date fair value of $101.71 per unit. There were 0.5 million restricted stock units outstanding at each of March 31, 2026 and December 31, 2025.</w:t>
      </w:r>
    </w:p>
    <w:p>
      <w:pPr>
        <w:spacing w:after="0" w:line="13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Compensation expense for the Company’s equity-based compensation plans was $3.8 million and $3.6 million for the three months ended March 31, 2026 and 2025,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an income tax provision of $6.9 million and $4.2 million, respectively, related to its TRSs.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2026 and December 31, 2025, the Company had no unrecognized tax benefits.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0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as amended requests an unspecified amount of damages related to alleged injuries to three guests and related claims by their families. The discovery phase of the litigation is ongoing at this time. The Company cannot predict its likely outcome or estimate the range of possible loss but does not believe that the outcome will have a material impact on the Company’s financial position. The Company intends to vigorously defend the lawsuit and believes it has strong defenses.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5"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On February 23, 2026, the Company’s board of directors declared the Company’s first quarter 2026 cash dividend in the amount of $1.20 per share of common stock, or an aggregate of approximately $76.2 million in cash, which was paid on April 15, 2026 to stockholders of record as of the close of business on March 31, 2026.</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March 31, 2026, 0.4 million outstanding OP Units, or 0.6% of the outstanding OP Units, were held by the noncontrolling limited partners and are included as a component of equity in the accompanying condensed consolidated balance sheets. The Company owns, directly or indirectly, the remaining 99.4% of the outstanding OP Units.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5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4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March 31, 2026 and December 31, 2025, were as follows (in thousands):</w:t>
      </w:r>
    </w:p>
    <w:tbl>
      <w:tblPr>
        <w:tblLayout w:type="fixed"/>
        <w:tblInd w:w="60" w:type="dxa"/>
        <w:tblCellMar>
          <w:top w:w="0" w:type="dxa"/>
          <w:left w:w="0" w:type="dxa"/>
          <w:bottom w:w="0" w:type="dxa"/>
          <w:right w:w="0" w:type="dxa"/>
        </w:tblCellMar>
      </w:tblPr>
      <w:tr>
        <w:trPr>
          <w:trHeight w:val="137"/>
        </w:trPr>
        <w:tc>
          <w:tcPr>
            <w:tcW w:w="3840" w:type="dxa"/>
            <w:vAlign w:val="bottom"/>
          </w:tcPr>
          <w:p>
            <w:pPr>
              <w:spacing w:after="0"/>
              <w:rPr>
                <w:sz w:val="11"/>
                <w:szCs w:val="11"/>
                <w:color w:val="auto"/>
              </w:rPr>
            </w:pPr>
          </w:p>
        </w:tc>
        <w:tc>
          <w:tcPr>
            <w:tcW w:w="1080" w:type="dxa"/>
            <w:vAlign w:val="bottom"/>
            <w:gridSpan w:val="2"/>
          </w:tcPr>
          <w:p>
            <w:pPr>
              <w:ind w:left="920"/>
              <w:spacing w:after="0" w:line="13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2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 Observable</w:t>
            </w:r>
          </w:p>
        </w:tc>
        <w:tc>
          <w:tcPr>
            <w:tcW w:w="106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8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40" w:type="dxa"/>
            <w:vAlign w:val="bottom"/>
          </w:tcPr>
          <w:p>
            <w:pPr>
              <w:spacing w:after="0"/>
              <w:rPr>
                <w:sz w:val="24"/>
                <w:szCs w:val="24"/>
                <w:color w:val="auto"/>
              </w:rPr>
            </w:pP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Observable</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80" w:type="dxa"/>
            <w:vAlign w:val="bottom"/>
            <w:gridSpan w:val="3"/>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8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The fair value of notes receivable is discussed in Note 6, “Notes Receivable.” The remainder of the assets and liabilities held by the Company at March 31, 2026 are not required to be recorded at fair value, and financial assets and liabilities approximate fair value.</w:t>
      </w:r>
    </w:p>
    <w:p>
      <w:pPr>
        <w:spacing w:after="0" w:line="14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See Note 2, “JW Marriott Desert Ridge Transaction,” for additional disclosures related to the fair value measurements used in the accounting for the purchase of JW Marriott Desert Ridge.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FINANCIAL REPORTING BY BUSINESS SEGMENTS: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the following principal business segments:</w:t>
      </w:r>
    </w:p>
    <w:p>
      <w:pPr>
        <w:spacing w:after="0" w:line="196" w:lineRule="exact"/>
        <w:rPr>
          <w:sz w:val="20"/>
          <w:szCs w:val="20"/>
          <w:color w:val="auto"/>
        </w:rPr>
      </w:pPr>
    </w:p>
    <w:p>
      <w:pPr>
        <w:ind w:left="720" w:right="25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JW Marriott properties (including, effective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2025, JW Marriott Desert Ridge), the Inn at Opryland and the AC Hotel;</w:t>
      </w:r>
    </w:p>
    <w:p>
      <w:pPr>
        <w:ind w:left="720" w:right="1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Block 21, Southern Entertainment, and beginning in the first quarter of 2026, the Ascend Amphitheater and the CCNB Amphitheatre; and</w:t>
      </w:r>
    </w:p>
    <w:p>
      <w:pPr>
        <w:spacing w:after="0" w:line="1" w:lineRule="exact"/>
        <w:rPr>
          <w:rFonts w:ascii="Times New Roman" w:cs="Times New Roman" w:eastAsia="Times New Roman" w:hAnsi="Times New Roman"/>
          <w:sz w:val="18"/>
          <w:szCs w:val="18"/>
          <w:color w:val="auto"/>
        </w:rPr>
      </w:pPr>
    </w:p>
    <w:p>
      <w:pPr>
        <w:ind w:left="720" w:right="379" w:hanging="319"/>
        <w:spacing w:after="0" w:line="26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operating and general and administrative expenses related to the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Company which are not allocated to the other reportable segments.</w:t>
      </w:r>
    </w:p>
    <w:p>
      <w:pPr>
        <w:spacing w:after="0" w:line="141"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comprised of the Company’s chief executive officer and the Company’s chief financial officer. The CODM uses segment operating income (loss) to evaluate the performance of each segment and to allocate resources.</w:t>
      </w:r>
    </w:p>
    <w:p>
      <w:pPr>
        <w:spacing w:after="0" w:line="135"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The accounting policies for each segment are the same as those described in Note 1, “Description of the Business and Summary of Significant Accounting Policies,” to the Company’s Annual Report on Form 10-K for the year ended December 31, 2025. The Company does not have intersegment sales or transfers.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by the CODM for corporate management purposes (amounts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color w:val="auto"/>
              </w:rPr>
              <w:t>For the Three Months Ended March 31, 2026</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585,389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66,008</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145,087</w:t>
            </w:r>
          </w:p>
        </w:tc>
        <w:tc>
          <w:tcPr>
            <w:tcW w:w="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(55,833)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color w:val="auto"/>
              </w:rPr>
              <w:t>For the Three Months Ended March 31, 2025</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497,730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54,106</w:t>
            </w: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116,809</w:t>
            </w:r>
          </w:p>
        </w:tc>
        <w:tc>
          <w:tcPr>
            <w:tcW w:w="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(45,388)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6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224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5,011,540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4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6,193,781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w:t>
      </w:r>
    </w:p>
    <w:p>
      <w:pPr>
        <w:spacing w:after="0" w:line="27" w:lineRule="exact"/>
        <w:rPr>
          <w:rFonts w:ascii="Times New Roman" w:cs="Times New Roman" w:eastAsia="Times New Roman" w:hAnsi="Times New Roman"/>
          <w:sz w:val="18"/>
          <w:szCs w:val="18"/>
          <w:color w:val="auto"/>
        </w:rPr>
      </w:pPr>
    </w:p>
    <w:p>
      <w:pPr>
        <w:ind w:left="720" w:right="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 administrative employment costs, utilities, property taxes, supplies, advertising, maintenance and consulting expenses</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 advertising, utilities, maintenance and certain overhead expenses</w:t>
      </w:r>
    </w:p>
    <w:p>
      <w:pPr>
        <w:spacing w:after="0" w:line="9" w:lineRule="exact"/>
        <w:rPr>
          <w:rFonts w:ascii="Times New Roman" w:cs="Times New Roman" w:eastAsia="Times New Roman" w:hAnsi="Times New Roman"/>
          <w:sz w:val="18"/>
          <w:szCs w:val="18"/>
          <w:color w:val="auto"/>
        </w:rPr>
      </w:pPr>
    </w:p>
    <w:p>
      <w:pPr>
        <w:ind w:left="720" w:right="4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 information technology, human resources, accounting, equity-based compensation and other administrative expenses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represents capital expenditures by segment for the periods presented (amounts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2025, included in our Annual Report on Form 10-K that was filed with the SEC on February 24, 2026.</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the ability of Marriott International, Inc. (“Marriott”) to effectively manage our hotels and other properties;</w:t>
      </w:r>
    </w:p>
    <w:p>
      <w:pPr>
        <w:spacing w:after="0" w:line="11" w:lineRule="exact"/>
        <w:rPr>
          <w:sz w:val="20"/>
          <w:szCs w:val="20"/>
          <w:color w:val="auto"/>
        </w:rPr>
      </w:pPr>
    </w:p>
    <w:p>
      <w:pPr>
        <w:ind w:left="60" w:right="79" w:hanging="10"/>
        <w:spacing w:after="0" w:line="251"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geopolitical uncertainty, the effects of inflation, other macroeconomic conditions and increased costs on our business and on our customers, including group customers at our hotels; (xii) risks associated with the integration of JW Marriott Desert Ridge into our existing asset base; and (xiii) any other business or operational matters. We have based these forward-looking statements on our current expectations and projections about future events.</w:t>
      </w:r>
    </w:p>
    <w:p>
      <w:pPr>
        <w:spacing w:after="0" w:line="15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imposition of trade barriers or other changes in trade policy) on our business, including the effects on costs of labor and supplies and effects on group customers at 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2025 or described from time to time in our other reports filed with the SEC.</w:t>
      </w:r>
    </w:p>
    <w:p>
      <w:pPr>
        <w:spacing w:after="0" w:line="16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we refer to as the JW Marriott properties, consist of the JW Marriott San Antonio Hill Country Resort &amp; Spa (“JW Marriott Hill Country”) and the JW Marriott Phoenix Desert Ridge Resort &amp; Spa (“JW Marriott Desert Ridge”) (effective June 10, 2025). Our other hotel assets managed by Marriott include the Inn at Opryland, an overflow hotel adjacent to Gaylord Opryland, and the AC Hotel at National Harbor, Washington D.C. (“AC Hotel”), an overflow hotel adjacent to Gaylord National.</w:t>
      </w:r>
    </w:p>
    <w:p>
      <w:pPr>
        <w:spacing w:after="0" w:line="16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Each of our award-winning Gaylord Hotels properties and JW Marriott properties incorporates not only high-quality lodging, but also large-scale meeting, convention and exhibition space, superb food and beverage options and retail and spa facilities within a single self-contained property. Our Gaylord Hotels properties each include at least 400,000 square feet of meeting, convention and exhibit space, and our JW Marriott properties each include at least 240,000 square feet of meeting, convention and exhibit space. As a result, our Gaylord Hotels properties and JW Marriott properties provide a convenient and entertaining environment for convention guests. Our Gaylord Hotels properties and JW Marriott properties focus on the large group meetings market in the United States.</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also own an approximate 70% controlling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over 100 years; the Ryman Auditorium, the storied live music venue and former home of the Grand Ole Opry located in downtown Nashville; WSM-AM, the Opry’s radio home; Ole Red, a brand of six Blake Shelton-themed bar, music venue and event spaces; Category 10, a brand of Luke Combs-themed bar, music venue and event spaces that opened in Nashville, Tennessee in November 2024, with additional locations expected to open in Las Vegas, Nevada in late 2026 and at Universal Orlando Resort’s CityWalk in late 2027; Block 21, a mixed-use entertainment, lodging, office, and retail complex located in Austin, Texas (“Block 21”), and a majority and controlling equity interest in Southern Entertainment, a Charlotte, North Carolina-based national music festival and events production company. In addition, in January 2026, OEG began managing the Ascend Amphitheater in downtown Nashville, Tennessee, and in February 2026, OEG began managing the CCNB Amphitheatre outside of Greenville, South Carolina.</w:t>
      </w:r>
    </w:p>
    <w:p>
      <w:pPr>
        <w:spacing w:after="0" w:line="14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our Annual Report on Form 10-K for the year ended December 31, 2025 for important information regarding forward-looking statements made in this report and risks and uncertainties we face.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2026 Activities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2026 include (as well as where you can find more information herein or in the accompanying condensed consolidated financial statements):</w:t>
      </w:r>
    </w:p>
    <w:p>
      <w:pPr>
        <w:spacing w:after="0" w:line="162" w:lineRule="exact"/>
        <w:rPr>
          <w:sz w:val="20"/>
          <w:szCs w:val="20"/>
          <w:color w:val="auto"/>
        </w:rPr>
      </w:pPr>
    </w:p>
    <w:p>
      <w:pPr>
        <w:jc w:val="both"/>
        <w:ind w:left="720" w:right="4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maximum borrowing capacity under our revolving credit facility from $700.0 million to $850.0 million, extended the initial maturity date to 2030 and modified certain financial covenants – Note 7, “Debt”</w:t>
      </w:r>
    </w:p>
    <w:p>
      <w:pPr>
        <w:spacing w:after="0" w:line="16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$700 million in 5.75% senior notes due 2034 and used the net proceeds to redeem our former $700 million in 4.75% senior notes originally due 2027 – Note 7, “Debt”</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our existing properties through approximately $113.7 million in capital expenditures – “Liquidity and Capital Resources”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approximately $76.2 million in cash distributions – Note 12, “Equity”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and JW Marriott properties focus on the large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and regional leisure transient markets in the United States and incorporate meeting and exhibition space, signature guest rooms, food and beverage offerings, fitness and spa facilities and other attractions within a large hotel property so attendees’ needs are met in one location. We believe this strategy creates a better experience for both meeting planners and guests and has led to our current Gaylord Hotels properties and JW Marriott properties claiming a place among the leading convention hotels in the country.</w:t>
      </w:r>
    </w:p>
    <w:p>
      <w:pPr>
        <w:spacing w:after="0" w:line="14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 and JW Marriott Desert Ridge in June 2025.</w:t>
      </w:r>
    </w:p>
    <w:p>
      <w:pPr>
        <w:spacing w:after="0" w:line="14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early 2024, we identified over $1 billion in capital investment opportunities across our entire hotel portfolio, comprised of projects that we anticipate completing in phases through 2027. In 2024, we completed a $98 million multi-year interior and exterior enhancement project at Gaylord Rockies to better position the property for our group customers. Included in our nearly $225 million multi-phase capital improvement plan at Gaylord Opryland is the completed renovation of multiple ballrooms and pre-function space, the completed construction of a sports bar, event lawn and pavilion, and the ongoing expansion of approximately 108,000 square feet of premium, carpeted meeting space.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purchased Block 21, invested in six Ole Red locations and recently announced the planned development of a seventh Ole Red location that is expected to open in late 2027, opened our first Category 10 in November 2024 and have announced the development of two additional Category 10 locations that are expected to open in late 2026 and late 2027, respectively, purchased a majority interest in Southern Entertainment in January 2025, and began managing the Ascend Amphitheater in January and the CCNB Amphitheatre in February 2026. In September 2025, the Grand Ole Opry traveled to the Royal Albert Hall in London for the first international performance in its history. Further, in 2022, we completed a strategic transaction to sell a minority interest in OEG to an affiliate of Atairos Group, Inc. and its strategic partner NBCUniversal Media, LLC, who we believe will continue to help us expand the distribution of our OEG brands.</w:t>
      </w:r>
    </w:p>
    <w:p>
      <w:pPr>
        <w:spacing w:after="0" w:line="16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198" w:lineRule="exact"/>
        <w:rPr>
          <w:sz w:val="20"/>
          <w:szCs w:val="20"/>
          <w:color w:val="auto"/>
        </w:rPr>
      </w:pPr>
    </w:p>
    <w:p>
      <w:pPr>
        <w:ind w:left="720" w:right="1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our JW Marriott properties (including, effective June 10, 2025, JW Marriott Desert Ridge), the Inn at Opryland and the AC Hotel.</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Southern Entertainment, our other Nashville-based attractions, and, beginning in 2026, the operation of the Ascend Amphitheater in downtown Nashville, Tennessee, and the CCNB Amphitheatre outside of Greenville, South Carolina.</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98"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our total revenues were divided among these business segments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gridSpan w:val="2"/>
          </w:tcPr>
          <w:p>
            <w:pPr>
              <w:spacing w:after="0"/>
              <w:rPr>
                <w:sz w:val="15"/>
                <w:szCs w:val="15"/>
                <w:color w:val="auto"/>
              </w:rPr>
            </w:pPr>
          </w:p>
        </w:tc>
      </w:tr>
      <w:tr>
        <w:trPr>
          <w:trHeight w:val="142"/>
        </w:trPr>
        <w:tc>
          <w:tcPr>
            <w:tcW w:w="5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9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2026   ​​​</w:t>
            </w:r>
          </w:p>
        </w:tc>
        <w:tc>
          <w:tcPr>
            <w:tcW w:w="5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15 %</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0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resources:</w:t>
      </w:r>
    </w:p>
    <w:p>
      <w:pPr>
        <w:spacing w:after="0" w:line="143"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2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35"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p>
      <w:pPr>
        <w:spacing w:after="0" w:line="133" w:lineRule="exact"/>
        <w:rPr>
          <w:sz w:val="20"/>
          <w:szCs w:val="20"/>
          <w:color w:val="auto"/>
        </w:rPr>
      </w:pPr>
    </w:p>
    <w:p>
      <w:pPr>
        <w:ind w:left="720" w:right="179" w:hanging="319"/>
        <w:spacing w:after="0" w:line="284"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and</w:t>
      </w:r>
    </w:p>
    <w:p>
      <w:pPr>
        <w:spacing w:after="0" w:line="119"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ended March 31, 2026 and 2025.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80" w:type="dxa"/>
            <w:vAlign w:val="bottom"/>
            <w:vMerge w:val="restart"/>
          </w:tcPr>
          <w:p>
            <w:pPr>
              <w:ind w:left="3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56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3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223,758</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289,347</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72,284</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79,183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89,550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552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664,572</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587,280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5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50,594</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158,163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144,622</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Hotel management fees,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20,915</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65,109</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11,285</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66,008</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9,434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Borders>
              <w:bottom w:val="single" w:sz="8" w:color="CCEEFF"/>
            </w:tcBorders>
          </w:tcPr>
          <w:p>
            <w:pPr>
              <w:spacing w:after="0"/>
              <w:rPr>
                <w:sz w:val="12"/>
                <w:szCs w:val="12"/>
                <w:color w:val="auto"/>
              </w:rPr>
            </w:pPr>
          </w:p>
        </w:tc>
        <w:tc>
          <w:tcPr>
            <w:tcW w:w="5520" w:type="dxa"/>
            <w:vAlign w:val="bottom"/>
            <w:tcBorders>
              <w:bottom w:val="single" w:sz="8" w:color="CCEEFF"/>
            </w:tcBorders>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4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3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75,701</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4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63,717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552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526,776</w:t>
            </w: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79.3</w:t>
            </w:r>
          </w:p>
        </w:tc>
        <w:tc>
          <w:tcPr>
            <w:tcW w:w="4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471,159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80.2</w:t>
            </w:r>
          </w:p>
        </w:tc>
        <w:tc>
          <w:tcPr>
            <w:tcW w:w="34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5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145,087</w:t>
            </w:r>
          </w:p>
        </w:tc>
        <w:tc>
          <w:tcPr>
            <w:tcW w:w="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5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137,796</w:t>
            </w:r>
          </w:p>
        </w:tc>
        <w:tc>
          <w:tcPr>
            <w:tcW w:w="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20.7</w:t>
            </w:r>
          </w:p>
        </w:tc>
        <w:tc>
          <w:tcPr>
            <w:tcW w:w="4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116,121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19.8</w:t>
            </w:r>
          </w:p>
        </w:tc>
        <w:tc>
          <w:tcPr>
            <w:tcW w:w="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(64,119)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from unconsolidated joint ventures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(6,899)</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69,402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63,014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5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 in Opry Entertainment Group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attributable to other noncontrolling interests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52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70,475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62,961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ended March 31, 2026 and 2025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40" w:type="dxa"/>
            <w:vAlign w:val="bottom"/>
            <w:gridSpan w:val="6"/>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15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2026</w:t>
            </w:r>
          </w:p>
        </w:tc>
        <w:tc>
          <w:tcPr>
            <w:tcW w:w="9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2025</w:t>
            </w:r>
          </w:p>
        </w:tc>
        <w:tc>
          <w:tcPr>
            <w:tcW w:w="72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$ 664,572</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$ 587,280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526,776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471,159</w:t>
            </w:r>
          </w:p>
        </w:tc>
        <w:tc>
          <w:tcPr>
            <w:tcW w:w="10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116,121</w:t>
            </w:r>
          </w:p>
        </w:tc>
        <w:tc>
          <w:tcPr>
            <w:tcW w:w="10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69,402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63,014</w:t>
            </w:r>
          </w:p>
        </w:tc>
        <w:tc>
          <w:tcPr>
            <w:tcW w:w="10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10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per share - diluted</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March 31, 2026, as compared to the same period in 2025, is primarily attributable to an increase in our Hospitality segment of $87.7 million, partially offset by a decrease in our Entertainment segment of $10.4 million, as presented in the tables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increase in our total operating expenses for the three months ended March 31, 2026, as compared to the same period in 2025, is primarily the result of an increase in our Hospitality segment of $59.4 million (which includes an increase of $11.9 million in depreciation and amortization expense), partially offset by a decrease of $4.7 million in our Entertainment segment, as presented in the tables below.</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8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above factors resulted in an increase of $21.7 million in operating income for the three months ended March 31, 2026, respectively, as compared to the 2025 period.</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$6.4 million increase in net income for the three months ended March 31, 2026, as compared to the same period in 2025, was primarily due to the changes in our revenues and operating expenses reflected above, impacted by the following factors, each as described more fully below:</w:t>
      </w:r>
    </w:p>
    <w:p>
      <w:pPr>
        <w:spacing w:after="0" w:line="135" w:lineRule="exact"/>
        <w:rPr>
          <w:sz w:val="20"/>
          <w:szCs w:val="20"/>
          <w:color w:val="auto"/>
        </w:rPr>
      </w:pPr>
    </w:p>
    <w:p>
      <w:pPr>
        <w:ind w:left="720" w:right="719" w:hanging="319"/>
        <w:spacing w:after="0" w:line="312" w:lineRule="auto"/>
        <w:tabs>
          <w:tab w:leader="none" w:pos="7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$10.1 million increase in interest expense, net, in the 2026 period, as compared to the 2025 period, due primarily to interest expense incurred for our $625.0 million senior notes that were issued in June 2025.</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increase in provision for income taxes in the 2026 period, as compared to the 2025 period.</w:t>
      </w:r>
    </w:p>
    <w:p>
      <w:pPr>
        <w:spacing w:after="0" w:line="198"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on extinguishment of debt of $2.2 million in the 2026 period due to the redemption of our former $700 million in 4.75% senior notes originally due 2027.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200"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three months ended March 31, 2026, compared to the three months ended March 31, 2025, were:</w:t>
      </w:r>
    </w:p>
    <w:p>
      <w:pPr>
        <w:spacing w:after="0" w:line="121" w:lineRule="exact"/>
        <w:rPr>
          <w:sz w:val="20"/>
          <w:szCs w:val="20"/>
          <w:color w:val="auto"/>
        </w:rPr>
      </w:pPr>
    </w:p>
    <w:p>
      <w:pPr>
        <w:ind w:left="720" w:right="13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Desert Ridge, including $73.9 million in revenues; the property averaged $357.42 in RevPAR and $863.95 in Total RevPAR.</w:t>
      </w:r>
    </w:p>
    <w:p>
      <w:pPr>
        <w:spacing w:after="0" w:line="12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(Hospitality segment excluding JW Marriott Desert Ridge) ADR of 5.1% in the 2026 period, as compared to the 2025 period.</w:t>
      </w:r>
    </w:p>
    <w:p>
      <w:pPr>
        <w:spacing w:after="0" w:line="13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same-store group rooms traveled in the 2026 period of 4.1% from the 2025 period; however, there was an increase in same-store outside-the-room spend in the 2026 period of 3.2% over the 2025 period, driven by a favorable mix of group room nights traveled.</w:t>
      </w:r>
    </w:p>
    <w:p>
      <w:pPr>
        <w:spacing w:after="0" w:line="135"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16.5% in total revenue and Total RevPAR at Gaylord Opryland in the 2026 period, as compared to the 2025 period, primarily as a result of a 7.9% increase in group rooms traveled, which also drove increased catering revenue, and a 5.7% increase in ADR.</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10.5% in total revenue and Total RevPAR at Gaylord Palms in the 2026 period, as compared to the 2025 period, primarily as a result of a 4.4% increase in group rooms traveled, which also drove increased catering revenue, and a 9.1% increase in ADR.</w:t>
      </w:r>
    </w:p>
    <w:p>
      <w:pPr>
        <w:spacing w:after="0" w:line="148" w:lineRule="exact"/>
        <w:rPr>
          <w:rFonts w:ascii="Times New Roman" w:cs="Times New Roman" w:eastAsia="Times New Roman" w:hAnsi="Times New Roman"/>
          <w:sz w:val="18"/>
          <w:szCs w:val="18"/>
          <w:color w:val="auto"/>
        </w:rPr>
      </w:pPr>
    </w:p>
    <w:p>
      <w:pPr>
        <w:ind w:left="720" w:right="43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9.0% in total revenue and Total RevPAR at JW Marriott Hill Country in the 2026 period, as compared to the 2025 period, primarily as a result of a decrease of 9.3 points of occupancy due primarily to a decrease in group rooms traveled and the resulting decrease in catering revenue.</w:t>
      </w:r>
    </w:p>
    <w:p>
      <w:pPr>
        <w:spacing w:after="0" w:line="135" w:lineRule="exact"/>
        <w:rPr>
          <w:rFonts w:ascii="Times New Roman" w:cs="Times New Roman" w:eastAsia="Times New Roman" w:hAnsi="Times New Roman"/>
          <w:sz w:val="18"/>
          <w:szCs w:val="18"/>
          <w:color w:val="auto"/>
        </w:rPr>
      </w:pPr>
    </w:p>
    <w:p>
      <w:pPr>
        <w:ind w:left="720" w:right="27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8.2% in total revenue and Total RevPAR at Gaylord National in the 2026 period, as compared to the 2025 period, primarily as a result of a decrease of 9.4 points of occupancy due primarily to a decrease in group rooms traveled and the resulting decrease in catering revenue. The decrease in group rooms traveled is at least partially attributable to Winter Storm Fern, which impacted the property in January 2026.</w:t>
      </w:r>
    </w:p>
    <w:p>
      <w:pPr>
        <w:spacing w:after="0" w:line="139" w:lineRule="exact"/>
        <w:rPr>
          <w:rFonts w:ascii="Times New Roman" w:cs="Times New Roman" w:eastAsia="Times New Roman" w:hAnsi="Times New Roman"/>
          <w:sz w:val="18"/>
          <w:szCs w:val="18"/>
          <w:color w:val="auto"/>
        </w:rPr>
      </w:pPr>
    </w:p>
    <w:p>
      <w:pPr>
        <w:ind w:left="720" w:right="239" w:hanging="319"/>
        <w:spacing w:after="0" w:line="289" w:lineRule="auto"/>
        <w:tabs>
          <w:tab w:leader="none" w:pos="7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3.5% in total revenue and Total RevPAR at Gaylord Texan in the 2026 period, as compared to the 2025 period, primarily as a result of a decrease of 7.6 points of occupancy due to a decrease in both group and transient room nights. This decline is primarily attributable to the ongoing rooms renovation at the property.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important factors and trends for the three months ended, and as of, March 31, 2026 include:</w:t>
      </w:r>
    </w:p>
    <w:p>
      <w:pPr>
        <w:spacing w:after="0" w:line="185" w:lineRule="exact"/>
        <w:rPr>
          <w:sz w:val="20"/>
          <w:szCs w:val="20"/>
          <w:color w:val="auto"/>
        </w:rPr>
      </w:pPr>
    </w:p>
    <w:p>
      <w:pPr>
        <w:ind w:left="720" w:right="2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net definite group room nights booked at our hotels for all future periods in the three months ended March 31, 2026 increased 18.1%, as compared to the same period in 2025.</w:t>
      </w:r>
    </w:p>
    <w:p>
      <w:pPr>
        <w:spacing w:after="0" w:line="121"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group room nights on the books for all future years at our hotels at March 31, 2026 is 2.0% higher than the number on the books at the same point in 2025. In addition, the estimated ADR on those group room nights on the books at March 31, 2026 is 5.4% higher than the same point in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months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(in thousands, except percentages and performance metrics):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8"/>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223,758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189,232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289,347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253,263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72,284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55,235</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4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585,389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497,730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4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158,163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138,139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144,622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123,924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66,008</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54,106</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440,302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380,921</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w:t>
            </w:r>
          </w:p>
        </w:tc>
        <w:tc>
          <w:tcPr>
            <w:tcW w:w="42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1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145,087</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116,809</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w:t>
            </w:r>
          </w:p>
        </w:tc>
        <w:tc>
          <w:tcPr>
            <w:tcW w:w="4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53"/>
              <w:spacing w:after="0"/>
              <w:rPr>
                <w:sz w:val="20"/>
                <w:szCs w:val="20"/>
                <w:color w:val="auto"/>
              </w:rPr>
            </w:pPr>
            <w:r>
              <w:rPr>
                <w:rFonts w:ascii="Times New Roman" w:cs="Times New Roman" w:eastAsia="Times New Roman" w:hAnsi="Times New Roman"/>
                <w:sz w:val="1"/>
                <w:szCs w:val="1"/>
                <w:color w:val="auto"/>
                <w:w w:val="4294942296"/>
              </w:rPr>
              <w:t>​</w:t>
            </w: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24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18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526.07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282,986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(3):</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gridSpan w:val="2"/>
          </w:tcPr>
          <w:p>
            <w:pPr>
              <w:jc w:val="right"/>
              <w:ind w:right="153"/>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24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(2.0)pts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18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497.95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242,269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4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39" w:hanging="330"/>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that rooms are out of service. Hospitality RevPAR is not comparable to similarly titled measures such as revenues.</w:t>
      </w:r>
    </w:p>
    <w:p>
      <w:pPr>
        <w:spacing w:after="0" w:line="148" w:lineRule="exact"/>
        <w:rPr>
          <w:rFonts w:ascii="Times New Roman" w:cs="Times New Roman" w:eastAsia="Times New Roman" w:hAnsi="Times New Roman"/>
          <w:sz w:val="18"/>
          <w:szCs w:val="18"/>
          <w:color w:val="auto"/>
        </w:rPr>
      </w:pPr>
    </w:p>
    <w:p>
      <w:pPr>
        <w:ind w:left="380" w:right="219" w:hanging="330"/>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that rooms are out of service. Hospitality Total RevPAR is not comparable to similarly titled measures such as revenues.</w:t>
      </w:r>
    </w:p>
    <w:p>
      <w:pPr>
        <w:spacing w:after="0" w:line="139" w:lineRule="exact"/>
        <w:rPr>
          <w:rFonts w:ascii="Times New Roman" w:cs="Times New Roman" w:eastAsia="Times New Roman" w:hAnsi="Times New Roman"/>
          <w:sz w:val="18"/>
          <w:szCs w:val="18"/>
          <w:color w:val="auto"/>
        </w:rPr>
      </w:pPr>
    </w:p>
    <w:p>
      <w:pPr>
        <w:ind w:left="380" w:right="35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Desert Ridge, which we purchased on June 10, 2025.</w:t>
      </w:r>
    </w:p>
    <w:p>
      <w:pPr>
        <w:spacing w:after="0" w:line="121" w:lineRule="exact"/>
        <w:rPr>
          <w:sz w:val="20"/>
          <w:szCs w:val="20"/>
          <w:color w:val="auto"/>
        </w:rPr>
      </w:pPr>
    </w:p>
    <w:p>
      <w:pPr>
        <w:ind w:left="60" w:right="479"/>
        <w:spacing w:after="0" w:line="312" w:lineRule="auto"/>
        <w:rPr>
          <w:sz w:val="20"/>
          <w:szCs w:val="20"/>
          <w:color w:val="auto"/>
        </w:rPr>
      </w:pPr>
      <w:r>
        <w:rPr>
          <w:rFonts w:ascii="Times New Roman" w:cs="Times New Roman" w:eastAsia="Times New Roman" w:hAnsi="Times New Roman"/>
          <w:sz w:val="17"/>
          <w:szCs w:val="17"/>
          <w:color w:val="auto"/>
        </w:rPr>
        <w:t>Total Hospitality segment revenues in the three months ended March 31, 2026 include $8.4 million in attrition and cancellation fee revenue, an increase of $1.6 million in attrition and cancellation fee collections from the 2025 period.</w:t>
      </w:r>
    </w:p>
    <w:p>
      <w:pPr>
        <w:spacing w:after="0" w:line="113"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5360" w:type="dxa"/>
            <w:vAlign w:val="bottom"/>
            <w:vMerge w:val="restart"/>
          </w:tcPr>
          <w:p>
            <w:pPr>
              <w:ind w:left="53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continue"/>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   ​​​</w:t>
            </w:r>
          </w:p>
        </w:tc>
        <w:tc>
          <w:tcPr>
            <w:tcW w:w="17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2025   ​​​ ​​​</w:t>
            </w: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5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20 %</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6280" w:type="dxa"/>
            <w:vAlign w:val="bottom"/>
            <w:gridSpan w:val="2"/>
          </w:tcPr>
          <w:p>
            <w:pPr>
              <w:jc w:val="right"/>
              <w:ind w:right="1636"/>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three months ended March 31, 2026 and 2025 consist of the following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vMerge w:val="restart"/>
          </w:tcPr>
          <w:p>
            <w:pPr>
              <w:ind w:left="56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680" w:type="dxa"/>
            <w:vAlign w:val="bottom"/>
            <w:gridSpan w:val="2"/>
          </w:tcPr>
          <w:p>
            <w:pPr>
              <w:jc w:val="right"/>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  ​​​</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80" w:type="dxa"/>
            <w:vAlign w:val="bottom"/>
          </w:tcPr>
          <w:p>
            <w:pPr>
              <w:spacing w:after="0"/>
              <w:rPr>
                <w:sz w:val="18"/>
                <w:szCs w:val="18"/>
                <w:color w:val="auto"/>
              </w:rPr>
            </w:pP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52,472</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Each of the other hotel expense categories above increased in the three months ended March 31, 2026, as compared to the 2025 period, primarily due to the addition of JW Marriott Desert Ridge. Administrative employment costs include salaries and benefits for hotel administrative functions, including, among others, senior management, accounting, human resources, sales, conference services, engineering and security. The increase in other expenses, which include supplies, advertising, maintenance costs and consulting costs, during the three months ended March 31, 2026, as compared to the same period in 2025, also includes a slight increase of various miscellaneous expenses at Gaylord Opryland associated with the increase in business levels.</w:t>
      </w:r>
    </w:p>
    <w:p>
      <w:pPr>
        <w:spacing w:after="0" w:line="148"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and JW Marriott Desert Ridge are approximately 3% of gross revenues, and JW Marriott Hill Country is approximately 3.5% of gross revenues. Additionally, we pay Marriott an incentive management fee based on the profitability of our hotels. In the three months ended March 31, 2026 and 2025, we incurred $14.0 million and $11.6 million, respectively, related to base management fees for our Hospitality segment and $7.7 million and $7.6 million, respectively, related to incentive management fees for our Hospitality segment. Management fees are presented throughout this Quarterly Report on Form 10-Q net of the amortization of the deferred management rights proceeds discussed in Note 5, “Deferred Management Rights Proceeds,” to the Company’s Annual Report on Form 10-K for the year ended December 31, 2025.</w:t>
      </w:r>
    </w:p>
    <w:p>
      <w:pPr>
        <w:spacing w:after="0" w:line="15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increased in the three months ended March 31, 2026, as compared to the same period in 2025, primarily due to the increase in depreciable assets associated with JW Marriott Desert Ridge, as well as increases in asset values at Gaylord Texan related to the ongoing rooms renovation and Gaylord Opryland related to the 2025 renovation of an existing ballroom and pre-function space.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2026 and 2025.</w:t>
      </w:r>
    </w:p>
    <w:p>
      <w:pPr>
        <w:spacing w:after="0" w:line="158"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ended March 31, 2026 and 2025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60" w:type="dxa"/>
            <w:vAlign w:val="bottom"/>
            <w:vMerge w:val="restart"/>
          </w:tcPr>
          <w:p>
            <w:pPr>
              <w:ind w:left="56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50,315</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44,315</w:t>
            </w:r>
          </w:p>
        </w:tc>
        <w:tc>
          <w:tcPr>
            <w:tcW w:w="220" w:type="dxa"/>
            <w:vAlign w:val="bottom"/>
          </w:tcPr>
          <w:p>
            <w:pPr>
              <w:spacing w:after="0"/>
              <w:rPr>
                <w:sz w:val="17"/>
                <w:szCs w:val="17"/>
                <w:color w:val="auto"/>
              </w:rPr>
            </w:pP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17.4 %</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17,267</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14,065</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22.8 %</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4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27,913</w:t>
            </w:r>
          </w:p>
        </w:tc>
        <w:tc>
          <w:tcPr>
            <w:tcW w:w="220" w:type="dxa"/>
            <w:vAlign w:val="bottom"/>
          </w:tcPr>
          <w:p>
            <w:pPr>
              <w:spacing w:after="0"/>
              <w:rPr>
                <w:sz w:val="17"/>
                <w:szCs w:val="17"/>
                <w:color w:val="auto"/>
              </w:rPr>
            </w:pP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16.3 %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220" w:type="dxa"/>
            <w:vAlign w:val="bottom"/>
          </w:tcPr>
          <w:p>
            <w:pPr>
              <w:spacing w:after="0"/>
              <w:rPr>
                <w:sz w:val="17"/>
                <w:szCs w:val="17"/>
                <w:color w:val="auto"/>
              </w:rPr>
            </w:pP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88,557</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80,080</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39,822</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30,098</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32.3 %</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spacing w:after="0" w:line="20" w:lineRule="exact"/>
              <w:rPr>
                <w:sz w:val="1"/>
                <w:szCs w:val="1"/>
                <w:color w:val="auto"/>
              </w:rPr>
            </w:pPr>
          </w:p>
        </w:tc>
        <w:tc>
          <w:tcPr>
            <w:tcW w:w="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5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69.7 %</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64.9 %</w:t>
            </w:r>
          </w:p>
        </w:tc>
        <w:tc>
          <w:tcPr>
            <w:tcW w:w="10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4.8 pts</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262.57</w:t>
            </w:r>
          </w:p>
        </w:tc>
        <w:tc>
          <w:tcPr>
            <w:tcW w:w="220" w:type="dxa"/>
            <w:vAlign w:val="bottom"/>
          </w:tcPr>
          <w:p>
            <w:pPr>
              <w:spacing w:after="0"/>
              <w:rPr>
                <w:sz w:val="17"/>
                <w:szCs w:val="17"/>
                <w:color w:val="auto"/>
              </w:rPr>
            </w:pP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193.58</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10"/>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423.89</w:t>
            </w:r>
          </w:p>
        </w:tc>
        <w:tc>
          <w:tcPr>
            <w:tcW w:w="220" w:type="dxa"/>
            <w:vAlign w:val="bottom"/>
          </w:tcPr>
          <w:p>
            <w:pPr>
              <w:spacing w:after="0"/>
              <w:rPr>
                <w:sz w:val="18"/>
                <w:szCs w:val="18"/>
                <w:color w:val="auto"/>
              </w:rPr>
            </w:pP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months ended March 31, 2026 and 2025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8"/>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vMerge w:val="restart"/>
          </w:tcPr>
          <w:p>
            <w:pPr>
              <w:ind w:left="56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11,517</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10,745</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67,903</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64,611</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29,743</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25.1 %</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1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77.3 %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75.9 %</w:t>
            </w:r>
          </w:p>
        </w:tc>
        <w:tc>
          <w:tcPr>
            <w:tcW w:w="10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 pts</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10"/>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ended March 31, 2026 and 2025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8"/>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vMerge w:val="restart"/>
          </w:tcPr>
          <w:p>
            <w:pPr>
              <w:ind w:left="56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8,860</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83,371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23.5 %</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59,566</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58,682</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27,695</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1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65.4 %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73.0 %</w:t>
            </w:r>
          </w:p>
        </w:tc>
        <w:tc>
          <w:tcPr>
            <w:tcW w:w="10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(7.6)pts</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0"/>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months ended March 31, 2026 and 2025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8"/>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20" w:type="dxa"/>
            <w:vAlign w:val="bottom"/>
            <w:vMerge w:val="restart"/>
          </w:tcPr>
          <w:p>
            <w:pPr>
              <w:ind w:left="56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7,431</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6,311</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17.7 %</w:t>
            </w: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68,002</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71,355</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6,225</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113"/>
              <w:spacing w:after="0"/>
              <w:rPr>
                <w:sz w:val="20"/>
                <w:szCs w:val="20"/>
                <w:color w:val="auto"/>
              </w:rPr>
            </w:pPr>
            <w:r>
              <w:rPr>
                <w:rFonts w:ascii="Times New Roman" w:cs="Times New Roman" w:eastAsia="Times New Roman" w:hAnsi="Times New Roman"/>
                <w:sz w:val="1"/>
                <w:szCs w:val="1"/>
                <w:color w:val="auto"/>
                <w:w w:val="4294942296"/>
              </w:rPr>
              <w: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63.0 %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72.4 %</w:t>
            </w:r>
          </w:p>
        </w:tc>
        <w:tc>
          <w:tcPr>
            <w:tcW w:w="10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(9.4)pts</w:t>
            </w:r>
          </w:p>
        </w:tc>
        <w:tc>
          <w:tcPr>
            <w:tcW w:w="0" w:type="dxa"/>
            <w:vAlign w:val="bottom"/>
          </w:tcPr>
          <w:p>
            <w:pPr>
              <w:spacing w:after="0"/>
              <w:rPr>
                <w:sz w:val="1"/>
                <w:szCs w:val="1"/>
                <w:color w:val="auto"/>
              </w:rPr>
            </w:pPr>
          </w:p>
        </w:tc>
      </w:tr>
      <w:tr>
        <w:trPr>
          <w:trHeight w:val="20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02"/>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3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ended March 31, 2026 and 2025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26,354</w:t>
            </w:r>
          </w:p>
        </w:tc>
        <w:tc>
          <w:tcPr>
            <w:tcW w:w="18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25,083</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70,948</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23,350</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57,804</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56,125</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14,823</w:t>
            </w: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72.2 %</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 pts</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258.62</w:t>
            </w:r>
          </w:p>
        </w:tc>
        <w:tc>
          <w:tcPr>
            <w:tcW w:w="180" w:type="dxa"/>
            <w:vAlign w:val="bottom"/>
          </w:tcPr>
          <w:p>
            <w:pPr>
              <w:spacing w:after="0"/>
              <w:rPr>
                <w:sz w:val="17"/>
                <w:szCs w:val="17"/>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257.09</w:t>
            </w:r>
          </w:p>
        </w:tc>
        <w:tc>
          <w:tcPr>
            <w:tcW w:w="2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195.08</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185.68</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10"/>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534.82</w:t>
            </w:r>
          </w:p>
        </w:tc>
        <w:tc>
          <w:tcPr>
            <w:tcW w:w="180" w:type="dxa"/>
            <w:vAlign w:val="bottom"/>
          </w:tcPr>
          <w:p>
            <w:pPr>
              <w:spacing w:after="0"/>
              <w:rPr>
                <w:sz w:val="18"/>
                <w:szCs w:val="18"/>
                <w:color w:val="auto"/>
              </w:rPr>
            </w:pP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525.19</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JW Marriott Hill Country Results</w:t>
      </w:r>
      <w:r>
        <w:rPr>
          <w:rFonts w:ascii="Times New Roman" w:cs="Times New Roman" w:eastAsia="Times New Roman" w:hAnsi="Times New Roman"/>
          <w:sz w:val="18"/>
          <w:szCs w:val="18"/>
          <w:color w:val="auto"/>
        </w:rPr>
        <w:t>. The results of JW Marriott Hill Country for the three months ended March 31,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are as follows (in thousands, except percentages and performance metrics):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43,087</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44,427</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58.6 %</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67.9 %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(9.3)pts</w:t>
            </w:r>
          </w:p>
        </w:tc>
        <w:tc>
          <w:tcPr>
            <w:tcW w:w="0" w:type="dxa"/>
            <w:vAlign w:val="bottom"/>
          </w:tcPr>
          <w:p>
            <w:pPr>
              <w:spacing w:after="0"/>
              <w:rPr>
                <w:sz w:val="1"/>
                <w:szCs w:val="1"/>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321.54</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0"/>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8"/>
          <w:szCs w:val="18"/>
          <w:i w:val="1"/>
          <w:iCs w:val="1"/>
          <w:color w:val="auto"/>
        </w:rPr>
        <w:t>JW Marriott Desert Ridge Results</w:t>
      </w:r>
      <w:r>
        <w:rPr>
          <w:rFonts w:ascii="Times New Roman" w:cs="Times New Roman" w:eastAsia="Times New Roman" w:hAnsi="Times New Roman"/>
          <w:sz w:val="18"/>
          <w:szCs w:val="18"/>
          <w:color w:val="auto"/>
        </w:rPr>
        <w:t>. We purchased JW Marriott Desert Ridge on June 10, 2025. The results of JW Marriott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Desert Ridge for the three months ended March 31, 2026 are as follows (in thousands, except percentages and performance metrics):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7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31,973</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49,613</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24,255</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73.0 %</w:t>
            </w:r>
          </w:p>
        </w:tc>
        <w:tc>
          <w:tcPr>
            <w:tcW w:w="0" w:type="dxa"/>
            <w:vAlign w:val="bottom"/>
          </w:tcPr>
          <w:p>
            <w:pPr>
              <w:spacing w:after="0"/>
              <w:rPr>
                <w:sz w:val="1"/>
                <w:szCs w:val="1"/>
                <w:color w:val="auto"/>
              </w:rPr>
            </w:pPr>
          </w:p>
        </w:tc>
      </w:tr>
      <w:tr>
        <w:trPr>
          <w:trHeight w:val="203"/>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357.42</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187" w:lineRule="exact"/>
        <w:rPr>
          <w:sz w:val="20"/>
          <w:szCs w:val="20"/>
          <w:color w:val="auto"/>
        </w:rPr>
      </w:pPr>
    </w:p>
    <w:p>
      <w:pPr>
        <w:ind w:left="60" w:right="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and 2025 (in thousands, except percentages):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60" w:type="dxa"/>
            <w:vAlign w:val="bottom"/>
            <w:vMerge w:val="restart"/>
          </w:tcPr>
          <w:p>
            <w:pPr>
              <w:ind w:left="58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6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  ​​​ ​​​</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79,183</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18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(69,770)</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344.8 %</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140" w:type="dxa"/>
            <w:vAlign w:val="bottom"/>
            <w:tcBorders>
              <w:bottom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1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79"/>
        <w:spacing w:after="0" w:line="261" w:lineRule="auto"/>
        <w:rPr>
          <w:sz w:val="20"/>
          <w:szCs w:val="20"/>
          <w:color w:val="auto"/>
        </w:rPr>
      </w:pPr>
      <w:r>
        <w:rPr>
          <w:rFonts w:ascii="Times New Roman" w:cs="Times New Roman" w:eastAsia="Times New Roman" w:hAnsi="Times New Roman"/>
          <w:sz w:val="18"/>
          <w:szCs w:val="18"/>
          <w:color w:val="auto"/>
        </w:rPr>
        <w:t>Revenues decreased in our Entertainment segment in the three months ended March 31, 2026, as compared to the 2025 period, primarily due to the prior year period including an increase in produced content related to the Grand Ole Opry’s 100-year celebration, as well as lower revenues at the Grand Ole Opry and Ryman Auditorium related to Winter Storm Fern, which impacted Nashville, Tennessee in January 2026.</w:t>
      </w:r>
    </w:p>
    <w:p>
      <w:pPr>
        <w:spacing w:after="0" w:line="15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Entertainment segment operating expenses decreased in the three months ended March 31, 2026, as compared to the 2025 period, primarily related to a decrease in variable expenses associated with the decrease in revenue.</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remained stable in the three months ended March 31, 2026, as compared to the 2025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200" w:lineRule="exact"/>
        <w:rPr>
          <w:sz w:val="20"/>
          <w:szCs w:val="20"/>
          <w:color w:val="auto"/>
        </w:rPr>
      </w:pPr>
    </w:p>
    <w:p>
      <w:pPr>
        <w:ind w:left="60" w:right="6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2026 and 2025 (in thousands, except percentages):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7"/>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right"/>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  ​​​ ​​​</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tcBorders>
              <w:bottom w:val="single" w:sz="8" w:color="CCEEFF"/>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1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ended March 31, 2026, as compared to the 2025 period, primarily as a result of an increase in employment expenses.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0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Preopening costs during the three months ended March 31, 2026 include costs associated with Category 10 Las Vegas, which is expected to open in late 2026.</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months ended March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2026 and 2025 (in thousands, except percentages):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1360" w:type="dxa"/>
            <w:vAlign w:val="bottom"/>
            <w:vMerge w:val="restart"/>
          </w:tcPr>
          <w:p>
            <w:pPr>
              <w:spacing w:after="0"/>
              <w:rPr>
                <w:sz w:val="10"/>
                <w:szCs w:val="10"/>
                <w:color w:val="auto"/>
              </w:rPr>
            </w:pPr>
          </w:p>
        </w:tc>
        <w:tc>
          <w:tcPr>
            <w:tcW w:w="8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spacing w:after="0"/>
              <w:rPr>
                <w:sz w:val="10"/>
                <w:szCs w:val="10"/>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   ​​​ ​​​</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(64,119)</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1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for the three months ended March 31, 2026 and 2025 (in thousands, except percentages):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   ​​​ ​​​</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RHP Term Loan B</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Senior Notes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OEG Revolver</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0"/>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6.4% for each of the three months ended March 31, 2026 and 2025, respectively.</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2026 and 2025 primarily includes amounts earned on our cash balances, as well as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As a result of the March 2026 redemption of our previous outstanding $700.0 million 4.75% senior notes due 2027, we recognized a loss on extinguishment of debt of $2.2 million in the three months ended March 31, 2026.</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gains and (losses), net for the three months ended March 31, 2026 and 2025 includes miscellaneous items.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we recorded an income tax provision of $6.9 million and $4.2 million, respectively, related to our TRSs. The change in the income tax provision for the 2026 period, as compared to the 2025 period, relates to changes in income at our TRSs.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that we believe are useful to investors as key measures of our operating performance: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7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w:t>
      </w:r>
    </w:p>
    <w:p>
      <w:pPr>
        <w:spacing w:after="0" w:line="15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provides useful information to investors regarding our operating performance and debt leverage metrics.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315" w:lineRule="auto"/>
        <w:rPr>
          <w:sz w:val="20"/>
          <w:szCs w:val="20"/>
          <w:color w:val="auto"/>
        </w:rPr>
      </w:pPr>
      <w:r>
        <w:rPr>
          <w:rFonts w:ascii="Times New Roman" w:cs="Times New Roman" w:eastAsia="Times New Roman" w:hAnsi="Times New Roman"/>
          <w:sz w:val="17"/>
          <w:szCs w:val="17"/>
          <w:color w:val="auto"/>
        </w:rPr>
        <w:t>The following is a reconciliation of our consolidated GAAP net income to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and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for the three months ended March 31, 2026 and 2025 (in thousands):</w:t>
      </w:r>
    </w:p>
    <w:p>
      <w:pPr>
        <w:spacing w:after="0" w:line="14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69,402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63,014</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58,933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48,824</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75,701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63,717</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7"/>
                <w:szCs w:val="17"/>
                <w:color w:val="auto"/>
              </w:rPr>
            </w:pP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210,936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179,715</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2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7"/>
                <w:szCs w:val="17"/>
                <w:color w:val="auto"/>
              </w:rPr>
            </w:pPr>
          </w:p>
        </w:tc>
      </w:tr>
      <w:tr>
        <w:trPr>
          <w:trHeight w:val="196"/>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219,293</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2"/>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w:t>
            </w: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(5,626)</w:t>
            </w:r>
          </w:p>
        </w:tc>
      </w:tr>
      <w:tr>
        <w:trPr>
          <w:trHeight w:val="19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215,136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our consolidated GAAP net income available to common stockholders to FFO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Adjusted FFO for the three months ended March 31, 2026 and 2025 (in thousands):</w:t>
      </w:r>
    </w:p>
    <w:p>
      <w:pPr>
        <w:spacing w:after="0" w:line="21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 in OP Units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tcPr>
          <w:p>
            <w:pPr>
              <w:spacing w:after="0"/>
              <w:rPr>
                <w:sz w:val="18"/>
                <w:szCs w:val="18"/>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63,376</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63,676</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(3,077)</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tax provision</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tcBorders>
              <w:bottom w:val="single" w:sz="8" w:color="CCEEFF"/>
            </w:tcBorders>
          </w:tcPr>
          <w:p>
            <w:pPr>
              <w:spacing w:after="0"/>
              <w:rPr>
                <w:sz w:val="18"/>
                <w:szCs w:val="18"/>
                <w:color w:val="auto"/>
              </w:rPr>
            </w:pPr>
          </w:p>
        </w:tc>
      </w:tr>
      <w:tr>
        <w:trPr>
          <w:trHeight w:val="20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156,078</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operating expenses, interest payments on debt, maintenance capital expenditures, and dividends to stockholders. During the three months ended March 31, 2026, our net cash flows provided by operating activities were $169.2 million, primarily reflecting our net income before depreciation expense, amortization expense and other non-cash charges of $157.9 million and favorable changes in working capital of $11.3 million. The favorable changes in working capital primarily resulted from the receipt of property tax rebates at Gaylord Rockies, an increase in advanced ticket purchases at our OEG venues and advanced room deposits on future hotel stays, and an increase in general accounts payable due to the timing of payments. These favorable changes in working capital were partially offset by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increase in accounts receivable due to a seasonal increase in group business at our hotel properties and the payment of accrued property taxes and accrued compensation.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2025, our net cash flows provided by operating activities were $98.2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reflecting our net income before depreciation expense, amortization expense and other non-cash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$136.0 million, partially offset by unfavorable changes in working capital of $37.8 million. The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primarily resulted from an increase in accounts receivable due to a seasonal increase in group business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hotel properties and a decrease in accounts payable and accrued liabilities primarily related to the payment of accrued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property taxes and interest. These unfavorable changes in working capital were partially offset by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advanced room deposits on future hotel stays and advanced ticket purchases at our OEG venues.</w:t>
      </w:r>
    </w:p>
    <w:p>
      <w:pPr>
        <w:spacing w:after="0" w:line="164"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three months ended March 31, 2026, our primary use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was purchases of property and equipment, which totaled $113.7 million, and consisted primarily of a rooms renovation at Gaylord Texan and the preparation for a rooms renovation at JW Marriott Hill Country; projects at Gaylord Opryland, including a meeting space expansion and the development of a sports bar, pavilion and event lawn; and ongoing maintenance capital expenditures for each of our existing properties.</w:t>
      </w:r>
    </w:p>
    <w:p>
      <w:pPr>
        <w:spacing w:after="0" w:line="14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our primary use of funds for investing activities were purchases of property and equipment, which totaled $112.7 million, and consisted primarily of the renovation of a ballroom and pre-function space and the development of the sports bar, pavilion and event lawn at Gaylord Opryland; the preparation for the rooms renovation at Gaylord Texan; and ongoing maintenance capital expenditures for each of our existing properties.</w:t>
      </w:r>
    </w:p>
    <w:p>
      <w:pPr>
        <w:spacing w:after="0" w:line="151"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Our cash flows from financing activities primarily reflect the incurrence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of long-term debt and the payment of cash distributions. During the three months ended March 31, 2026, our net cash flows used in financing activities were $104.1 million, primarily reflecting the issuance of $700.0 million in senior notes and the redemption of $700.0 million in senior notes, the payment of $77.5 million in cash distributions, and the payment of $19.2 million in deferred financing costs.</w:t>
      </w:r>
    </w:p>
    <w:p>
      <w:pPr>
        <w:spacing w:after="0" w:line="145"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our net cash flows used in financing activities were $82.0 million, primarily reflecting the payment of $70.3 million in cash distributions.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At March 31, 2026, we had $424.0 million in unrestricted cash and $930.0 million available for borrowing in the aggregate under our revolving credit facility and the OEG revolving credit facility. During the three months ended March 31, 2026, we issued $700 million in new senior notes, redeemed $700 million in existing senior notes, incurred capital expenditures of $113.7 million and paid $77.5 million in cash distributions. These changes, partially offset by the cash flows provided by operations discussed above, were the primary factors in the decrease in our cash balance from December 31, 2025 to March 31, 2026.</w:t>
      </w:r>
    </w:p>
    <w:p>
      <w:pPr>
        <w:spacing w:after="0" w:line="14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2026 by spending between approximately $235 million and $335 million in capital expenditures, which includes a meeting space expansion at Gaylord Opryland; rooms renovations at JW Marriott Hill Country and Gaylord Texan; and ongoing maintenance capital for each of our current facilities. At this time, the scope of our multiyear capital program remains unchanged; however, the discrete nature of the projects in the pipeline allows us to take a flexible approach to evolving macroeconomic conditions. Further, our dividend policy provides that we will make minimum dividends of 100% of REIT taxable income annually. Future dividends are subject to our board of directors’ future determinations as to amount and timing. We currently have no debt maturities until July 2028. We believe we will be able to refinance our debt agreements prior to their maturities.</w:t>
      </w:r>
    </w:p>
    <w:p>
      <w:pPr>
        <w:spacing w:after="0" w:line="15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above. Our ability to draw on our credit facility and the OEG revolving credit facility is subject to the satisfaction of provisions of the credit facility and the OEG revolving credit facility, as applicable.</w:t>
      </w:r>
    </w:p>
    <w:p>
      <w:pPr>
        <w:spacing w:after="0" w:line="135"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March 31, 2026, there were no defaults under the covenants related to our outstanding debt.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8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modified pursuant to the First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Second Incremental Agreement and the First Amendment (each as hereinafter defined),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58"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a revolving credit facility (the “Revolver”) in an original aggregate principal amount equal to $700.0 million and as of January 28, 2026 increased to $850.0 million pursuant to Amendment No. 1 to Credit Agreement (the “First Amendment”) and a senior secured term loan B (the “Term Loan B”) (in the original principal amount of $500.0 million, with an outstanding principal amount equal to $289.1 million at March 31, 2026), as well as an accordion feature that will allow us to increase the facilities by an aggregate total of up to $475 million, which may be allocated between the Revolver and the Term Loan B at our option.</w:t>
      </w:r>
    </w:p>
    <w:p>
      <w:pPr>
        <w:spacing w:after="0" w:line="14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Each of the Revolver and the Term Loan B is guaranteed by us, each of our subsidiaries that own the Gaylord Hotels properties, the JW Marriott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4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that, among other things, limit the incurrence of additional indebtedness, investments, dividends, transactions with affiliates, asset sales, acquisitions, mergers and consolidations, liens and encumbrances and other matters customarily restricted in such agreements. Per the First Amendment to the Credit Agreement, the material financial covenants, ratios or tests contained in the Revolver are as follows:</w:t>
      </w:r>
    </w:p>
    <w:p>
      <w:pPr>
        <w:spacing w:after="0" w:line="156"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7.25x.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45% of consolidated total asset value.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60% (with the ability to surge to 65% in connection with a material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of not less than 2.0x.</w:t>
      </w:r>
    </w:p>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3" w:lineRule="exact"/>
        <w:rPr>
          <w:sz w:val="20"/>
          <w:szCs w:val="20"/>
          <w:color w:val="auto"/>
        </w:rPr>
      </w:pPr>
    </w:p>
    <w:p>
      <w:pPr>
        <w:ind w:left="60" w:right="299"/>
        <w:spacing w:after="0" w:line="277"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January 28, 2030, with the option to extend the maturity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for a maximum of one additional year through either (i) a single 12-month extension option or (ii) two individual 6-month extensions. Borrowings under the Revolver bear interest at an annual rate equal to, at our option, either (i) Term SOFR plus the applicable margin ranging from 1.40% to 2.00%, (ii) Daily Simple SOFR plus the applicable margin ranging from 1.40% to 2.00% or (iii) a base rate as set forth in the Credit Agreement plus the applicable margin ranging</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82" w:lineRule="auto"/>
        <w:rPr>
          <w:sz w:val="20"/>
          <w:szCs w:val="20"/>
          <w:color w:val="auto"/>
        </w:rPr>
      </w:pPr>
      <w:r>
        <w:rPr>
          <w:rFonts w:ascii="Times New Roman" w:cs="Times New Roman" w:eastAsia="Times New Roman" w:hAnsi="Times New Roman"/>
          <w:sz w:val="18"/>
          <w:szCs w:val="18"/>
          <w:color w:val="auto"/>
        </w:rPr>
        <w:t>from 0.40% to 1.00%, with each option dependent upon our funded debt to total asset value ratio (as defined in the Credit Agreement). Principal is payable in full at maturity.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Revolver, each of Term SOFR and Daily Simple SOFR are subject to a floor of 0.00%.</w:t>
      </w:r>
    </w:p>
    <w:p>
      <w:pPr>
        <w:spacing w:after="0" w:line="185"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At March 31, 2026, no amounts were outstanding under the Revolver, and there was $850.0 million of availability under the Revolver (subject to the satisfaction of debt incurrence tests under each of the indentures governing each of our senior note issuances discussed below, which we met at March 31, 2026).</w:t>
      </w:r>
    </w:p>
    <w:p>
      <w:pPr>
        <w:spacing w:after="0" w:line="133"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 Loan B. </w:t>
      </w:r>
      <w:r>
        <w:rPr>
          <w:rFonts w:ascii="Times New Roman" w:cs="Times New Roman" w:eastAsia="Times New Roman" w:hAnsi="Times New Roman"/>
          <w:sz w:val="18"/>
          <w:szCs w:val="18"/>
          <w:color w:val="auto"/>
        </w:rPr>
        <w:t>The Term Loan B has a maturity date of May 18, 2030. As of March 31, 2026, the applicable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for borrowings under the Term Loan B is, at our option, either (i) 1.75% for SOFR Loans (as defined in the Credit Agreement) and 0.75% for base rate loans.</w:t>
      </w:r>
    </w:p>
    <w:p>
      <w:pPr>
        <w:spacing w:after="0" w:line="148"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At March 31, 2026, the interest rate on the Term Loan B was Term SOFR plus 1.75%. The annual amortization under the Term Loan B is 1% of the refinanced $293.5 million outstanding principal amount, with the balance due at maturity. At March 31, 2026, $289.1 million in borrowings were outstanding under the Term Loan B.</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183"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$1 Billion 6.50% Senior Notes. </w:t>
      </w:r>
      <w:r>
        <w:rPr>
          <w:rFonts w:ascii="Times New Roman" w:cs="Times New Roman" w:eastAsia="Times New Roman" w:hAnsi="Times New Roman"/>
          <w:sz w:val="17"/>
          <w:szCs w:val="17"/>
          <w:color w:val="auto"/>
        </w:rPr>
        <w:t>On March 28, 2024, the Operating Partnership and Finco (collectively, the “issuing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completed the private placement of $1.0 billion in aggregate principal amount of 6.50% senior notes due 2032 (the “$1 Billion 6.50% Senior Notes”),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6.50% Senior Notes have a maturity date of April 1, 2032 and bear interest at 6.50% per annum, payable semi-annually in cash in arrears on April 1 and October 1 each year. The $1 Billion 6.50% Senior Notes are general unsecured and unsubordinated obligations of the issuing subsidiaries and rank equal in right of payment with such subsidiaries’ existing and future senior unsecured indebtedness, including the $700 Million 5.75% Senior Notes, the $625 Million 6.50%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65"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$700 Million 5.75% Senior Notes. </w:t>
      </w:r>
      <w:r>
        <w:rPr>
          <w:rFonts w:ascii="Times New Roman" w:cs="Times New Roman" w:eastAsia="Times New Roman" w:hAnsi="Times New Roman"/>
          <w:sz w:val="18"/>
          <w:szCs w:val="18"/>
          <w:color w:val="auto"/>
        </w:rPr>
        <w:t>On March 11, 2026,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$700.0 million in aggregate principal amount of senior notes due 2034 (the “$700 Million 5.75% Senior Notes”), which are guaranteed by the Company and its subsidiaries that guarantee the Credit Agreement. The $700 Million 5.75% Senior Notes and guarantees were issued pursuant to an indenture by and among the issuing subsidiaries and the guarantors and U.S. Bank Trust Company, National Association as trustee. The $700 Million 5.75% Senior Notes have a maturity date of March 15, 2034 and bear interest at 5.75% per annum, payable semi-annually in cash in arrears on March 15 and September 15 each year, beginning September 15, 2026. The $700 Million 5.75% Senior Notes are general unsecured and unsubordinated obligations of the issuing subsidiaries and rank equal in right of payment with such subsidiaries’ existing and future senior unsecured indebtedness, including the $1 Billion 6.50% Senior Notes, the $625 Million 6.50% Senior Notes, the $600 Million 4.50% Senior Notes and the $400 Million 7.25% Senior Notes, and senior in right of payment to future subordinated indebtedness, if any. The $700 Million 5.75% Senior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$700 Million 5.75%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$700 Million 5.75% Senior Notes.</w:t>
      </w:r>
    </w:p>
    <w:p>
      <w:pPr>
        <w:spacing w:after="0" w:line="146"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The net proceeds from the issuance of the $700 Million 5.75% Senior Notes totaled approximately $687 million, after deducting the initial purchasers’ discounts, commissions and offering expenses. We used these net proceeds, together with cash on hand, to redeem in full our former $700 million in aggregate principal amount of 4.75% senior notes due 2027.</w:t>
      </w:r>
    </w:p>
    <w:p>
      <w:pPr>
        <w:spacing w:after="0" w:line="117" w:lineRule="exact"/>
        <w:rPr>
          <w:sz w:val="20"/>
          <w:szCs w:val="20"/>
          <w:color w:val="auto"/>
        </w:rPr>
      </w:pPr>
    </w:p>
    <w:p>
      <w:pPr>
        <w:ind w:left="60" w:right="139"/>
        <w:spacing w:after="0" w:line="270" w:lineRule="auto"/>
        <w:rPr>
          <w:sz w:val="20"/>
          <w:szCs w:val="20"/>
          <w:color w:val="auto"/>
        </w:rPr>
      </w:pPr>
      <w:r>
        <w:rPr>
          <w:rFonts w:ascii="Times New Roman" w:cs="Times New Roman" w:eastAsia="Times New Roman" w:hAnsi="Times New Roman"/>
          <w:sz w:val="17"/>
          <w:szCs w:val="17"/>
          <w:color w:val="auto"/>
        </w:rPr>
        <w:t>The $700 Million 5.75% Senior Notes are redeemable before March 15, 2029, in whole or in part, at 100% of the principal amount thereof plus accrued and unpaid interest thereon to, but not including, the redemption date plus a make-whole premium. The $700 Million 5.75% Senior Notes will be redeemable, in whole or in part, at any time on or after March 15, 2029 at a redemption price expressed as a percentage of the principal amount thereof, which percentage is 102.875%,</w:t>
      </w:r>
    </w:p>
    <w:p>
      <w:pPr>
        <w:spacing w:after="0" w:line="3" w:lineRule="exact"/>
        <w:rPr>
          <w:sz w:val="20"/>
          <w:szCs w:val="20"/>
          <w:color w:val="auto"/>
        </w:rPr>
      </w:pP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101.438% and 100.000% beginning on March 15 of 2029, 2030 and 2031, respectively, plus accrued and unpaid interest thereon to, but not including, the redemption date.</w:t>
      </w:r>
    </w:p>
    <w:p>
      <w:pPr>
        <w:spacing w:after="0" w:line="13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$625 Million 6.50% Senior Notes</w:t>
      </w:r>
      <w:r>
        <w:rPr>
          <w:rFonts w:ascii="Times New Roman" w:cs="Times New Roman" w:eastAsia="Times New Roman" w:hAnsi="Times New Roman"/>
          <w:sz w:val="18"/>
          <w:szCs w:val="18"/>
          <w:color w:val="auto"/>
        </w:rPr>
        <w:t>. On June 4, 2025,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$625.0 million in aggregate principal amount of 6.50% senior notes due 2033 (the “$625 Million 6.50% Senior Notes”), which are guaranteed by the Company and its subsidiaries that guarantee the Credit Agreement. The $625 Million 6.50% Senior Notes and guarantees were issued pursuant to an indenture by and among the issuing subsidiaries, the guarantors and U.S. Bank Trust Company, National Association, as trustee. The $625 Million 6.50% Senior Notes have a maturity date of June 15, 2033 and bear interest at 6.50% per annum, payable semi-annually in cash in arrears on June 15 and December 15 each year. The $625 Million 6.50% Senior Notes are general unsecured and unsubordinated obligations of the issuing subsidiaries and rank equal in right of payment with such subsidiaries’ existing and future senior unsecured indebtedness, including the $1 Billion 6.50% Senior Notes, the $700 Million 5.75% Senior Notes, the $600 Million 4.50% Senior Notes and the $400 Million 7.25% Senior Notes, and senior in right of payment to future subordinated indebtedness, if any. The $625 Million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spacing w:after="0" w:line="168"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$625 Million 6.50% Senior Notes totaled approximately $614 million, after deducting the initial purchasers’ discounts, commissions and offering expenses. We used these net proceeds to fund a portion of the purchase price for JW Marriott Desert Ridge.</w:t>
      </w:r>
    </w:p>
    <w:p>
      <w:pPr>
        <w:spacing w:after="0" w:line="135"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The $625 Million 6.50% Senior Notes are redeemable before June 15, 2028, in whole or in part, at 100.00%, plus accrued and unpaid interest thereon to, but not including, the redemption date, plus a make-whole premium. The $625 Million</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6.50% Senior Notes will be redeemable, in whole or in part, at any time on or after June 15, 2028 at a redemption price expressed as a percentage of the principal amount thereof, which percentage is 103.250%, 101.625%, and 100.000% beginning on June 15 of 2028, 2029, and 2030, respectively, plus accrued and unpaid interest thereon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$600 Million 4.50% Senior Notes</w:t>
      </w:r>
      <w:r>
        <w:rPr>
          <w:rFonts w:ascii="Times New Roman" w:cs="Times New Roman" w:eastAsia="Times New Roman" w:hAnsi="Times New Roman"/>
          <w:sz w:val="18"/>
          <w:szCs w:val="18"/>
          <w:color w:val="auto"/>
        </w:rPr>
        <w:t>. In February 2021,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$600.0 million in aggregate principal amount of 4.50% senior notes due 2029 (the “$600 Million 4.50% Senior Notes”),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 February 15, 2029 and bear interest at 4.50% per annum, payable semi-annually in cash in arrears on February 15 and August 15 each year. The $600 Million 4.50% Senior Notes are general unsecured and unsubordinated obligations of the issuing subsidiaries and rank equal in right of payment with such subsidiaries’ existing and future senior unsecured indebtedness, including the $1 Billion 6.50% Senior Notes, the $700 Million 5.75% Senior Notes, the $625 Million 6.50%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68"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The $600 Million 4.50% Senior Notes are currently redeemable, in whole or in part, at a redemption price expressed as a percentage of the principal amount thereof, which percentage is currently 100.750% and will be 100.000% beginning on February 15 of 2027, plus accrued and unpaid interest thereon to, but not including, the redemption date.</w:t>
      </w:r>
    </w:p>
    <w:p>
      <w:pPr>
        <w:spacing w:after="0" w:line="13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i w:val="1"/>
          <w:iCs w:val="1"/>
          <w:color w:val="auto"/>
        </w:rPr>
        <w:t>$400 Million 7.25% Senior Notes</w:t>
      </w:r>
      <w:r>
        <w:rPr>
          <w:rFonts w:ascii="Times New Roman" w:cs="Times New Roman" w:eastAsia="Times New Roman" w:hAnsi="Times New Roman"/>
          <w:sz w:val="18"/>
          <w:szCs w:val="18"/>
          <w:color w:val="auto"/>
        </w:rPr>
        <w:t>. On June 22, 2023,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$400.0 million in aggregate principal amount of 7.25% senior notes due 2028 (the “$400 Million 7.25% Senior Notes”),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 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5.75% Senior Notes, the $625 Million 6.50% Senior Notes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55"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$400 Million 7.25% Senior Notes are currently redeemable, in whole or in part, at a redemption price expressed as a percentage of the principal amount thereof, which percentage is currently 103.625% and will be 101.813% and 100.000% beginning on July 15 of 2026, and 2027, respectively, plus accrued and unpaid interest thereon to, but not including, the redemption date.</w:t>
      </w:r>
    </w:p>
    <w:p>
      <w:pPr>
        <w:spacing w:after="0" w:line="153"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Each of the indentures governing the $1 Billion 6.50% Senior Notes, the $700 Million 5.75% Senior Notes, the $625 Million 6.50%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$700 Million 4.75% Senior Notes</w:t>
      </w:r>
      <w:r>
        <w:rPr>
          <w:rFonts w:ascii="Times New Roman" w:cs="Times New Roman" w:eastAsia="Times New Roman" w:hAnsi="Times New Roman"/>
          <w:sz w:val="18"/>
          <w:szCs w:val="18"/>
          <w:color w:val="auto"/>
        </w:rPr>
        <w:t>. In accordance with the indenture governing the previously outstanding $700.0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4.75% senior notes due 2027 (the “$700 Million 4.75% Senior Notes”), on March 27, 2026, we redeemed in full the $700 Million 4.75% Senior Notes. Accordingly, the $700 Million 4.75% Senior Notes are no longer reflected in the accompanying condensed consolidated balance sheet at March 31, 2026. As a result of this redemption, we recognized a loss on extinguishment of debt of $2.2 million in the three months ended March 31, 2026.</w:t>
      </w:r>
    </w:p>
    <w:p>
      <w:pPr>
        <w:spacing w:after="0" w:line="15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(as amended, the “2024 OEG Credit Agreement”).</w:t>
      </w:r>
    </w:p>
    <w:p>
      <w:pPr>
        <w:spacing w:after="0" w:line="185"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The 2024 OEG Credit Agreement provides for (i) a senior secured term loan facility in the aggregate amount of $300.0 million (the “2024 OEG Term Loan”) and (ii) a senior secured revolving credit facility in an aggregate principal amount not to exceed $80.0 million (the “OEG Revolver”).</w:t>
      </w:r>
    </w:p>
    <w:p>
      <w:pPr>
        <w:spacing w:after="0" w:line="13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April 28, 2025, OEG Borrower and OEG Finance entered into a Second Amendment, which amended the 2024 OEG Credit Agreement (as amended, the “OEG Credit Agreement”) in which OEG Borrower obtained an incremental term loan in an aggregate principal amount equal to $130.0 million (the “Incremental OEG Loan”) on the same terms as the 2024 OEG Term Loan. The net proceeds of the Incremental OEG Loan, together with cash on hand, were used to defease a previously outstanding $127.9 million non-recourse term loan secured by a mortgage on Block 21 in full. The OEG Credit Agreement provides for (i) a senior secured term loan facility in an aggregate principal amount equal to $428.5 million (the “OEG Term Loan”) and (ii) the OEG Revolver. The Incremental OEG Loan did not change any applicable interest rates or maturity dates of any indebtedness under the 2024 OEG Credit Agreement. In addition, the terms of the Incremental OEG Loan confirm that the annual amortization under the 2024 OEG Term Loan is approximately 1% of the refinanced $428.5 million outstanding principal amount, with the balance due at maturity.</w:t>
      </w:r>
    </w:p>
    <w:p>
      <w:pPr>
        <w:spacing w:after="0" w:line="154"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At March 31, 2026, $424.2 million was outstanding under the OEG Term Loan, and there were no amounts outstanding under the OEG Revolver.</w:t>
      </w:r>
    </w:p>
    <w:p>
      <w:pPr>
        <w:spacing w:after="0" w:line="135"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The OEG Term Loan and the OEG Revolver are each secured by substantially all of the assets of OEG Finance and each of its subsidiaries. The OEG Term Loan bears interest at a rate equal to either, at OEG Borrower’s election, as of the closing contemplated by the OEG Credit Agreement: (a) the Alternate Base Rate plus 2.50% or (b) Adjusted Term SOFR plus</w:t>
      </w:r>
    </w:p>
    <w:p>
      <w:pPr>
        <w:spacing w:after="0" w:line="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3.50% (all as more specifically described in the OEG Credit Agreement). In November 2022, OEG entered into an interest rate swap to fix the SOFR portion of the interest rate on $100.0 million of borrowings at 4.533% through December 2025. In August 2025, OEG entered into an interest rate swap to fix the SOFR portion of the interest rate on $100.0 million of borrowings at 3.214% from December 2025 through December 2028. In September 2025, OEG entered into an additional interest rate swap to fix the SOFR portion of the interest rate on $125.0 million of borrowings at 3.17% through December 2028.</w:t>
      </w:r>
    </w:p>
    <w:p>
      <w:pPr>
        <w:spacing w:after="0" w:line="14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Borrowings under the OEG Revolver bear interest at a rate equal to either, at OEG Borrower’s election, as of the closing contemplated by the OEG Credit Agreement: (a) the Alternate Base Rate plus the Applicable Rate (as defined in the OEG Credit Agreement) or (b) Adjusted Term SOFR plus the Applicable Rate. Under the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OEG Credit Agreement).</w:t>
      </w:r>
    </w:p>
    <w:p>
      <w:pPr>
        <w:spacing w:after="0" w:line="147"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The Applicable Rate for borrowings under the OEG Revolver as of March 31, 2026 is 2.50% for Alternative Base Rate Loans and 3.50% for Adjusted Term SOFR loans. The Applicable Rate for borrowings under the OEG Term Loan as of March 31, 2026 is 2.50% for Alternative Base Rate Loans and 3.50% for Adjusted Term SOFR loans.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March 31, 2026 for our variable-rate debt after considering interest rate swaps, our estimated interest obligations through 2030 are $993.1 million. These estimated obligations are $185.1 million for the remainder of 2026, $246.4 million in 2027, $232.6 million in 2028, $177.5 million in 2029, and $151.5 million in 2030.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2025 for a discussion of the interest we paid during 2025, 2024 and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ADR and outside-the-room spend in our Hospitality segment and business levels in our Entertainment segment in recent periods have reduced the impact of increased operating costs on our financial position and results of operations.</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debt than in historical periods. In an effort to mitigate the impact of increased interest rates, at March 31, 2026, 88% of our outstanding debt is fixed-rate debt, after considering the impact of interest rate swaps.</w:t>
      </w:r>
    </w:p>
    <w:p>
      <w:pPr>
        <w:spacing w:after="0" w:line="14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 prolonged inflationary environment could adversely affect our operating costs, customer spending and bookings, and our financial results.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$1 Billion 6.50% Senior Notes, $700 Million 5.75% Senior Notes, $625 Million 6.50% Senior Notes, $600 Million 4.50% Senior Notes and $400 Million 7.25% Senior Notes were each issued by the Operating Partnership and Finco (collectively, the “Issuers”), and are guaranteed on a senior unsecured basis by the Company (as the parent company), each of the Operating Partnership’s subsidiaries that own the Gaylord Hotels properties, the JW Marriott properties and certain other of the Company’s subsidiaries, each of which also guarantees the Credit Agreement, as amended (such subsidiary guarantors, together with the Company, the “Guarantors”). The Guarantors are 100% owned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15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3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3,881,446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3,881,446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4,036,980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16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third-parties</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2025. There were no newly identified critical accounting policies in the first three months of 2026, nor were there any material changes to the critical accounting policies and estimates discussed in our Annual Report on Form 10-K for the year ended December 31, 2025.</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2025. For a discussion of the Company’s exposure to market risk, refer to the Company’s market risk disclosures set forth in Part II, Item 7A, “Quantitative and Qualitative Disclosures About Market Risk” of the Company’s Annual Report on Form 10-K for the year ended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54"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11,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Annual Report on Form 10-K for the year ended December 31, 2025.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officers (as defined in Rule 16a-1(f) of the Exchange Act) adopted or terminated a “Rule 10b5-1 trading arrangement” or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1"/>
          </w:tcPr>
          <w:p>
            <w:pPr>
              <w:ind w:left="30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1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(incorporated by reference to Exhibit 3.1 to the Company’s Current Report on Form 8-K filed</w:t>
              </w:r>
            </w:hyperlink>
          </w:p>
        </w:tc>
        <w:tc>
          <w:tcPr>
            <w:tcW w:w="68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October 1, 2012).</w:t>
              </w:r>
            </w:hyperlink>
          </w:p>
        </w:tc>
        <w:tc>
          <w:tcPr>
            <w:tcW w:w="6160" w:type="dxa"/>
            <w:vAlign w:val="bottom"/>
            <w:gridSpan w:val="22"/>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68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gridSpan w:val="4"/>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6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Indenture, dated as of March 11, 2026, among RHP Hotel Properties, LP and RHP Finance</w:t>
              </w:r>
            </w:hyperlink>
          </w:p>
        </w:tc>
        <w:tc>
          <w:tcPr>
            <w:tcW w:w="880" w:type="dxa"/>
            <w:vAlign w:val="bottom"/>
            <w:gridSpan w:val="1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5"/>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Corporation, as the issuers, Ryman Hospitality Properties, Inc., as a guarantor, each of the other</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guarantors named therein and U.S. Bank Trust Company, National Association, as trustee</w:t>
              </w:r>
            </w:hyperlink>
          </w:p>
        </w:tc>
        <w:tc>
          <w:tcPr>
            <w:tcW w:w="420" w:type="dxa"/>
            <w:vAlign w:val="bottom"/>
            <w:tcBorders>
              <w:top w:val="single" w:sz="8" w:color="0000EE"/>
            </w:tcBorders>
            <w:gridSpan w:val="7"/>
          </w:tcPr>
          <w:p>
            <w:pPr>
              <w:spacing w:after="0"/>
              <w:rPr>
                <w:sz w:val="17"/>
                <w:szCs w:val="17"/>
                <w:color w:val="auto"/>
              </w:rPr>
            </w:pPr>
          </w:p>
        </w:tc>
        <w:tc>
          <w:tcPr>
            <w:tcW w:w="56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5"/>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(incorporated by reference to Exhibit 4.1 to the Company’s Current Report on Form 8-K filed March</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5">
              <w:r>
                <w:rPr>
                  <w:rFonts w:ascii="Times New Roman" w:cs="Times New Roman" w:eastAsia="Times New Roman" w:hAnsi="Times New Roman"/>
                  <w:sz w:val="18"/>
                  <w:szCs w:val="18"/>
                  <w:color w:val="0000EE"/>
                  <w:w w:val="97"/>
                </w:rPr>
                <w:t>11, 2026).</w:t>
              </w:r>
            </w:hyperlink>
          </w:p>
        </w:tc>
        <w:tc>
          <w:tcPr>
            <w:tcW w:w="5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7440" w:type="dxa"/>
            <w:vAlign w:val="bottom"/>
            <w:gridSpan w:val="25"/>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5.750% Senior Note due 2034 (incorporated by reference to Exhibit 4.2 to the Company’s</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Current Report on Form 8-K filed March 11, 2026).</w:t>
              </w:r>
            </w:hyperlink>
          </w:p>
        </w:tc>
        <w:tc>
          <w:tcPr>
            <w:tcW w:w="3360" w:type="dxa"/>
            <w:vAlign w:val="bottom"/>
            <w:tcBorders>
              <w:top w:val="single" w:sz="8" w:color="0000EE"/>
            </w:tcBorders>
            <w:gridSpan w:val="17"/>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0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Amendment No. 1 to Credit Agreement, dated as of January 28, 2026, among Ryman Hospitality</w:t>
              </w:r>
            </w:hyperlink>
          </w:p>
        </w:tc>
        <w:tc>
          <w:tcPr>
            <w:tcW w:w="44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Properties, Inc., as guarantor, RHP Hotel Properties, LP, as borrower, certain other subsidiaries of</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Ryman Hospitality Properties, Inc. party thereto, as guarantors, certain subsidiaries of Ryman</w:t>
              </w:r>
            </w:hyperlink>
          </w:p>
        </w:tc>
        <w:tc>
          <w:tcPr>
            <w:tcW w:w="280" w:type="dxa"/>
            <w:vAlign w:val="bottom"/>
            <w:tcBorders>
              <w:top w:val="single" w:sz="8" w:color="0000EE"/>
            </w:tcBorders>
            <w:gridSpan w:val="7"/>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Hospitality Properties, Inc. party thereto, as pledgors, the lenders party thereto and Wells Fargo Bank</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National Association, as administrative agent (incorporated by reference to Exhibit 10.1 to the</w:t>
              </w:r>
            </w:hyperlink>
          </w:p>
        </w:tc>
        <w:tc>
          <w:tcPr>
            <w:tcW w:w="480" w:type="dxa"/>
            <w:vAlign w:val="bottom"/>
            <w:tcBorders>
              <w:top w:val="single" w:sz="8" w:color="0000EE"/>
            </w:tcBorders>
            <w:gridSpan w:val="9"/>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Company’s Current Report on Form 8-K filed January 28, 2026).</w:t>
              </w:r>
            </w:hyperlink>
          </w:p>
        </w:tc>
        <w:tc>
          <w:tcPr>
            <w:tcW w:w="2740" w:type="dxa"/>
            <w:vAlign w:val="bottom"/>
            <w:gridSpan w:val="18"/>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3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Parent and Subsidiary Guarantors.</w:t>
            </w:r>
          </w:p>
        </w:tc>
        <w:tc>
          <w:tcPr>
            <w:tcW w:w="4440" w:type="dxa"/>
            <w:vAlign w:val="bottom"/>
            <w:gridSpan w:val="21"/>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6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1020" w:type="dxa"/>
            <w:vAlign w:val="bottom"/>
            <w:gridSpan w:val="17"/>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66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800" w:type="dxa"/>
            <w:vAlign w:val="bottom"/>
            <w:gridSpan w:val="13"/>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74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40" w:type="dxa"/>
            <w:vAlign w:val="bottom"/>
            <w:gridSpan w:val="7"/>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6"/>
            <w:shd w:val="clear" w:color="auto" w:fill="0000EE"/>
          </w:tcPr>
          <w:p>
            <w:pPr>
              <w:spacing w:after="0" w:line="20" w:lineRule="exact"/>
              <w:rPr>
                <w:sz w:val="1"/>
                <w:szCs w:val="1"/>
                <w:color w:val="auto"/>
              </w:rPr>
            </w:pPr>
          </w:p>
        </w:tc>
        <w:tc>
          <w:tcPr>
            <w:tcW w:w="2780" w:type="dxa"/>
            <w:vAlign w:val="bottom"/>
            <w:gridSpan w:val="19"/>
          </w:tcPr>
          <w:p>
            <w:pPr>
              <w:spacing w:after="0" w:line="20" w:lineRule="exact"/>
              <w:rPr>
                <w:sz w:val="1"/>
                <w:szCs w:val="1"/>
                <w:color w:val="auto"/>
              </w:rPr>
            </w:pPr>
          </w:p>
        </w:tc>
      </w:tr>
      <w:tr>
        <w:trPr>
          <w:trHeight w:val="218"/>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quarterly period ended March 31, 2026, formatted in Inline XBRL (eXtensible Business Reporting</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Language): (i) Condensed Consolidated Balance Sheets (unaudited) at March 31, 2026 and December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31, 2025, (ii) Condensed Consolidated Statements of Operations and Comprehensive Income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(unaudited) for the three months ended March 31, 2026 and 2025, (iii) Condensed Consolidated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Statements of Cash Flows (unaudited) for the three months ended March 31, 2026 and 2025, (iv)</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Condensed Consolidated Statements of Equity and Noncontrolling Interest (unaudited) for the three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months ended March 31, 2026 and 2025, and (v) Notes To Condensed Consolidated Financial</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Statements (unaudited).</w:t>
            </w:r>
          </w:p>
        </w:tc>
      </w:tr>
      <w:tr>
        <w:trPr>
          <w:trHeight w:val="234"/>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4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380" w:right="299" w:hanging="330"/>
        <w:spacing w:after="0" w:line="255"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Item 601(a)(5) of Regulation S-K, certain schedules and exhibits to this exhibit are omitted from this filing. The Company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4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4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4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4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4440" w:type="dxa"/>
            <w:vAlign w:val="bottom"/>
          </w:tcPr>
          <w:p>
            <w:pPr>
              <w:spacing w:after="0"/>
              <w:rPr>
                <w:sz w:val="24"/>
                <w:szCs w:val="24"/>
                <w:color w:val="auto"/>
              </w:rPr>
            </w:pPr>
          </w:p>
        </w:tc>
        <w:tc>
          <w:tcPr>
            <w:tcW w:w="4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4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4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4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Parent and Subsidiary Guarantors</w:t>
      </w:r>
    </w:p>
    <w:p>
      <w:pPr>
        <w:spacing w:after="0" w:line="305" w:lineRule="exact"/>
        <w:rPr>
          <w:sz w:val="20"/>
          <w:szCs w:val="20"/>
          <w:color w:val="auto"/>
        </w:rPr>
      </w:pPr>
    </w:p>
    <w:p>
      <w:pPr>
        <w:ind w:left="200" w:right="399"/>
        <w:spacing w:after="0" w:line="276" w:lineRule="auto"/>
        <w:rPr>
          <w:sz w:val="20"/>
          <w:szCs w:val="20"/>
          <w:color w:val="auto"/>
        </w:rPr>
      </w:pPr>
      <w:r>
        <w:rPr>
          <w:rFonts w:ascii="Times New Roman" w:cs="Times New Roman" w:eastAsia="Times New Roman" w:hAnsi="Times New Roman"/>
          <w:sz w:val="21"/>
          <w:szCs w:val="21"/>
          <w:color w:val="auto"/>
        </w:rPr>
        <w:t>Ryman Hospitality Properties, Inc., a Delaware corporation (the “Company”), as the parent company, serves as guarantor, and each of the below listed subsidiaries of the Company serves as an issuer or guarantor, as applicable, for the Company’s (i) 7.25% Senior Notes due 2028, (ii)</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4.50% Senior Notes due 2029, (iii) 6.50% Senior Notes due 2032, (iv) 6.50% Senior Notes due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2033, and (v) 5.75% Senior Notes due 2034.</w:t>
      </w: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Exact Name of Subsidiary</w:t>
            </w:r>
          </w:p>
        </w:tc>
        <w:tc>
          <w:tcPr>
            <w:tcW w:w="48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Jurisdiction of Organization</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Type of Obligor</w:t>
            </w:r>
          </w:p>
        </w:tc>
      </w:tr>
      <w:tr>
        <w:trPr>
          <w:trHeight w:val="290"/>
        </w:trPr>
        <w:tc>
          <w:tcPr>
            <w:tcW w:w="80" w:type="dxa"/>
            <w:vAlign w:val="bottom"/>
          </w:tcPr>
          <w:p>
            <w:pPr>
              <w:spacing w:after="0"/>
              <w:rPr>
                <w:sz w:val="24"/>
                <w:szCs w:val="24"/>
                <w:color w:val="auto"/>
              </w:rPr>
            </w:pPr>
          </w:p>
        </w:tc>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RHP Hotel Properties, LP</w:t>
            </w:r>
          </w:p>
        </w:tc>
        <w:tc>
          <w:tcPr>
            <w:tcW w:w="480" w:type="dxa"/>
            <w:vAlign w:val="bottom"/>
          </w:tcPr>
          <w:p>
            <w:pPr>
              <w:spacing w:after="0"/>
              <w:rPr>
                <w:sz w:val="24"/>
                <w:szCs w:val="24"/>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Delaware</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Issuer</w:t>
            </w:r>
          </w:p>
        </w:tc>
        <w:tc>
          <w:tcPr>
            <w:tcW w:w="68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Finance Corporation</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Issuer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Opryland Hospitality,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Tennessee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Hotels,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Partner,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AR,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GP, LP</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Florida</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LP</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NH,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Maryland</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SA,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RHPAHP,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Aurora Convention Center</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Hotel Investors, LLC</w:t>
            </w: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1"/>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Aurora Convention Center</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Hotel, LLC</w:t>
            </w: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19"/>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 2026</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4720" w:type="dxa"/>
            <w:vAlign w:val="bottom"/>
          </w:tcPr>
          <w:p>
            <w:pPr>
              <w:spacing w:after="0"/>
              <w:rPr>
                <w:sz w:val="16"/>
                <w:szCs w:val="16"/>
                <w:color w:val="auto"/>
              </w:rPr>
            </w:pP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1, 2026</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Jennifer Hutcheson</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c>
          <w:tcPr>
            <w:tcW w:w="5220" w:type="dxa"/>
            <w:vAlign w:val="bottom"/>
          </w:tcPr>
          <w:p>
            <w:pPr>
              <w:spacing w:after="0"/>
              <w:rPr>
                <w:sz w:val="16"/>
                <w:szCs w:val="16"/>
                <w:color w:val="auto"/>
              </w:rPr>
            </w:pPr>
          </w:p>
        </w:tc>
      </w:tr>
      <w:tr>
        <w:trPr>
          <w:trHeight w:val="216"/>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680" w:type="dxa"/>
            <w:vAlign w:val="bottom"/>
          </w:tcPr>
          <w:p>
            <w:pPr>
              <w:spacing w:after="0"/>
              <w:rPr>
                <w:sz w:val="20"/>
                <w:szCs w:val="20"/>
                <w:color w:val="auto"/>
              </w:rPr>
            </w:pP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March 31, 2026,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1, 2026</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right="3140"/>
        <w:spacing w:after="0" w:line="260" w:lineRule="auto"/>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 May 1, 2026</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lowerRoman"/>
      <w:start w:val="7"/>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upperLetter"/>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53" Type="http://schemas.openxmlformats.org/officeDocument/2006/relationships/hyperlink" Target="http://www.sec.gov/Archives/edgar/data/1040829/000119312512410191/d419132dex31.htm" TargetMode="External"/><Relationship Id="rId54" Type="http://schemas.openxmlformats.org/officeDocument/2006/relationships/hyperlink" Target="https://www.sec.gov/Archives/edgar/data/1040829/000155837023002012/rhp-20221231xex3d2.htm" TargetMode="External"/><Relationship Id="rId55" Type="http://schemas.openxmlformats.org/officeDocument/2006/relationships/hyperlink" Target="https://www.sec.gov/Archives/edgar/data/1040829/000114036126009036/ef20067623_ex4-1.htm" TargetMode="External"/><Relationship Id="rId56" Type="http://schemas.openxmlformats.org/officeDocument/2006/relationships/hyperlink" Target="https://www.sec.gov/Archives/edgar/data/1040829/000114036126009036/ef20067623_ex4-1.htm#EXHIBITA" TargetMode="External"/><Relationship Id="rId57" Type="http://schemas.openxmlformats.org/officeDocument/2006/relationships/hyperlink" Target="https://www.sec.gov/Archives/edgar/data/1040829/000110465926007488/tm26423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2026-05-01T11:42:42Z</dcterms:created>
  <dcterms:modified xsi:type="dcterms:W3CDTF">2026-05-01T11:42:42Z</dcterms:modified>
</cp:coreProperties>
</file>