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1-13079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RYMAN HOSPITALITY PROPERTIES,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520"/>
        <w:spacing w:after="0"/>
        <w:tabs>
          <w:tab w:leader="none" w:pos="820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73-0664379</w:t>
      </w:r>
    </w:p>
    <w:p>
      <w:pPr>
        <w:spacing w:after="0" w:line="8" w:lineRule="exact"/>
        <w:rPr>
          <w:sz w:val="24"/>
          <w:szCs w:val="24"/>
          <w:color w:val="auto"/>
        </w:rPr>
      </w:pPr>
    </w:p>
    <w:p>
      <w:pPr>
        <w:ind w:left="1960"/>
        <w:spacing w:after="0"/>
        <w:tabs>
          <w:tab w:leader="none" w:pos="812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920"/>
        <w:spacing w:after="0"/>
        <w:tabs>
          <w:tab w:leader="none" w:pos="80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Gaylord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Nashville, Tennessee 37214</w:t>
      </w:r>
    </w:p>
    <w:p>
      <w:pPr>
        <w:jc w:val="center"/>
        <w:spacing w:after="0" w:line="225"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316-6000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7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560" w:type="dxa"/>
            <w:vAlign w:val="bottom"/>
          </w:tcPr>
          <w:p>
            <w:pPr>
              <w:ind w:left="33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7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560" w:type="dxa"/>
            <w:vAlign w:val="bottom"/>
          </w:tcPr>
          <w:p>
            <w:pPr>
              <w:ind w:left="33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560" w:type="dxa"/>
            <w:vAlign w:val="bottom"/>
          </w:tcPr>
          <w:p>
            <w:pPr>
              <w:ind w:left="33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300" w:hanging="292"/>
        <w:spacing w:after="0" w:line="207" w:lineRule="exact"/>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44" w:lineRule="exact"/>
        <w:rPr>
          <w:sz w:val="24"/>
          <w:szCs w:val="24"/>
          <w:color w:val="auto"/>
        </w:rPr>
      </w:pPr>
    </w:p>
    <w:p>
      <w:pPr>
        <w:ind w:left="1840"/>
        <w:spacing w:after="0"/>
        <w:tabs>
          <w:tab w:leader="none" w:pos="7640" w:val="left"/>
        </w:tabs>
        <w:rPr>
          <w:sz w:val="20"/>
          <w:szCs w:val="20"/>
          <w:color w:val="auto"/>
        </w:rPr>
      </w:pPr>
      <w:r>
        <w:rPr>
          <w:rFonts w:ascii="Arial" w:cs="Arial" w:eastAsia="Arial" w:hAnsi="Arial"/>
          <w:sz w:val="14"/>
          <w:szCs w:val="14"/>
          <w:b w:val="1"/>
          <w:bCs w:val="1"/>
          <w:u w:val="single" w:color="auto"/>
          <w:color w:val="auto"/>
        </w:rPr>
        <w:t>Class</w:t>
      </w:r>
      <w:r>
        <w:rPr>
          <w:sz w:val="20"/>
          <w:szCs w:val="20"/>
          <w:color w:val="auto"/>
        </w:rPr>
        <w:tab/>
      </w:r>
      <w:r>
        <w:rPr>
          <w:rFonts w:ascii="Arial" w:cs="Arial" w:eastAsia="Arial" w:hAnsi="Arial"/>
          <w:sz w:val="14"/>
          <w:szCs w:val="14"/>
          <w:b w:val="1"/>
          <w:bCs w:val="1"/>
          <w:u w:val="single" w:color="auto"/>
          <w:color w:val="auto"/>
        </w:rPr>
        <w:t>Outstanding as of July 31, 2018</w:t>
      </w:r>
    </w:p>
    <w:p>
      <w:pPr>
        <w:sectPr>
          <w:pgSz w:w="11900" w:h="16838" w:orient="portrait"/>
          <w:cols w:equalWidth="0" w:num="1">
            <w:col w:w="11420"/>
          </w:cols>
          <w:pgMar w:left="240" w:top="230" w:right="239" w:bottom="0" w:gutter="0" w:footer="0" w:header="0"/>
        </w:sectPr>
      </w:pPr>
    </w:p>
    <w:p>
      <w:pPr>
        <w:spacing w:after="0" w:line="25" w:lineRule="exact"/>
        <w:rPr>
          <w:sz w:val="24"/>
          <w:szCs w:val="24"/>
          <w:color w:val="auto"/>
        </w:rPr>
      </w:pPr>
    </w:p>
    <w:p>
      <w:pPr>
        <w:ind w:left="1840"/>
        <w:spacing w:after="0"/>
        <w:tabs>
          <w:tab w:leader="none" w:pos="7960" w:val="left"/>
        </w:tabs>
        <w:rPr>
          <w:sz w:val="20"/>
          <w:szCs w:val="20"/>
          <w:color w:val="auto"/>
        </w:rPr>
      </w:pPr>
      <w:r>
        <w:rPr>
          <w:rFonts w:ascii="Arial" w:cs="Arial" w:eastAsia="Arial" w:hAnsi="Arial"/>
          <w:sz w:val="18"/>
          <w:szCs w:val="18"/>
          <w:color w:val="auto"/>
        </w:rPr>
        <w:t>Common Stock, par value $.01</w:t>
      </w:r>
      <w:r>
        <w:rPr>
          <w:sz w:val="20"/>
          <w:szCs w:val="20"/>
          <w:color w:val="auto"/>
        </w:rPr>
        <w:tab/>
      </w:r>
      <w:r>
        <w:rPr>
          <w:rFonts w:ascii="Arial" w:cs="Arial" w:eastAsia="Arial" w:hAnsi="Arial"/>
          <w:sz w:val="15"/>
          <w:szCs w:val="15"/>
          <w:color w:val="auto"/>
        </w:rPr>
        <w:t>51,322,460 shares</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tabs>
          <w:tab w:leader="none" w:pos="79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RYMAN HOSPITALITY PROPERTIES,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 Ended June 30, 2018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2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60" w:type="dxa"/>
            <w:vAlign w:val="bottom"/>
            <w:gridSpan w:val="2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21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w:t>
              </w:r>
            </w:hyperlink>
          </w:p>
        </w:tc>
        <w:tc>
          <w:tcPr>
            <w:tcW w:w="8580" w:type="dxa"/>
            <w:vAlign w:val="bottom"/>
            <w:gridSpan w:val="11"/>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 — June 30, 2018 and December 31, 2017</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Operations and Comprehensive Income (Unaudited) — For the Three Months and Six Months</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June 30, 2018 and 2017</w:t>
              </w:r>
            </w:hyperlink>
          </w:p>
        </w:tc>
        <w:tc>
          <w:tcPr>
            <w:tcW w:w="6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2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 For the Six Months Ended June 30, 2018 and 2017</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540" w:type="dxa"/>
            <w:vAlign w:val="bottom"/>
            <w:tcBorders>
              <w:top w:val="single" w:sz="8" w:color="0000EE"/>
            </w:tcBorders>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7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49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6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4. Controls and Procedures.</w:t>
              </w:r>
            </w:hyperlink>
          </w:p>
        </w:tc>
        <w:tc>
          <w:tcPr>
            <w:tcW w:w="83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11060" w:type="dxa"/>
            <w:vAlign w:val="bottom"/>
            <w:gridSpan w:val="2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Part II - Other Information</w:t>
              </w:r>
            </w:hyperlink>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 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940" w:type="dxa"/>
            <w:vAlign w:val="bottom"/>
            <w:tcBorders>
              <w:top w:val="single" w:sz="8" w:color="0000EE"/>
            </w:tcBorders>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1A. Risk Factors.</w:t>
              </w:r>
            </w:hyperlink>
          </w:p>
        </w:tc>
        <w:tc>
          <w:tcPr>
            <w:tcW w:w="876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9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2. Unregistered Sales of Equity Securities and Use of Proceeds.</w:t>
              </w:r>
            </w:hyperlink>
          </w:p>
        </w:tc>
        <w:tc>
          <w:tcPr>
            <w:tcW w:w="574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9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Item 3. Defaults Upon Senior Securities.</w:t>
              </w:r>
            </w:hyperlink>
          </w:p>
        </w:tc>
        <w:tc>
          <w:tcPr>
            <w:tcW w:w="77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Item 4. Mine Safety Disclosures.</w:t>
              </w:r>
            </w:hyperlink>
          </w:p>
        </w:tc>
        <w:tc>
          <w:tcPr>
            <w:tcW w:w="83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70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5.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920" w:type="dxa"/>
            <w:vAlign w:val="bottom"/>
            <w:tcBorders>
              <w:top w:val="single" w:sz="8" w:color="0000EE"/>
            </w:tcBorders>
            <w:gridSpan w:val="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6. Exhibits.</w:t>
              </w:r>
            </w:hyperlink>
          </w:p>
        </w:tc>
        <w:tc>
          <w:tcPr>
            <w:tcW w:w="878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500" w:type="dxa"/>
            <w:vAlign w:val="bottom"/>
            <w:gridSpan w:val="1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gridSpan w:val="4"/>
          </w:tcPr>
          <w:p>
            <w:pPr>
              <w:spacing w:after="0"/>
              <w:rPr>
                <w:sz w:val="24"/>
                <w:szCs w:val="24"/>
                <w:color w:val="auto"/>
              </w:rPr>
            </w:pPr>
          </w:p>
        </w:tc>
        <w:tc>
          <w:tcPr>
            <w:tcW w:w="6320" w:type="dxa"/>
            <w:vAlign w:val="bottom"/>
            <w:gridSpan w:val="14"/>
          </w:tcPr>
          <w:p>
            <w:pPr>
              <w:jc w:val="right"/>
              <w:ind w:right="16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9320" w:type="dxa"/>
            <w:vAlign w:val="bottom"/>
          </w:tcPr>
          <w:p>
            <w:pPr>
              <w:spacing w:after="0"/>
              <w:rPr>
                <w:sz w:val="14"/>
                <w:szCs w:val="14"/>
                <w:color w:val="auto"/>
              </w:rPr>
            </w:pPr>
          </w:p>
        </w:tc>
        <w:tc>
          <w:tcPr>
            <w:tcW w:w="84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96"/>
        </w:trPr>
        <w:tc>
          <w:tcPr>
            <w:tcW w:w="9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Property and equipment, net of accumulated depreciation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$2,121,165</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$ 2,065,657</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equivalents—unrestricted</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61,779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57,557</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Cash and cash equivalents—restricted</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32,181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21,153</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113,789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111,423</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Investment in Gaylord Rockies joint venture</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88,993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88,685</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receivables, less allowance of $762 and $651, respectively</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79,694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57,520</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Deferred income tax assets, net</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43,056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50,117</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66,645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72,116</w:t>
            </w:r>
          </w:p>
        </w:tc>
      </w:tr>
      <w:tr>
        <w:trPr>
          <w:trHeight w:val="223"/>
        </w:trPr>
        <w:tc>
          <w:tcPr>
            <w:tcW w:w="932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2,607,302</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$ 2,524,228</w:t>
            </w:r>
          </w:p>
        </w:tc>
        <w:tc>
          <w:tcPr>
            <w:tcW w:w="10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Debt and capital lease obligations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0"/>
              </w:rPr>
              <w:t>$1,674,792</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$ 1,591,392</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176,145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179,649</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44,552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42,129</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management rights proceeds</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175,541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177,057</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162,578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155,845</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Preferred stock, $.01 par value, 100,000 shares authorized, no shares issued or outstanding</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320" w:type="dxa"/>
            <w:vAlign w:val="bottom"/>
          </w:tcPr>
          <w:p>
            <w:pPr>
              <w:ind w:left="720"/>
              <w:spacing w:after="0" w:line="201" w:lineRule="exact"/>
              <w:rPr>
                <w:sz w:val="20"/>
                <w:szCs w:val="20"/>
                <w:color w:val="auto"/>
              </w:rPr>
            </w:pPr>
            <w:r>
              <w:rPr>
                <w:rFonts w:ascii="Arial" w:cs="Arial" w:eastAsia="Arial" w:hAnsi="Arial"/>
                <w:sz w:val="18"/>
                <w:szCs w:val="18"/>
                <w:color w:val="auto"/>
                <w:w w:val="97"/>
              </w:rPr>
              <w:t>Common stock, $.01 par value, 400,000 shares authorized, 51,322 and 51,198 shares issued and outstanding,</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320" w:type="dxa"/>
            <w:vAlign w:val="bottom"/>
          </w:tcPr>
          <w:p>
            <w:pPr>
              <w:ind w:left="900"/>
              <w:spacing w:after="0"/>
              <w:rPr>
                <w:sz w:val="20"/>
                <w:szCs w:val="20"/>
                <w:color w:val="auto"/>
              </w:rPr>
            </w:pPr>
            <w:r>
              <w:rPr>
                <w:rFonts w:ascii="Arial" w:cs="Arial" w:eastAsia="Arial" w:hAnsi="Arial"/>
                <w:sz w:val="18"/>
                <w:szCs w:val="18"/>
                <w:color w:val="auto"/>
              </w:rPr>
              <w:t>respectively</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513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897,185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896,759</w:t>
            </w:r>
          </w:p>
        </w:tc>
      </w:tr>
      <w:tr>
        <w:trPr>
          <w:trHeight w:val="216"/>
        </w:trPr>
        <w:tc>
          <w:tcPr>
            <w:tcW w:w="9320" w:type="dxa"/>
            <w:vAlign w:val="bottom"/>
          </w:tcPr>
          <w:p>
            <w:pPr>
              <w:ind w:left="720"/>
              <w:spacing w:after="0"/>
              <w:rPr>
                <w:sz w:val="20"/>
                <w:szCs w:val="20"/>
                <w:color w:val="auto"/>
              </w:rPr>
            </w:pPr>
            <w:r>
              <w:rPr>
                <w:rFonts w:ascii="Arial" w:cs="Arial" w:eastAsia="Arial" w:hAnsi="Arial"/>
                <w:sz w:val="18"/>
                <w:szCs w:val="18"/>
                <w:color w:val="auto"/>
              </w:rPr>
              <w:t>Treasury stock of 579 and 567 shares, at cost</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(14,195)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(13,253)</w:t>
            </w: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Accumulated deficit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(483,279)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(479,170)</w:t>
            </w:r>
          </w:p>
        </w:tc>
      </w:tr>
      <w:tr>
        <w:trPr>
          <w:trHeight w:val="223"/>
        </w:trPr>
        <w:tc>
          <w:tcPr>
            <w:tcW w:w="932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(26,530)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(26,692)</w:t>
            </w:r>
          </w:p>
        </w:tc>
      </w:tr>
      <w:tr>
        <w:trPr>
          <w:trHeight w:val="216"/>
        </w:trPr>
        <w:tc>
          <w:tcPr>
            <w:tcW w:w="9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373,694</w:t>
            </w: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378,156</w:t>
            </w:r>
          </w:p>
        </w:tc>
        <w:tc>
          <w:tcPr>
            <w:tcW w:w="100" w:type="dxa"/>
            <w:vAlign w:val="bottom"/>
            <w:shd w:val="clear" w:color="auto" w:fill="CCEEFF"/>
          </w:tcPr>
          <w:p>
            <w:pPr>
              <w:spacing w:after="0"/>
              <w:rPr>
                <w:sz w:val="18"/>
                <w:szCs w:val="18"/>
                <w:color w:val="auto"/>
              </w:rPr>
            </w:pPr>
          </w:p>
        </w:tc>
      </w:tr>
      <w:tr>
        <w:trPr>
          <w:trHeight w:val="223"/>
        </w:trPr>
        <w:tc>
          <w:tcPr>
            <w:tcW w:w="9320" w:type="dxa"/>
            <w:vAlign w:val="bottom"/>
          </w:tcPr>
          <w:p>
            <w:pPr>
              <w:ind w:left="10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2,607,302</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$ 2,524,228</w:t>
            </w:r>
          </w:p>
        </w:tc>
        <w:tc>
          <w:tcPr>
            <w:tcW w:w="10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Rooms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121,745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110,674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229,309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214,043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141,053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128,441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273,992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254,610</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28,958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24,258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53,566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48,874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65,437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57,293</w:t>
            </w:r>
          </w:p>
        </w:tc>
        <w:tc>
          <w:tcPr>
            <w:tcW w:w="0" w:type="dxa"/>
            <w:vAlign w:val="bottom"/>
          </w:tcPr>
          <w:p>
            <w:pPr>
              <w:spacing w:after="0"/>
              <w:rPr>
                <w:sz w:val="1"/>
                <w:szCs w:val="1"/>
                <w:color w:val="auto"/>
              </w:rPr>
            </w:pPr>
          </w:p>
        </w:tc>
      </w:tr>
      <w:tr>
        <w:trPr>
          <w:trHeight w:val="223"/>
        </w:trPr>
        <w:tc>
          <w:tcPr>
            <w:tcW w:w="53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333,934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298,778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622,304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574,820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Rooms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30,059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58,987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56,387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72,394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144,372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137,442</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Other hotel expenses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76,733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73,536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152,615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147,774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Management fees, net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23"/>
        </w:trPr>
        <w:tc>
          <w:tcPr>
            <w:tcW w:w="5360" w:type="dxa"/>
            <w:vAlign w:val="bottom"/>
          </w:tcPr>
          <w:p>
            <w:pPr>
              <w:ind w:left="720"/>
              <w:spacing w:after="0"/>
              <w:rPr>
                <w:sz w:val="20"/>
                <w:szCs w:val="20"/>
                <w:color w:val="auto"/>
              </w:rPr>
            </w:pPr>
            <w:r>
              <w:rPr>
                <w:rFonts w:ascii="Arial" w:cs="Arial" w:eastAsia="Arial" w:hAnsi="Arial"/>
                <w:sz w:val="18"/>
                <w:szCs w:val="18"/>
                <w:color w:val="auto"/>
              </w:rPr>
              <w:t>Total hotel operating expenses</w:t>
            </w:r>
          </w:p>
        </w:tc>
        <w:tc>
          <w:tcPr>
            <w:tcW w:w="2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187,821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176,358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371,739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353,312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49,620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38,986</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7,640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15,969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14,877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Preopening costs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27,679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58,661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55,316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257,235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234,134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499,661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463,201</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Operating income</w:t>
            </w:r>
          </w:p>
        </w:tc>
        <w:tc>
          <w:tcPr>
            <w:tcW w:w="2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76,699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122,643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(19,625)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(17,155)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(36,354)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(33,019)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Interest income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joint ventures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90,770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81,404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(7,885)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82,885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79,912</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Basic income per share</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Fully diluted income per share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360"/>
              <w:spacing w:after="0"/>
              <w:rPr>
                <w:sz w:val="20"/>
                <w:szCs w:val="20"/>
                <w:color w:val="auto"/>
              </w:rPr>
            </w:pPr>
            <w:r>
              <w:rPr>
                <w:rFonts w:ascii="Arial" w:cs="Arial" w:eastAsia="Arial" w:hAnsi="Arial"/>
                <w:sz w:val="18"/>
                <w:szCs w:val="18"/>
                <w:color w:val="auto"/>
              </w:rPr>
              <w:t>Dividends declared per common share</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 net of taxes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55,630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79,957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Six Months Ended</w:t>
      </w:r>
    </w:p>
    <w:p>
      <w:pPr>
        <w:jc w:val="center"/>
        <w:ind w:left="92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82,885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to reconcile net income to net cash flows provided by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Provision (benefit) for deferred income taxes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7,065</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58,661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Write-off of deferred financing costs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1060"/>
              <w:spacing w:after="0"/>
              <w:rPr>
                <w:sz w:val="20"/>
                <w:szCs w:val="20"/>
                <w:color w:val="auto"/>
              </w:rPr>
            </w:pPr>
            <w:r>
              <w:rPr>
                <w:rFonts w:ascii="Arial" w:cs="Arial" w:eastAsia="Arial" w:hAnsi="Arial"/>
                <w:sz w:val="18"/>
                <w:szCs w:val="18"/>
                <w:color w:val="auto"/>
              </w:rPr>
              <w:t>Trade receivables</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(22,074)</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1060"/>
              <w:spacing w:after="0"/>
              <w:rPr>
                <w:sz w:val="20"/>
                <w:szCs w:val="20"/>
                <w:color w:val="auto"/>
              </w:rPr>
            </w:pPr>
            <w:r>
              <w:rPr>
                <w:rFonts w:ascii="Arial" w:cs="Arial" w:eastAsia="Arial" w:hAnsi="Arial"/>
                <w:sz w:val="18"/>
                <w:szCs w:val="18"/>
                <w:color w:val="auto"/>
              </w:rPr>
              <w:t>Other assets and liabilities</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flows provided by operating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131,715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113,908</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(95,353)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Investment in Gaylord Rockies joint venture</w:t>
            </w: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other joint ventures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Purchase of remaining interest in Opry City Stage</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Net cash flows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(106,187</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(101,404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Net borrowings (repayments) under revolving credit facility</w:t>
            </w: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80,500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(241,900)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under term loan A</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Borrowings under term loan B</w:t>
            </w: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under term loan B</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(391,250)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Deferred financing costs paid</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dividends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Payment of tax withholdings for share-based compensation</w:t>
            </w: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financing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700"/>
              <w:spacing w:after="0"/>
              <w:rPr>
                <w:sz w:val="20"/>
                <w:szCs w:val="20"/>
                <w:color w:val="auto"/>
              </w:rPr>
            </w:pPr>
            <w:r>
              <w:rPr>
                <w:rFonts w:ascii="Arial" w:cs="Arial" w:eastAsia="Arial" w:hAnsi="Arial"/>
                <w:sz w:val="18"/>
                <w:szCs w:val="18"/>
                <w:color w:val="auto"/>
              </w:rPr>
              <w:t>Net cash flows used in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(10,278)</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(28,909)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93,960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64,785</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cash, cash equivalents, and restricted cash to balance sheet: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equivalents—unrestricted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340"/>
              <w:spacing w:after="0"/>
              <w:rPr>
                <w:sz w:val="20"/>
                <w:szCs w:val="20"/>
                <w:color w:val="auto"/>
              </w:rPr>
            </w:pPr>
            <w:r>
              <w:rPr>
                <w:rFonts w:ascii="Arial" w:cs="Arial" w:eastAsia="Arial" w:hAnsi="Arial"/>
                <w:sz w:val="18"/>
                <w:szCs w:val="18"/>
                <w:color w:val="auto"/>
              </w:rPr>
              <w:t>Cash and cash equivalents—restricted</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cash equivalents, and restricted cash,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93,960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The Company’s other owned hotel assets managed by Marriott include the Inn at Opryland, an overflow hotel adjacent to Gaylord Opryland, and the AC Hotel at National Harbor, Washington D.C. (“AC Hotel”), an overflow hotel adjacent to Gaylord National. The Company also owns a 35% interest in a joint venture that is developing and owns Gaylord Rockies Resort &amp; Convention Center near Denver, Colorado (“Gaylord Rockies”), which is scheduled to open in late 2018 and will be managed by Marriott.</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with a flagship location in Nashville that opened in May 2018; Opry City Stage, a four-level entertainment complex in Times Square that opened in December 2017 under a joint venture agreement and of which the Company acquired the remaining 50% joint venture interest in the second quarter of 2018 for a combination of $3.9 million in cash and the forgiveness of a note receivable previously due to the Company from the other joint venture partner of $7.9 million; and three Nashville-based assets managed by Marriott – Gaylord Springs Golf Links, the Wildhorse Saloon, and the General Jackson Showboat.</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2017.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conducts its business through an umbrella partnership REIT, in which all of its assets are held by, and all of its operations are conducted through, RHP Hotel Properties, LP, a subsidiary operating partnership (the “Operating Partnership”) that the Company formed in connection with its REIT conversion. Ryman is the sole limited partner of the Operating Partnership and currently owns, either directly or indirectly, all of the partnership units of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 pursuant to the Securities Exchange Act of 1934, as amended.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Issued Accounting Standards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2014, the Financial Accounting Standards Board (the “FASB”) issued Accounting Standards Update (“ASU”) No.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the core principle of which is that a company will recognize revenue when it transfers promised goods or services to customers in an</w:t>
      </w:r>
      <w:r>
        <w:rPr>
          <w:rFonts w:ascii="Arial" w:cs="Arial" w:eastAsia="Arial" w:hAnsi="Arial"/>
          <w:sz w:val="17"/>
          <w:szCs w:val="17"/>
          <w:i w:val="1"/>
          <w:iCs w:val="1"/>
          <w:color w:val="auto"/>
        </w:rPr>
        <w:t xml:space="preserve"> </w:t>
      </w:r>
      <w:r>
        <w:rPr>
          <w:rFonts w:ascii="Arial" w:cs="Arial" w:eastAsia="Arial" w:hAnsi="Arial"/>
          <w:sz w:val="17"/>
          <w:szCs w:val="17"/>
          <w:color w:val="auto"/>
        </w:rPr>
        <w:t>amount that reflects the consideration to which the company expects to be entitled in exchange for those goods or services. Under this guidance, companies will need to use more judgment and make more estimates than under previous guidance. These judgments may include identifying performance obligations in the contract, estimating the amount of variable consideration to include in the transaction price and allocating the transaction price to each separate performance obligation. Due to the short-term, day-to-day nature of the Company’s hospitality and entertainment segment revenues, the pattern of revenue recognition did not change significantly upon adoption. The Company adopted this ASU in the first quarter of 2018 using the modified retrospective approach and has applied the standard to all contracts at the date of initial application. As such, prior period amounts have not been restated, and the Company recorded a transition adjustment to retained earnings of $0.1 million, which is reflected in the condensed consolidated balance sheet for June 30, 2018 included herein. See Note 2 of this Quarterly Report on Form 10-Q for further disclosures.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that requires lessees to record most leases on their balance sheet, but recognize expenses on their income statements in a manner similar to previous accounting. The ASU also eliminates the required use of bright-line tests for determining lease classification. The ASU is effective for the Company in the first quarter of 2019, and the Company plans to adopt this standard at that time using the modified retrospective approach, with a cumulative-effect adjustment, if any, to retained earnings in the period of adoption. Prior period amounts will not be restated. The Company is creating an inventory of its leases, and the primary impact of the adoption is estimated to be the inclusion of the Company’s 75-year ground lease at Gaylord Palms on its balance sheet. See Note 12 in the Company’s Annual Report on Form 10-K for the year ended December 31, 2017 for a further disclosure of the Company’s outstanding leases.</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June 2016, the FASB issued ASU No. 2016-13, “</w:t>
      </w:r>
      <w:r>
        <w:rPr>
          <w:rFonts w:ascii="Arial" w:cs="Arial" w:eastAsia="Arial" w:hAnsi="Arial"/>
          <w:sz w:val="16"/>
          <w:szCs w:val="16"/>
          <w:i w:val="1"/>
          <w:iCs w:val="1"/>
          <w:color w:val="auto"/>
        </w:rPr>
        <w:t>Financial Instruments – Credit Losses – Measurement of Credit Losses on Financial Instruments</w:t>
      </w:r>
      <w:r>
        <w:rPr>
          <w:rFonts w:ascii="Arial" w:cs="Arial" w:eastAsia="Arial" w:hAnsi="Arial"/>
          <w:sz w:val="16"/>
          <w:szCs w:val="16"/>
          <w:color w:val="auto"/>
        </w:rPr>
        <w:t>,” which will change how entities measure credit losses for most financial assets and certain other instruments that are not measured at fair value through net income. The ASU will replace the current “incurred loss” approach with an “expected loss” model for instruments measured at amortized cost. For trade and other receivables, held-to-maturity debt securities, loans and other instruments, entities will be required to use a new forward-looking “expected loss” model that generally will result in the earlier recognition of allowances for losses. The ASU is effective for the Company in the first quarter of 2020. The Company is currently evaluating the effects of this ASU on its financial statements, and such effects have not yet been determined.</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entities to disclose changes in the total of cash and restricted cash in the statement of cash flows. As a result, entities no longer present transfers between cash and restricted cash in the statement of cash flows, and present a reconciliation of the totals in the statement of cash flows to the related captions on the balance sheet. The Company adopted this ASU in the first quarter of 2018, and this adoption did not have a material impact on the Company’s financial statements. The prior period presentation has been updated to conform to the current year presentation.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March 2017, the FASB issued ASU No. 2017-07, “</w:t>
      </w:r>
      <w:r>
        <w:rPr>
          <w:rFonts w:ascii="Arial" w:cs="Arial" w:eastAsia="Arial" w:hAnsi="Arial"/>
          <w:sz w:val="16"/>
          <w:szCs w:val="16"/>
          <w:i w:val="1"/>
          <w:iCs w:val="1"/>
          <w:color w:val="auto"/>
        </w:rPr>
        <w:t>Compensation – Retirement Benefits: Improving the Presentation of Net Periodic Pension Cost and Net</w:t>
      </w:r>
      <w:r>
        <w:rPr>
          <w:rFonts w:ascii="Arial" w:cs="Arial" w:eastAsia="Arial" w:hAnsi="Arial"/>
          <w:sz w:val="16"/>
          <w:szCs w:val="16"/>
          <w:color w:val="auto"/>
        </w:rPr>
        <w:t xml:space="preserve"> </w:t>
      </w:r>
      <w:r>
        <w:rPr>
          <w:rFonts w:ascii="Arial" w:cs="Arial" w:eastAsia="Arial" w:hAnsi="Arial"/>
          <w:sz w:val="16"/>
          <w:szCs w:val="16"/>
          <w:i w:val="1"/>
          <w:iCs w:val="1"/>
          <w:color w:val="auto"/>
        </w:rPr>
        <w:t>Periodic Postretirement Benefit Cost</w:t>
      </w:r>
      <w:r>
        <w:rPr>
          <w:rFonts w:ascii="Arial" w:cs="Arial" w:eastAsia="Arial" w:hAnsi="Arial"/>
          <w:sz w:val="16"/>
          <w:szCs w:val="16"/>
          <w:color w:val="auto"/>
        </w:rPr>
        <w:t>,” which changes how employers that sponsor defined benefit pension and/or other postretirement benefit plans present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cost of benefits in the income statement. Under the new guidance, the service cost component of net periodic benefit cost is presented in the same income statement line items as other employee compensation costs. In addition, the other components of net periodic benefit cost are presented separately from service cost and outside of operating income, which the Company has included in other gains and (losses), net in the accompanying condensed consolidated statements of operations and comprehensive income. The Company adopted this ASU in the first quarter of 2018, and this adoption did not have a material impact on the Company’s financial statements. The prior period presentation has been updated to conform to the current year presentation.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recognized as revenue in the period the Company determines it is probable that a significant reversal in the amount of revenue recognized will not occur, which is the period these fees are collected. The Company generally recognizes revenues from the Entertainment segment at the point in time that services are provided or goods are delivered or shipped to the customer, as applicable.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7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89,329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80,488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$172,546</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Hotel transient rooms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32,416</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30,186</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56,763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52,679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beverage—banquets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101,719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90,342</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197,987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Hotel food and beverage—outlets</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39,334</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38,099</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76,005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24,258</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53,566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21,207</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18,678</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32,067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11,813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8,394</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18,394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9,158</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8,333</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14,976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14,477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333,934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298,778</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622,304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574,820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740" w:type="dxa"/>
            <w:vAlign w:val="bottom"/>
            <w:vMerge w:val="restart"/>
          </w:tcPr>
          <w:p>
            <w:pPr>
              <w:jc w:val="right"/>
              <w:ind w:right="125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7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94,915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80,260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$177,660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$155,222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Gaylord Palms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50,274</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48,184</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108,170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58,611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52,772</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116,968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Gaylord National</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79,687</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73,995</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140,443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136,452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 Hotel</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3,679</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5,882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Inn at Opryland and other</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4,483</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7,744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Hospitality segment revenues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291,756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263,373</w:t>
            </w: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556,867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Almost all of the Company’s Entertainment segment revenues are concentrated in Nashville, Tennessee.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records deferred revenues when cash payments are received in advance of its performance obligations, primarily related to advanced deposits on hotel rooms in its Hospitality segment and advanced ticketing in its Entertainment segment. At June 30, 2018 and December 31, 2017, the Company had $54.5 million and $51.2 million, respectively, in deferred revenues, which are included in accounts payable and accrued liabilities in the accompanying condensed consolidated balance sheets. Of the amount outstanding at December 31, 2017, approximately $41.4 million was recognized in revenue during the six months ended June 30,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common shares outstanding is calculated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Three Months Ended</w:t>
            </w:r>
          </w:p>
        </w:tc>
        <w:tc>
          <w:tcPr>
            <w:tcW w:w="14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3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51,303</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51,154</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51,259</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3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180</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3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51,334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51,459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51,316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120" w:type="dxa"/>
            <w:vAlign w:val="bottom"/>
            <w:vMerge w:val="restart"/>
          </w:tcPr>
          <w:p>
            <w:pPr>
              <w:jc w:val="right"/>
              <w:ind w:right="2010"/>
              <w:spacing w:after="0"/>
              <w:rPr>
                <w:sz w:val="20"/>
                <w:szCs w:val="20"/>
                <w:color w:val="auto"/>
              </w:rPr>
            </w:pPr>
            <w:r>
              <w:rPr>
                <w:rFonts w:ascii="Arial" w:cs="Arial" w:eastAsia="Arial" w:hAnsi="Arial"/>
                <w:sz w:val="18"/>
                <w:szCs w:val="18"/>
                <w:color w:val="auto"/>
              </w:rPr>
              <w:t>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balance in accumulated other comprehensive loss is comprised of amounts related to the Company’s minimum pension liability and amounts related to an other-than-temporary impairment of a held-to-maturity investment with respect to the notes receivable discussed in Note 6 of this Quarterly Report on Form 10-Q and Note 3 to the consolidated financial statements included in the Company’s Annual Report on Form 10-K for the year ended December 31, 2017. Changes in accumulated other comprehensive loss by component for the six months ended June 30, 2018 and 2017 consisted of the following (in thousands):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Other-Than-</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Minimum</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Temporary</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Pension</w:t>
            </w:r>
          </w:p>
        </w:tc>
        <w:tc>
          <w:tcPr>
            <w:tcW w:w="24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5"/>
              </w:rPr>
              <w:t>Impairment of</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2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color w:val="auto"/>
              </w:rPr>
              <w:t>Liability</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Investment</w:t>
            </w:r>
          </w:p>
        </w:tc>
        <w:tc>
          <w:tcPr>
            <w:tcW w:w="2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$(20,149)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0"/>
              </w:rPr>
              <w:t>(6,543)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$(26,692)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166</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Net other comprehensive income (loss)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w w:val="86"/>
              </w:rPr>
              <w:t>166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r>
      <w:tr>
        <w:trPr>
          <w:trHeight w:val="27"/>
        </w:trPr>
        <w:tc>
          <w:tcPr>
            <w:tcW w:w="6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(20,153)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(6,377)</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(26,530)</w:t>
            </w:r>
          </w:p>
        </w:tc>
      </w:tr>
      <w:tr>
        <w:trPr>
          <w:trHeight w:val="20"/>
        </w:trPr>
        <w:tc>
          <w:tcPr>
            <w:tcW w:w="6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6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Other-Than-</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2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Minimum</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Temporary</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2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Pension</w:t>
            </w:r>
          </w:p>
        </w:tc>
        <w:tc>
          <w:tcPr>
            <w:tcW w:w="24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5"/>
              </w:rPr>
              <w:t>Impairment of</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24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color w:val="auto"/>
              </w:rPr>
              <w:t>Liability</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Investment</w:t>
            </w:r>
          </w:p>
        </w:tc>
        <w:tc>
          <w:tcPr>
            <w:tcW w:w="2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$(22,268)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$(22,268)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other comprehensive income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2017</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(22,223)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(22,223)</w:t>
            </w:r>
          </w:p>
        </w:tc>
      </w:tr>
      <w:tr>
        <w:trPr>
          <w:trHeight w:val="20"/>
        </w:trPr>
        <w:tc>
          <w:tcPr>
            <w:tcW w:w="6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June 30, 2018 and December 31, 2017 is recorded at cost and summarized as follows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268,316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Buildings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2,547,565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2,440,471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707,836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Construction-in-progress</w:t>
            </w:r>
          </w:p>
        </w:tc>
        <w:tc>
          <w:tcPr>
            <w:tcW w:w="1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3,604,272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3,494,212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(1,483,107)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(1,428,555)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2,121,165</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2,065,657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RECEIVABLE:</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further discussed in the Company’s Annual Report on Form 10-K for the year ended December 31, 2017, in connection with the development of Gaylord National, the Company is currently holding two issuances of governmental bonds and receives debt service and principle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June 30, 2018 and 2017, the Company recorded interest income of $2.7 million and $2.9 million, respectively, on these bonds. During the six months ended June 30, 2018 and 2017, the Company recorded interest income of $5.3 million and $5.9 million, respectively, on these bonds. The Company received payments of $3.1 million and $3.2 million during the six months ended June 30, 2018 and 2017, respectively, relating to these notes receivable.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capital lease obligations at June 30, 2018 and December 31, 2017 consisted of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74"/>
              <w:spacing w:after="0"/>
              <w:rPr>
                <w:sz w:val="20"/>
                <w:szCs w:val="20"/>
                <w:color w:val="auto"/>
              </w:rPr>
            </w:pPr>
            <w:r>
              <w:rPr>
                <w:rFonts w:ascii="Arial" w:cs="Arial" w:eastAsia="Arial" w:hAnsi="Arial"/>
                <w:sz w:val="14"/>
                <w:szCs w:val="14"/>
                <w:b w:val="1"/>
                <w:bCs w:val="1"/>
                <w:color w:val="auto"/>
                <w:w w:val="99"/>
              </w:rPr>
              <w:t>June 30,</w:t>
            </w:r>
          </w:p>
        </w:tc>
        <w:tc>
          <w:tcPr>
            <w:tcW w:w="1280" w:type="dxa"/>
            <w:vAlign w:val="bottom"/>
            <w:gridSpan w:val="4"/>
          </w:tcPr>
          <w:p>
            <w:pPr>
              <w:ind w:left="3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82"/>
        </w:trPr>
        <w:tc>
          <w:tcPr>
            <w:tcW w:w="6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$700 Million Revolving Credit Facility, interest at LIBOR plus 1.55%, maturing</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May 23, 2021, less unamortized deferred financing costs of $7,828 and $9,076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243,672</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161,924</w:t>
            </w:r>
          </w:p>
        </w:tc>
        <w:tc>
          <w:tcPr>
            <w:tcW w:w="60" w:type="dxa"/>
            <w:vAlign w:val="bottom"/>
            <w:shd w:val="clear" w:color="auto" w:fill="CCEEFF"/>
          </w:tcPr>
          <w:p>
            <w:pPr>
              <w:spacing w:after="0"/>
              <w:rPr>
                <w:sz w:val="20"/>
                <w:szCs w:val="20"/>
                <w:color w:val="auto"/>
              </w:rPr>
            </w:pP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w w:val="97"/>
              </w:rPr>
              <w:t>$200 Million Term Loan A, interest at LIBOR plus 1.50%, maturing May 23, 2022,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300" w:type="dxa"/>
            <w:vAlign w:val="bottom"/>
          </w:tcPr>
          <w:p>
            <w:pPr>
              <w:ind w:left="180"/>
              <w:spacing w:after="0"/>
              <w:rPr>
                <w:sz w:val="20"/>
                <w:szCs w:val="20"/>
                <w:color w:val="auto"/>
              </w:rPr>
            </w:pPr>
            <w:r>
              <w:rPr>
                <w:rFonts w:ascii="Arial" w:cs="Arial" w:eastAsia="Arial" w:hAnsi="Arial"/>
                <w:sz w:val="18"/>
                <w:szCs w:val="18"/>
                <w:color w:val="auto"/>
              </w:rPr>
              <w:t>less unamortized deferred financing costs of $1,390 and $1,557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198,610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198,443</w:t>
            </w:r>
          </w:p>
        </w:tc>
        <w:tc>
          <w:tcPr>
            <w:tcW w:w="60" w:type="dxa"/>
            <w:vAlign w:val="bottom"/>
          </w:tcPr>
          <w:p>
            <w:pPr>
              <w:spacing w:after="0"/>
              <w:rPr>
                <w:sz w:val="20"/>
                <w:szCs w:val="20"/>
                <w:color w:val="auto"/>
              </w:rPr>
            </w:pPr>
          </w:p>
        </w:tc>
      </w:tr>
      <w:tr>
        <w:trPr>
          <w:trHeight w:val="202"/>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$500 Million Term Loan B, interest at LIBOR plus 2.00%, maturing May 11, 2024,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unamortized deferred financing costs of $5,743 and $7,595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489,257</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488,655</w:t>
            </w:r>
          </w:p>
        </w:tc>
        <w:tc>
          <w:tcPr>
            <w:tcW w:w="60" w:type="dxa"/>
            <w:vAlign w:val="bottom"/>
            <w:shd w:val="clear" w:color="auto" w:fill="CCEEFF"/>
          </w:tcPr>
          <w:p>
            <w:pPr>
              <w:spacing w:after="0"/>
              <w:rPr>
                <w:sz w:val="20"/>
                <w:szCs w:val="20"/>
                <w:color w:val="auto"/>
              </w:rPr>
            </w:pPr>
          </w:p>
        </w:tc>
      </w:tr>
      <w:tr>
        <w:trPr>
          <w:trHeight w:val="202"/>
        </w:trPr>
        <w:tc>
          <w:tcPr>
            <w:tcW w:w="6300" w:type="dxa"/>
            <w:vAlign w:val="bottom"/>
          </w:tcPr>
          <w:p>
            <w:pPr>
              <w:spacing w:after="0" w:line="201" w:lineRule="exact"/>
              <w:rPr>
                <w:sz w:val="20"/>
                <w:szCs w:val="20"/>
                <w:color w:val="auto"/>
              </w:rPr>
            </w:pPr>
            <w:r>
              <w:rPr>
                <w:rFonts w:ascii="Arial" w:cs="Arial" w:eastAsia="Arial" w:hAnsi="Arial"/>
                <w:sz w:val="18"/>
                <w:szCs w:val="18"/>
                <w:color w:val="auto"/>
              </w:rPr>
              <w:t>$350 Million Senior Notes, interest at 5.0%, maturing April 15, 2021, less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300" w:type="dxa"/>
            <w:vAlign w:val="bottom"/>
          </w:tcPr>
          <w:p>
            <w:pPr>
              <w:ind w:left="180"/>
              <w:spacing w:after="0"/>
              <w:rPr>
                <w:sz w:val="20"/>
                <w:szCs w:val="20"/>
                <w:color w:val="auto"/>
              </w:rPr>
            </w:pPr>
            <w:r>
              <w:rPr>
                <w:rFonts w:ascii="Arial" w:cs="Arial" w:eastAsia="Arial" w:hAnsi="Arial"/>
                <w:sz w:val="18"/>
                <w:szCs w:val="18"/>
                <w:color w:val="auto"/>
              </w:rPr>
              <w:t>unamortized deferred financing costs of $2,862 and $3,340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347,138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346,660</w:t>
            </w:r>
          </w:p>
        </w:tc>
        <w:tc>
          <w:tcPr>
            <w:tcW w:w="60" w:type="dxa"/>
            <w:vAlign w:val="bottom"/>
          </w:tcPr>
          <w:p>
            <w:pPr>
              <w:spacing w:after="0"/>
              <w:rPr>
                <w:sz w:val="20"/>
                <w:szCs w:val="20"/>
                <w:color w:val="auto"/>
              </w:rPr>
            </w:pPr>
          </w:p>
        </w:tc>
      </w:tr>
      <w:tr>
        <w:trPr>
          <w:trHeight w:val="202"/>
        </w:trPr>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$400 Million Senior Notes, interest at 5.0%, maturing April 15, 2023, less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deferred financing costs of $4,513 and $4,929</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395,487</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395,071</w:t>
            </w:r>
          </w:p>
        </w:tc>
        <w:tc>
          <w:tcPr>
            <w:tcW w:w="60" w:type="dxa"/>
            <w:vAlign w:val="bottom"/>
            <w:shd w:val="clear" w:color="auto" w:fill="CCEEFF"/>
          </w:tcPr>
          <w:p>
            <w:pPr>
              <w:spacing w:after="0"/>
              <w:rPr>
                <w:sz w:val="20"/>
                <w:szCs w:val="20"/>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1,674,792</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1,591,392</w:t>
            </w:r>
          </w:p>
        </w:tc>
        <w:tc>
          <w:tcPr>
            <w:tcW w:w="60" w:type="dxa"/>
            <w:vAlign w:val="bottom"/>
            <w:shd w:val="clear" w:color="auto" w:fill="CCEEFF"/>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majority of amounts due within one year consist of the amortization payments for the $500 million term loan B of 1.0% of the original principal balance, as described in the Company’s Annual Report on Form 10-K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the Company was in compliance with all of its covenants related to its outstanding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$500 Million Term Loan B</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26, 2018, the Company entered into an Amendment No. 2 (the “Amendment”) to the Company’s Fifth Amended and Restated Credit Agreement (as amended, the “Credit Agreement”). The Amendment reduces the applicable interest rate margins for borrowings under the term loan B to, at the Company’s option, either (i) LIBOR plus 2.00% or (ii) a base rate as set in the Credit Agreement. In addition, the Amendment extends the date of commencement of any excess cash flow payments by one year to December 31, 2019. The Amendment did not change the maturity dates existing under the Credit Agreement or result in any increase or decrease in outstanding borrowings.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repricing of the term loan B, the Company wrote off $2.0 million of deferred financing costs during the three months and six months ended June 30, 2018, which is included in interest expense in the accompanying condensed consolidated statement of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descriptions of the Company’s other outstanding debt obligations, see “Principal Debt Agreements” within “Liquidity and Capital Resources” in Item 2, “Management’s Discussion and Analysis of Financial Condition and Results of Operations” included in this Quarterly Report on Form 10-Q.</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MANAGEMENT RIGHTS PROCEEDS: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October 1, 2012, the Company consummated its agreement to sell the Gaylord Hotels brand (the “IP Rights”)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and $20.0 million to the IP Rights.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financial accounting purposes, the amount related to the Management Rights was deferred and is amortized on a straight line basis over the 65-year term of the hotel management agreements, including extensions, as a reduction in management fee expense. The amount related to the IP Rights was recognized into income as other gains and losses during 2012.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PLANS: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six months ended June 30, 2018, the Company granted 0.1 million restricted stock units with a weighted-average grant date fair value of $71.34 per award. There were 0.4 million restricted stock units outstanding at June 30, 2018 and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expense that has been charged against pre-tax income for all of the Company’s stock-based compensation plans was $2.0 million and</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$1.6 million for the three months ended June 30, 2018 and 2017, respectively, and $3.9 million and $3.2 million for the six months ended June 30, 2018 and 2017,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POSTRETIREMENT BENEFITS OTHER THAN PENSION PLANS: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periodic pension (income) expense reflected in the accompanying condensed consolidated statements of operations included the following components for the respective periods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(1,011)</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(2,172)</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(2,047)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 net periodic pension (income) expense</w:t>
            </w:r>
          </w:p>
        </w:tc>
        <w:tc>
          <w:tcPr>
            <w:tcW w:w="2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2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187</w:t>
            </w:r>
          </w:p>
        </w:tc>
        <w:tc>
          <w:tcPr>
            <w:tcW w:w="5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00" w:type="dxa"/>
            <w:vAlign w:val="bottom"/>
            <w:vMerge w:val="restart"/>
          </w:tcPr>
          <w:p>
            <w:pPr>
              <w:jc w:val="right"/>
              <w:ind w:right="125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postretirement benefit income reflected in the accompanying condensed consolidated statements of operations included the following components for the respective periods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72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6"/>
              </w:rPr>
              <w:t>Three Months Ended</w:t>
            </w:r>
          </w:p>
        </w:tc>
        <w:tc>
          <w:tcPr>
            <w:tcW w:w="13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(657)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Total net postretirement benefit income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(480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 (“TRSs”).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an income tax provision of $5.7 million and $0.9 million for the three months ended June 30, 2018 and 2017, respectively, and</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$7.9 million and $1.5 million for the six months ended June 30, 2018 and 2017, respectively, related to the current period operations of the Company. These results differ from the statutory rate primarily due to the REIT dividends paid deduction in both periods and the change in valuation allowance required at the TRSs for the three months and six months ended June 30, 2017.</w:t>
      </w:r>
    </w:p>
    <w:p>
      <w:pPr>
        <w:spacing w:after="0" w:line="19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December 22, 2017, the Tax Cuts and Jobs Act (“TCJA”) was enacted and included a reduction to the U.S. federal corporate income tax rate from 35% to 21% for tax years beginning after December 31, 2017. The Company has not fully completed its accounting for the income tax effects of the TCJA. As discussed in SEC Staff Accounting Bulletin No. 118, the accounting for the TCJA should be completed within one year from enactment. During the six months ended June 30, 2018, the Company has made no adjustments to the provisional amounts recorded at December 31, 2017. Any adjustments to the provisional amounts recorded at December 31, 2017 will be reflected upon the completion of the Company’s accounting for the TCJA.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and December 31, 2017, the Company had no unrecognized tax benefits.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owns a 35% interest in a joint venture that is developing and owns Gaylord Rockies, which is expected to open in late 2018. In connection with the joint venture, the Company agreed to provide guarantees of the hotel’s construction loan, including a principal repayment guarantee of up to $21 million of the total $500 million principal amount of the construction loan previously obtained from a consortium of eight banks, with such amount reducing to</w:t>
      </w:r>
    </w:p>
    <w:p>
      <w:pPr>
        <w:ind w:right="100"/>
        <w:spacing w:after="0" w:line="281" w:lineRule="auto"/>
        <w:rPr>
          <w:sz w:val="20"/>
          <w:szCs w:val="20"/>
          <w:color w:val="auto"/>
        </w:rPr>
      </w:pPr>
      <w:r>
        <w:rPr>
          <w:rFonts w:ascii="Arial" w:cs="Arial" w:eastAsia="Arial" w:hAnsi="Arial"/>
          <w:sz w:val="16"/>
          <w:szCs w:val="16"/>
          <w:color w:val="auto"/>
        </w:rPr>
        <w:t>$14 million and further reducing to $8.75 million upon the hotel’s satisfaction of designated debt service coverage requirements following completion and opening of the hotel. The Company has also provided a completion guarantee under the construction loan capped at its pro rata share of all costs necessary to complete the project within the time specified in the joint venture’s loan documents. Further, the Company has agreed to a guarantee capped at its pro rata share of the joint venture’s obligations under the construction loan prior to the hotel’s opening related to interest accruing under the construction loan and the operating expenses of the property (estimated pro rata share of interest prior to the hotel opening is $9.8 million). In addition to guarantees related to the construction loan, the Company agreed to provide a guarantee of the mezzanine debt related to the hotel including a payment guarantee capped at</w:t>
      </w:r>
    </w:p>
    <w:p>
      <w:pPr>
        <w:spacing w:after="0" w:line="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$8.75 million for which the Company is only liable in the event there is a casualty or condemnation event at the hotel and the construction lenders elect to apply those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proceeds to the construction loan balance and release the construction loan guarantees and liens. The guarantee related to the mezzanine debt also includes an uncapped completion guarantee and an uncapped guarantee of the joint venture’s obligations under the mezzanine loan prior to the hotel’s opening related to interest accruing under the mezzanine loan and the operating expenses of the property to the extent not already satisfied by the parties under the guarantees related to the construction loan. As of June 30, 2018, the Company had not recorded any liability in the consolidated balance sheet associated with these guarantees.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legal actions will not have a material effect on the results of operations, financial condition or liquidity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February 23, 2018, the Company’s board of directors declared the Company’s first quarter 2018 cash dividend in the amount of $0.85 per share of common stock, or an aggregate of approximately $43.6 million in cash, which was paid on April 16, 2018 to stockholders of record as of the close of business on March 30, 2018.</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June 18, 2018, the Company’s board of directors declared the Company’s second quarter 2018 cash dividend in the amount of $0.85 per share of common stock, or an aggregate of approximately $43.6 million in cash, which was paid on July 16, 2018 to stockholders of record as of the close of business on June 29,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At June 30, 2018 and December 31, 2017, the Company held certain assets that are required to be measured at fair value on a recurring basis. These included investments held in conjunction with the Company’s non-qualified contributory deferred compensation plan. These investments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had no liabilities required to be measured at fair value at June 30, 2018 and December 31, 2017. The Company’s assets measured at fair value on a recurring basis at June 30, 2018 and December 31, 2017, were as follows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8"/>
              </w:rPr>
              <w:t>Markets for</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1"/>
              </w:rPr>
              <w:t>Observable</w:t>
            </w:r>
          </w:p>
        </w:tc>
        <w:tc>
          <w:tcPr>
            <w:tcW w:w="6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Identical Assets</w:t>
            </w:r>
          </w:p>
        </w:tc>
        <w:tc>
          <w:tcPr>
            <w:tcW w:w="80" w:type="dxa"/>
            <w:vAlign w:val="bottom"/>
          </w:tcPr>
          <w:p>
            <w:pPr>
              <w:spacing w:after="0"/>
              <w:rPr>
                <w:sz w:val="12"/>
                <w:szCs w:val="12"/>
                <w:color w:val="auto"/>
              </w:rPr>
            </w:pPr>
          </w:p>
        </w:tc>
        <w:tc>
          <w:tcPr>
            <w:tcW w:w="64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rPr>
              <w:t>Inputs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25,420</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25,420</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25,420</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8"/>
              </w:rPr>
              <w:t>Markets for</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1"/>
              </w:rPr>
              <w:t>Observable</w:t>
            </w:r>
          </w:p>
        </w:tc>
        <w:tc>
          <w:tcPr>
            <w:tcW w:w="6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December 31,</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8"/>
              </w:rPr>
              <w:t>Identical</w:t>
            </w:r>
          </w:p>
        </w:tc>
        <w:tc>
          <w:tcPr>
            <w:tcW w:w="80" w:type="dxa"/>
            <w:vAlign w:val="bottom"/>
          </w:tcPr>
          <w:p>
            <w:pPr>
              <w:spacing w:after="0"/>
              <w:rPr>
                <w:sz w:val="12"/>
                <w:szCs w:val="12"/>
                <w:color w:val="auto"/>
              </w:rPr>
            </w:pPr>
          </w:p>
        </w:tc>
        <w:tc>
          <w:tcPr>
            <w:tcW w:w="6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Inputs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Assets</w:t>
            </w: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25,055</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remainder of the assets and liabilities held by the Company at June 30, 2018 are not required to be recorded at fair value, and the carrying value of these assets and liabilities approximate fair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REPORTING BY BUSINESS SEGMENTS: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31" w:lineRule="exact"/>
        <w:rPr>
          <w:sz w:val="20"/>
          <w:szCs w:val="20"/>
          <w:color w:val="auto"/>
        </w:rPr>
      </w:pPr>
    </w:p>
    <w:p>
      <w:pPr>
        <w:ind w:left="900" w:right="3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Gaylord Opryland, Gaylord Palms, Gaylord Texan, Gaylord National, the Inn at Opryland, the AC Hotel,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equity investment in Gaylord Rockies;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Grand Ole Opry, the Ryman Auditorium, WSM-AM, Ole Red, Opry City Stage, and the Company’s Nashville-based attractions;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is derived directly from the segments’ internal financial reports used for corporate management purposes (amounts in thousands):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Hospitality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291,756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263,373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556,867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517,527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42,178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35,405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65,437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Corporate and Other</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333,934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298,778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622,304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574,820</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Hospitality</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53,433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Entertainment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and Other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70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58,661</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Hospitality</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76,702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61,468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131,695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9,609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Corporate and Other</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(8,087)</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(8,008)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(16,925)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1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76,699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122,643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(19,625)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(17,155)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(36,354)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(33,019)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2,969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joint ventures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Other gains and (losses),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90,770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INFORMATION CONCERNING GUARANTOR AND NON-GUARANTOR SUBSIDIARIES: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$350 Million 5% Senior Notes and the $400 Million 5% Senior Notes were each issued by the Operating Partnership and Finco and are guaranteed on a senior unsecured basis by the Company, each of the Company’s four wholly-owned subsidiaries that own the Gaylord Hotels properties, and certain other of the Company’s subsidiaries, each of which guarantees the Operating Partnership’s Credit Agreement (such subsidiary guarantors, together with the Company, the “Guarantors”). The subsidiary Guarantors are 100% owned, and the guarantees are full and unconditional and joint and several. Not all of the Company’s subsidiaries have guaranteed the Company’s $350 Million 5% Senior Notes and the $400 Million 5% Senior Notes.</w:t>
      </w:r>
    </w:p>
    <w:p>
      <w:pPr>
        <w:spacing w:after="0" w:line="15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following condensed consolidating financial information includes certain allocations of expenses based on management’s best estimates, which are not necessarily indicative of financial position, results of operations and cash flows that these entities would have achieved on a stand-alone basis.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8"/>
              </w:rPr>
              <w:t>Guarantors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4"/>
                <w:szCs w:val="1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Guarantors</w:t>
            </w: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7"/>
              </w:rPr>
              <w:t>Property and equipment, net of accumulated depreciation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1,647,578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473,587</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$2,121,165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equivalents—unrestricted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60,669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61,779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and cash equivalents—restricted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32,181</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32,181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113,789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113,789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 in Gaylord Rockies joint venture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88,993</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88,993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less allowance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79,694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79,694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43,355</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43,056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66,559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66,645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1,800,263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(1,800,263)</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1,010,151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2,890,033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650,582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1,384,814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(5,935,580)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1,010,233</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2,891,114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4,098,157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2,343,641</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(7,735,843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2,607,302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Debt and capital lease obligations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1,674,163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$1,674,792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176,145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Dividends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44,552</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44,552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management rights proceeds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175,541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97,573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65,005</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162,578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591,918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935,823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(1,800,263)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897,185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586,861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2,835,468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2,093,817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(5,516,146)</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897,185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(14,195)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(14,195)</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(483,279)</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(315,492)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1,157,689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(398,622)</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(443,575)</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(483,279)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(26,530)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(26,530)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26,530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(26,530)</w:t>
            </w:r>
          </w:p>
        </w:tc>
        <w:tc>
          <w:tcPr>
            <w:tcW w:w="0" w:type="dxa"/>
            <w:vAlign w:val="bottom"/>
          </w:tcPr>
          <w:p>
            <w:pPr>
              <w:spacing w:after="0"/>
              <w:rPr>
                <w:sz w:val="1"/>
                <w:szCs w:val="1"/>
                <w:color w:val="auto"/>
              </w:rPr>
            </w:pPr>
          </w:p>
        </w:tc>
      </w:tr>
      <w:tr>
        <w:trPr>
          <w:trHeight w:val="230"/>
        </w:trPr>
        <w:tc>
          <w:tcPr>
            <w:tcW w:w="448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373,694</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271,370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3,993,158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1,671,052</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(5,935,580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1,010,233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2,891,114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4,098,157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2,343,641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(7,735,843)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2,607,302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8"/>
              </w:rPr>
              <w:t>Guarantors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14"/>
                <w:szCs w:val="1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Guarantors</w:t>
            </w: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w w:val="97"/>
              </w:rPr>
              <w:t>Property and equipment, net of accumulated depreciation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1,640,274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425,383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$2,065,657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equivalents—unrestricted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56,724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57,557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and cash equivalents—restricted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21,153</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21,153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111,423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111,423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 in Gaylord Rockies joint venture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88,685</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88,685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less allowance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57,520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50,418</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50,117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72,111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72,116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1,717,157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(1,717,157)</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1,006,461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2,890,032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651,006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1,364,814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(5,912,313)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1,006,499</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2,890,791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4,008,177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2,248,231</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(7,629,470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2,524,228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Debt and capital lease obligations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1,590,753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$1,591,392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179,649</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Dividends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42,129</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42,129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management rights proceeds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177,057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95,078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60,767</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155,845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895,408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(1,717,157)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896,759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671,875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2,835,468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2,073,818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(5,581,161)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896,759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(13,253)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(13,253)</w:t>
            </w: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(479,170)</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(278,426)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1,061,835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(427,954)</w:t>
            </w: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(355,455)</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(479,170)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(26,692)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(26,692)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26,692</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30"/>
        </w:trPr>
        <w:tc>
          <w:tcPr>
            <w:tcW w:w="448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378,156</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393,450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3,897,304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1,621,559</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(5,912,313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1,006,499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2,890,791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4,008,177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2,248,231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(7,629,470)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2,524,228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Parent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Rooms</w:t>
            </w:r>
          </w:p>
        </w:tc>
        <w:tc>
          <w:tcPr>
            <w:tcW w:w="1360" w:type="dxa"/>
            <w:vAlign w:val="bottom"/>
            <w:gridSpan w:val="2"/>
          </w:tcPr>
          <w:p>
            <w:pPr>
              <w:ind w:left="12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121,745</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141,053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76,773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33,376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(81,191)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76,773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338,352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(81,191)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333,934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Rooms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30,059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Other hotel expenses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11,050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142,341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(76,658)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 net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hotel operating expenses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11,050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253,429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(76,658)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187,821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7,212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Corporate overhead allocation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2,495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(4,533)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15,305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364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28,395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307,110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(81,191)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257,235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48,378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76,699</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(19,618)</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(19,625)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from joint ventures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(19,982)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48,378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58,103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(58,103)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55,546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(19,982)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47,929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30,156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(58,103)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340"/>
              <w:spacing w:after="0"/>
              <w:rPr>
                <w:sz w:val="20"/>
                <w:szCs w:val="20"/>
                <w:color w:val="auto"/>
              </w:rPr>
            </w:pPr>
            <w:r>
              <w:rPr>
                <w:rFonts w:ascii="Arial" w:cs="Arial" w:eastAsia="Arial" w:hAnsi="Arial"/>
                <w:sz w:val="18"/>
                <w:szCs w:val="18"/>
                <w:color w:val="auto"/>
              </w:rPr>
              <w:t>Comprehensive income (loss)</w:t>
            </w: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55,630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(19,982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47,929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(58,187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211"/>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2017</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Parent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Rooms</w:t>
            </w:r>
          </w:p>
        </w:tc>
        <w:tc>
          <w:tcPr>
            <w:tcW w:w="1360" w:type="dxa"/>
            <w:vAlign w:val="bottom"/>
            <w:gridSpan w:val="2"/>
          </w:tcPr>
          <w:p>
            <w:pPr>
              <w:ind w:left="12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110,674</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110,674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128,441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78,827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28,144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(82,713)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78,827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302,664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(82,713)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298,778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Rooms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28,359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Other hotel expenses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10,409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141,847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(78,720)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 net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hotel operating expenses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10,409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244,669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(78,720)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176,358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Corporate overhead allocation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14,877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396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27,048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287,125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(82,713)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234,134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51,779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64,644</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(17,149)</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(17,155)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(17,545)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51,779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(49,570)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47,292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(17,545)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51,724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15,391</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(49,570)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340"/>
              <w:spacing w:after="0"/>
              <w:rPr>
                <w:sz w:val="20"/>
                <w:szCs w:val="20"/>
                <w:color w:val="auto"/>
              </w:rPr>
            </w:pPr>
            <w:r>
              <w:rPr>
                <w:rFonts w:ascii="Arial" w:cs="Arial" w:eastAsia="Arial" w:hAnsi="Arial"/>
                <w:sz w:val="18"/>
                <w:szCs w:val="18"/>
                <w:color w:val="auto"/>
              </w:rPr>
              <w:t>Comprehensive income (loss)</w:t>
            </w: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47,326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(17,545</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51,724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(49,604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211"/>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Rooms</w:t>
            </w:r>
          </w:p>
        </w:tc>
        <w:tc>
          <w:tcPr>
            <w:tcW w:w="1360" w:type="dxa"/>
            <w:vAlign w:val="bottom"/>
            <w:gridSpan w:val="2"/>
          </w:tcPr>
          <w:p>
            <w:pPr>
              <w:ind w:left="12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229,309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229,309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273,992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273,992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153,016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62,614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(162,064)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153,016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631,376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(162,088)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622,304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Rooms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58,987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144,372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Other hotel expenses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22,877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282,528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(152,790)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 net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hotel operating expenses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501,652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(152,790)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371,739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Corporate overhead allocation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(9,274)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725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598,711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(162,088)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499,661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95,938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122,643</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(36,341)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(5,235)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(37,066)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88,120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(88,120)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82,885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(37,066)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95,854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29,332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(88,120)</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340"/>
              <w:spacing w:after="0"/>
              <w:rPr>
                <w:sz w:val="20"/>
                <w:szCs w:val="20"/>
                <w:color w:val="auto"/>
              </w:rPr>
            </w:pPr>
            <w:r>
              <w:rPr>
                <w:rFonts w:ascii="Arial" w:cs="Arial" w:eastAsia="Arial" w:hAnsi="Arial"/>
                <w:sz w:val="18"/>
                <w:szCs w:val="18"/>
                <w:color w:val="auto"/>
              </w:rPr>
              <w:t>Comprehensive income (loss)</w:t>
            </w: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83,047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(37,066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(88,282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Parent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1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Rooms</w:t>
            </w:r>
          </w:p>
        </w:tc>
        <w:tc>
          <w:tcPr>
            <w:tcW w:w="1360" w:type="dxa"/>
            <w:vAlign w:val="bottom"/>
            <w:gridSpan w:val="2"/>
          </w:tcPr>
          <w:p>
            <w:pPr>
              <w:ind w:left="12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214,043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254,610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158,321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56,577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(166,024)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158,321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582,547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(166,048)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574,820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Rooms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56,387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137,442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137,442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Other hotel expenses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22,356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283,523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(158,105)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Management fees, net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hotel operating expenses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489,061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(158,105)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353,312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13,983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Corporate overhead allocation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4,429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(7,920)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802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568,395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(166,048)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463,201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102,788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111,619</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(33,006)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(4,519)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(33,808)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102,788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(84,431)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79,912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(33,808)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102,751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15,488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(84,431)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340"/>
              <w:spacing w:after="0"/>
              <w:rPr>
                <w:sz w:val="20"/>
                <w:szCs w:val="20"/>
                <w:color w:val="auto"/>
              </w:rPr>
            </w:pPr>
            <w:r>
              <w:rPr>
                <w:rFonts w:ascii="Arial" w:cs="Arial" w:eastAsia="Arial" w:hAnsi="Arial"/>
                <w:sz w:val="18"/>
                <w:szCs w:val="18"/>
                <w:color w:val="auto"/>
              </w:rPr>
              <w:t>Comprehensive income (loss)</w:t>
            </w: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79,957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(33,808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102,751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(84,476</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211"/>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Parent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Issuer</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0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(78,374</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81,381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(39,789)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(55,564)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other joint ventures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Purchase of remaining interest in Opry City Stage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(3,948)</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(39,789)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(66,398)</w:t>
            </w:r>
          </w:p>
        </w:tc>
        <w:tc>
          <w:tcPr>
            <w:tcW w:w="3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(106,187)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under revolving credit facility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80,500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Repayments under term loan B</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Payment of dividends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(85,110)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Payment of tax withholdings for share-based compensation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(88,881)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78,613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(10,278)</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239</w:t>
            </w:r>
          </w:p>
        </w:tc>
        <w:tc>
          <w:tcPr>
            <w:tcW w:w="3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14,973</w:t>
            </w:r>
          </w:p>
        </w:tc>
        <w:tc>
          <w:tcPr>
            <w:tcW w:w="3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cash equivalents, and restricted cash, beginning of period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77,877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78,710</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998</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92,850</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211"/>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Parent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Issuer</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Non-</w:t>
            </w: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2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3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(55,377</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9"/>
                <w:szCs w:val="19"/>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(35,871)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(43,601)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Gaylord Rockies joint venture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(16,309)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Investment in other joint ventures</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(1,969)</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(3,654)</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(35,871)</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(65,533)</w:t>
            </w: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(101,404)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under revolving credit facility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(241,900)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(241,900)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Borrowings under term loan A</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200,000</w:t>
            </w:r>
          </w:p>
        </w:tc>
        <w:tc>
          <w:tcPr>
            <w:tcW w:w="12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term loan B</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500,000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Repayments under term loan B</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(391,250)</w:t>
            </w:r>
          </w:p>
        </w:tc>
        <w:tc>
          <w:tcPr>
            <w:tcW w:w="12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(391,250)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(79,788)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Payment of tax withholdings for share-based compensation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(83,529)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54,630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(28,909)</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(15,714)</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79,905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81,190</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64,191</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71"/>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6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2017, included in our Annual Report on Form 10-K that was filed with the SEC on February 27,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effect of our election to be taxed as a REIT for federal income tax purposes; (ii) the holding of our non-qualifying REIT assets in one or more taxable REIT subsidiaries (“TRSs”); (iii) our announced dividend policy, including the frequency and amount of any dividend we may pay; (iv) potential growth opportunities, including future expansion of the geographic diversity of our existing asset portfolio through acquisitions and our investment in the Gaylord Rockies joint venture (defined below); (v) Marriott International, Inc.’s (“Marriott”) ability to effectively manage our hotels and other properties; (vi) our anticipated capital expenditures and investments; (vii) the potential operating and financial restrictions imposed on our activities under existing and future financing agreements and other contractual arrangements with third parties, including management agreements with Marriott; and (viii) any other business or operational matters. We have based these forward-looking statements on our current expectations and projections about future events.</w:t>
      </w:r>
    </w:p>
    <w:p>
      <w:pPr>
        <w:spacing w:after="0" w:line="17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the risks and uncertainties associated with economic conditions affecting the hospitality business generally, the geographic concentration of our hotel properties, business levels at our hotels, the effect of our election to be taxed as a REIT for federal income tax purposes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commencing with the year ended December 31, 2013,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 those factors described in our Annual Report on Form 10-K for the year ended December 31, 2017 or described from time to time in our other reports filed with the SEC.</w:t>
      </w:r>
    </w:p>
    <w:p>
      <w:pPr>
        <w:spacing w:after="0" w:line="17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operate as a REIT for federal income tax purposes, specializing in group-oriented, destination hotel assets in urban and resort markets. Our owned assets include a network of four upscale, meetings-focused resorts totaling 8,114 rooms that are managed by Marriott under the Gaylord Hotels brand. These four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Our other owned hotel assets managed by Marriott include the Inn at Opryland, a 303-room overflow hotel adjacent to Gaylord Opryland, and the AC Hotel at National Harbor, Washington D.C. (“AC Hotel”), a 192-room overflow hotel adjacent to Gaylord National. We also own a 35% interest in a joint venture that is developing and owns the Gaylord Rockies Resort &amp; Convention Center near Denver, Colorado (“Gaylord Rockies”), which is scheduled to open in late 2018 and will be managed by Marriott.</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with a flagship location in Nashville that opened in May 2018; Opry City Stage, a four-level entertainment complex in Times Square that opened in December 2017 under a joint venture agreement and of which we acquired the remaining 50% joint venture interest in the second quarter of 2018; and three Nashville-based assets managed by Marriott – Gaylord Springs Golf Links, the Wildhorse Saloon, and the General Jackson Showboat.</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See “Cautionary Note Regarding Forward-Looking Statements” in this Item 2 and Item 1A, “Risk Factors,” in our Annual Report on Form 10-K for the year ended December 31, 2017 for important information regarding forward-looking statements made in this report and risks and uncertainties we face.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Pursuant to our current dividend policy, we plan to continue to pay a quarterly cash dividend to shareholders in an amount equal to an annualized payment of at least 50% of adjusted funds from operations (as defined by us) less maintenance capital expenditures or 100% of REIT taxable income, whichever is greater. On February 27, 2018, our board of directors declared our first quarter 2018 cash dividend in the amount of $0.85 per share of common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stock, or an aggregate of approximately $43.6 million in cash, which was paid on April 16, 2018 to stockholders of record as of the close of business on March 30, 2018. On June 18, 2018, our board of directors declared our second quarter 2018 cash dividend in the amount of $0.85 per share of common stock, or an aggregate of approximately $43.6 million in cash, which was paid on July 16, 2018 to stockholders of record as of the close of business on June 29, 2018.We currently plan to pay a quarterly cash dividend of $0.85 per share of common stock in October 2018 and January 2019. The declaration, timing and amount of dividends will be determined by action of our board of directors. Our dividend policy may be altered at any time by our board of directors.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goal is to become the nation’s premier hospitality REIT for group-oriented meeting hotel assets in urban and resort markets.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Existing Hotel Property Design</w:t>
      </w:r>
      <w:r>
        <w:rPr>
          <w:rFonts w:ascii="Arial" w:cs="Arial" w:eastAsia="Arial" w:hAnsi="Arial"/>
          <w:sz w:val="18"/>
          <w:szCs w:val="18"/>
          <w:color w:val="auto"/>
        </w:rPr>
        <w:t>. Our Gaylord Hotels properties focus on the large group meetings market in the United States and incorporate meeting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8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i w:val="1"/>
          <w:iCs w:val="1"/>
          <w:color w:val="auto"/>
        </w:rPr>
        <w:t>Expansion of Hotel Asset Portfolio</w:t>
      </w:r>
      <w:r>
        <w:rPr>
          <w:rFonts w:ascii="Arial" w:cs="Arial" w:eastAsia="Arial" w:hAnsi="Arial"/>
          <w:sz w:val="17"/>
          <w:szCs w:val="17"/>
          <w:color w:val="auto"/>
        </w:rPr>
        <w:t>. While our short-term capital allocation strategy has focused on returning capital to stockholders, part of our long-term</w:t>
      </w:r>
      <w:r>
        <w:rPr>
          <w:rFonts w:ascii="Arial" w:cs="Arial" w:eastAsia="Arial" w:hAnsi="Arial"/>
          <w:sz w:val="17"/>
          <w:szCs w:val="17"/>
          <w:i w:val="1"/>
          <w:iCs w:val="1"/>
          <w:color w:val="auto"/>
        </w:rPr>
        <w:t xml:space="preserve"> </w:t>
      </w:r>
      <w:r>
        <w:rPr>
          <w:rFonts w:ascii="Arial" w:cs="Arial" w:eastAsia="Arial" w:hAnsi="Arial"/>
          <w:sz w:val="17"/>
          <w:szCs w:val="17"/>
          <w:color w:val="auto"/>
        </w:rPr>
        <w:t>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As a REIT, we do not view independent, large-scale development of resort and convention hotels as a part of our long-term growth strategy.</w:t>
      </w:r>
    </w:p>
    <w:p>
      <w:pPr>
        <w:spacing w:after="0" w:line="1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Leverage Brand Name Awareness</w:t>
      </w:r>
      <w:r>
        <w:rPr>
          <w:rFonts w:ascii="Arial" w:cs="Arial" w:eastAsia="Arial" w:hAnsi="Arial"/>
          <w:sz w:val="16"/>
          <w:szCs w:val="16"/>
          <w:color w:val="auto"/>
        </w:rPr>
        <w:t>. We believe the Grand Ole Opry is one of the most recognized entertainment brands in the United States. We promote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are continuously exploring additional products, such as television specials and retail products, through which we can capitalize on our brand affinity and awareness. To this end, we have invested in Opry City Stage, a four-level entertainment complex in Times Square, as well as a Company-owned, Blake Shelton-themed four-level bar, music venue and event space in Nashville named after the Shelton hit “Ole Red.” We believe that licensing our brand for products may provide an opportunity to increase revenues and cash flow with relatively little capital investment.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31" w:lineRule="exact"/>
        <w:rPr>
          <w:sz w:val="20"/>
          <w:szCs w:val="20"/>
          <w:color w:val="auto"/>
        </w:rPr>
      </w:pPr>
    </w:p>
    <w:p>
      <w:pPr>
        <w:ind w:left="900" w:right="3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the AC Hotel, and our investment in the Gaylord Rockies joint venture.</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Opry City Stage, and our other Nashville-based attractions.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and six months ended June 30, 2018 and 2017, our total revenues were divided among these business segments as follows: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7"/>
              </w:rPr>
              <w:t>Segment</w:t>
            </w:r>
          </w:p>
        </w:tc>
        <w:tc>
          <w:tcPr>
            <w:tcW w:w="578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40" w:type="dxa"/>
            <w:vAlign w:val="bottom"/>
            <w:tcBorders>
              <w:bottom w:val="single" w:sz="8" w:color="auto"/>
            </w:tcBorders>
            <w:vMerge w:val="continue"/>
          </w:tcPr>
          <w:p>
            <w:pPr>
              <w:spacing w:after="0"/>
              <w:rPr>
                <w:sz w:val="11"/>
                <w:szCs w:val="11"/>
                <w:color w:val="auto"/>
              </w:rPr>
            </w:pPr>
          </w:p>
        </w:tc>
        <w:tc>
          <w:tcPr>
            <w:tcW w:w="5780" w:type="dxa"/>
            <w:vAlign w:val="bottom"/>
            <w:vMerge w:val="continue"/>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Hospitality</w:t>
            </w: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gridSpan w:val="2"/>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87%</w:t>
            </w:r>
          </w:p>
        </w:tc>
        <w:tc>
          <w:tcPr>
            <w:tcW w:w="66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88%</w:t>
            </w:r>
          </w:p>
        </w:tc>
        <w:tc>
          <w:tcPr>
            <w:tcW w:w="1140" w:type="dxa"/>
            <w:vAlign w:val="bottom"/>
            <w:gridSpan w:val="2"/>
            <w:shd w:val="clear" w:color="auto" w:fill="CCEEFF"/>
          </w:tcPr>
          <w:p>
            <w:pPr>
              <w:jc w:val="right"/>
              <w:ind w:right="528"/>
              <w:spacing w:after="0" w:line="203" w:lineRule="exact"/>
              <w:rPr>
                <w:sz w:val="20"/>
                <w:szCs w:val="20"/>
                <w:color w:val="auto"/>
              </w:rPr>
            </w:pPr>
            <w:r>
              <w:rPr>
                <w:rFonts w:ascii="Arial" w:cs="Arial" w:eastAsia="Arial" w:hAnsi="Arial"/>
                <w:sz w:val="18"/>
                <w:szCs w:val="18"/>
                <w:color w:val="auto"/>
              </w:rPr>
              <w:t>89%</w:t>
            </w:r>
          </w:p>
        </w:tc>
        <w:tc>
          <w:tcPr>
            <w:tcW w:w="6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color w:val="auto"/>
              </w:rPr>
              <w:t>12%</w:t>
            </w:r>
          </w:p>
        </w:tc>
        <w:tc>
          <w:tcPr>
            <w:tcW w:w="1140" w:type="dxa"/>
            <w:vAlign w:val="bottom"/>
            <w:gridSpan w:val="2"/>
          </w:tcPr>
          <w:p>
            <w:pPr>
              <w:jc w:val="right"/>
              <w:ind w:right="528"/>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17"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REIT industry:</w:t>
      </w:r>
    </w:p>
    <w:p>
      <w:pPr>
        <w:spacing w:after="0" w:line="7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hotel occupancy – a volume indicator;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daily rate (“ADR”) – a price indicator calculated by dividing room revenue by the number of rooms sold;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per Available Room (“RevPAR”) –a summary measure of hotel results calculated by dividing room revenue by room nights available to guests for the period;</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75" w:lineRule="exact"/>
        <w:rPr>
          <w:rFonts w:ascii="Arial" w:cs="Arial" w:eastAsia="Arial" w:hAnsi="Arial"/>
          <w:sz w:val="18"/>
          <w:szCs w:val="18"/>
          <w:color w:val="auto"/>
        </w:rPr>
      </w:pPr>
    </w:p>
    <w:p>
      <w:pPr>
        <w:ind w:left="900" w:right="500" w:hanging="325"/>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Definite Group Room Nights Booked – a volume indicator which represents, on an aggregate basis, the total number of definite group bookings for future room nights at our Gaylord Hotels properties confirmed during the applicable period, net of cancellations.</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are charged to groups when they do not fulfill the minimum number of room nights or minimum food and beverage spending requirements originally contracted for, are recognized as revenue in the period we determine it is probable that a significant reversal in the amount of revenue recognized will not occur, which is the period these fees are collected. Almost all of our Hospitality segment revenues are either cash-based or, for meeting and convention groups who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1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following table contains our unaudited selected summary financial data for the three months and six months ended June 30, 2018 and 2017. The table also shows the percentage relationships to total revenues and, in the case of segment operating income, its relationship to segment revenues (in thousands,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1"/>
              </w:rPr>
              <w:t>Six Months Ended 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44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6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66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6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121,745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110,674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229,309</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214,043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141,053</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128,441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273,992</w:t>
            </w: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254,610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hotel revenue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28,958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24,258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53,566</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48,874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Entertainment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42,178</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35,405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65,437</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57,293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333,934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298,778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622,304</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574,820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30,059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28,359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58,987</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56,387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72,394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68,285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144,372</w:t>
            </w: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137,442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hotel expenses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76,733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73,536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152,615</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147,774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Hotel management fees, net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8,635</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6,178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15,765</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11,709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30,254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22,135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49,620</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38,986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7,640</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7,468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15,969</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14,877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costs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Hospitality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27,233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25,547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53,433</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50,725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700"/>
              <w:spacing w:after="0"/>
              <w:rPr>
                <w:sz w:val="20"/>
                <w:szCs w:val="20"/>
                <w:color w:val="auto"/>
              </w:rPr>
            </w:pPr>
            <w:r>
              <w:rPr>
                <w:rFonts w:ascii="Arial" w:cs="Arial" w:eastAsia="Arial" w:hAnsi="Arial"/>
                <w:sz w:val="18"/>
                <w:szCs w:val="18"/>
                <w:color w:val="auto"/>
              </w:rPr>
              <w:t>Entertainment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2,315</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1,592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4,272</w:t>
            </w: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3,500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Corporate and Other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1060"/>
              <w:spacing w:after="0"/>
              <w:rPr>
                <w:sz w:val="20"/>
                <w:szCs w:val="20"/>
                <w:color w:val="auto"/>
              </w:rPr>
            </w:pPr>
            <w:r>
              <w:rPr>
                <w:rFonts w:ascii="Arial" w:cs="Arial" w:eastAsia="Arial" w:hAnsi="Arial"/>
                <w:sz w:val="18"/>
                <w:szCs w:val="18"/>
                <w:color w:val="auto"/>
              </w:rPr>
              <w:t>Total depreciation and amortization</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29,995</w:t>
            </w:r>
          </w:p>
        </w:tc>
        <w:tc>
          <w:tcPr>
            <w:tcW w:w="2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27,679</w:t>
            </w:r>
          </w:p>
        </w:tc>
        <w:tc>
          <w:tcPr>
            <w:tcW w:w="2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58,661</w:t>
            </w:r>
          </w:p>
        </w:tc>
        <w:tc>
          <w:tcPr>
            <w:tcW w:w="8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55,316</w:t>
            </w:r>
          </w:p>
        </w:tc>
        <w:tc>
          <w:tcPr>
            <w:tcW w:w="2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257,235</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234,134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499,661</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463,201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Hospitality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76,702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61,468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131,695</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113,490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Entertainment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9,609</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11,678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11,545</w:t>
            </w: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14,807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and Other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(8,087)</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(8,008)</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(16,925)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(15,968)</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Preopening costs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(1,525)</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(494)</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(3,672)</w:t>
            </w: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(710)</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76,699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64,644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122,643</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111,619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(19,625)</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(17,155)</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(36,354)</w:t>
            </w: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(33,019)</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2,969</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(loss) from joint ventures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1,346</w:t>
            </w:r>
          </w:p>
        </w:tc>
        <w:tc>
          <w:tcPr>
            <w:tcW w:w="2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(943)</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(1,242)</w:t>
            </w: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(1,717)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(5,676)</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(899)</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(7,885)</w:t>
            </w: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(1,492)</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55,546</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47,292</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(A)</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82,885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79,912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have not been shown as a percentage of revenue because they have no relationship to revenue.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our financial results for the three months and six months ended June 30, 2018 and 2017 (in thousands, except percentages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4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$333,934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$298,778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$622,304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$574,820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257,235</w:t>
            </w:r>
          </w:p>
        </w:tc>
        <w:tc>
          <w:tcPr>
            <w:tcW w:w="12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234,134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499,661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463,201</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76,699</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64,644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122,643</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111,619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w:t>
            </w:r>
          </w:p>
        </w:tc>
        <w:tc>
          <w:tcPr>
            <w:tcW w:w="2380" w:type="dxa"/>
            <w:vAlign w:val="bottom"/>
            <w:gridSpan w:val="3"/>
          </w:tcPr>
          <w:p>
            <w:pPr>
              <w:jc w:val="right"/>
              <w:ind w:right="120"/>
              <w:spacing w:after="0"/>
              <w:rPr>
                <w:sz w:val="20"/>
                <w:szCs w:val="20"/>
                <w:color w:val="auto"/>
              </w:rPr>
            </w:pPr>
            <w:r>
              <w:rPr>
                <w:rFonts w:ascii="Arial" w:cs="Arial" w:eastAsia="Arial" w:hAnsi="Arial"/>
                <w:sz w:val="18"/>
                <w:szCs w:val="18"/>
                <w:color w:val="auto"/>
              </w:rPr>
              <w:t>55,546</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47,292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82,885</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79,912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fully diluted</w:t>
            </w:r>
          </w:p>
        </w:tc>
        <w:tc>
          <w:tcPr>
            <w:tcW w:w="2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0.92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increase in our total revenues for the three months ended June 30, 2018, as compared to the same period in 2017, is attributable to increases in our Hospitality segment and Entertainment segment of $28.4 million and $6.8 million, respectively, each as discussed more fully below. The increase in our total revenues for the six months ended June 30, 2018, as compared to the same period in 2017, is attributable to increases in our Hospitality segment and Entertainment segment of $39.3 million and $8.1 million, respectively, each as discussed more fully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Expenses</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increase in our total operating expenses for the three months ended June 30, 2018, as compared to the same period in 2017, is primarily the result of increases in our Hospitality segment and Entertainment segment expenses of $11.5 million and $8.1 million, respectively, as well as an increase in depreciation and amortization expenses of $2.3 million, each as discussed more fully below. The increase in our total operating expenses for the six months ended June 30, 2018, as compared to the same period in 2017, is primarily the result of increases in our Hospitality segment and Entertainment segment expenses of $18.4 million and $10.6 million, respectively, as well as increases in depreciation and amortization expenses and preopening expenses of $3.3 million and $3.0 million, respectively, each as discussed more fully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increase in our net income to $55.5 million for the three months ended June 30, 2018, as compared to $47.3 million for the same period in 2017, was due to the changes in our revenues and operating expenses reflected above and the following factors, each as described more fully below:</w:t>
      </w:r>
    </w:p>
    <w:p>
      <w:pPr>
        <w:spacing w:after="0" w:line="5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$4.8 million increase in the provision for income taxes in the 2018 period.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$2.5 million increase in interest expense for the 2018 period.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Income from joint ventures of $1.3 million in the 2018 period, compared to a loss from joint ventures of $0.9 million in the 2017 period.</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increase in our net income to $82.9 million for the six months ended June 30, 2018, as compared to $79.9 million for the same period in 2017, was due to the changes in our revenues and operating expenses reflected above and the following factors, each as described more fully below:</w:t>
      </w:r>
    </w:p>
    <w:p>
      <w:pPr>
        <w:spacing w:after="0" w:line="5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$6.4 million increase in the provision for income taxes in the 2018 period.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$3.3 million increase in interest expense for the 2018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and Trends Contributing to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most important factors and trends contributing to our performance during the three months and six months ended June 30, 2018 described herein were:</w:t>
      </w:r>
    </w:p>
    <w:p>
      <w:pPr>
        <w:spacing w:after="0" w:line="154" w:lineRule="exact"/>
        <w:rPr>
          <w:sz w:val="20"/>
          <w:szCs w:val="20"/>
          <w:color w:val="auto"/>
        </w:rPr>
      </w:pPr>
    </w:p>
    <w:p>
      <w:pPr>
        <w:ind w:left="900" w:right="32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occupancy (an increase of 8.6 and 6.3 points of occupancy, respectively), ADR (an increase of 7.5% and 7.4%, respectively) and outside-the-room spending (an increase of 16.8% and 12.6%, respectively) at Gaylord Opryland during the 2018 periods, as compared to the 2017 periods, each primarily due to increases in group business partially attributable to a prior year rooms renovation project. The increase in ADR was also influenced by an increase in transient rates.</w:t>
      </w:r>
    </w:p>
    <w:p>
      <w:pPr>
        <w:spacing w:after="0" w:line="92"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ADR (an increase of 2.1% and 2.7%, respectively) and outside-the-room spending (an increase of 10.0% and 7.3%, respectively) at Gaylord Texan during the 2018 periods, as compared to the 2017 periods, each primarily due to increases in group business partially attributable to the recent rooms and meeting space expansion.</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ADR (an increase of 3.6% and 2.7%, respectively) at Gaylord Palms during the 2018 periods, as compared to the 2017 periods, due primarily to an increase in transient business, as well an increase in outside-the-room spending (an increase of 4.4% and 6.3%, respectively), due primarily to an increase in catering.</w:t>
      </w:r>
    </w:p>
    <w:p>
      <w:pPr>
        <w:spacing w:after="0" w:line="86" w:lineRule="exact"/>
        <w:rPr>
          <w:rFonts w:ascii="Arial" w:cs="Arial" w:eastAsia="Arial" w:hAnsi="Arial"/>
          <w:sz w:val="18"/>
          <w:szCs w:val="18"/>
          <w:color w:val="auto"/>
        </w:rPr>
      </w:pPr>
    </w:p>
    <w:p>
      <w:pPr>
        <w:ind w:left="900" w:right="300" w:hanging="325"/>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ADR (an increase of 5.9% and 1.6%, respectively) and outside-the-room spending (an increase of 11.7% and 4.7%, respectively) at Gaylord National during the 2018 periods, as compared to the 2017 periods, each primarily due to increases in group business.</w:t>
      </w:r>
    </w:p>
    <w:p>
      <w:pPr>
        <w:spacing w:after="0" w:line="29"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revenue for our Entertainment segment during the 2018 periods, as compared to the 2017 periods (an increase of 19.1% and 14.2%, respectively), due primarily to the opening of our flagship Ole Red location in Nashville in May 2018.</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Net Definite Group Room Nights Booked during the 2018 periods, as compared to the 2017 periods (an increase of 62.0% and 21.3%, respectively).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Hospitality Segment</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Hospitality segment for the three months and six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and 2017 (in thousands, except percentages and performance metrics):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3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Rooms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w w:val="89"/>
              </w:rPr>
              <w:t>121,745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110,674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w w:val="89"/>
              </w:rPr>
              <w:t>229,309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214,043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9"/>
              </w:rPr>
              <w:t>141,053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128,441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273,992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254,610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Other hotel revenue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28,958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24,258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53,566</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48,874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hospitality revenue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291,756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263,373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556,867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517,527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Hospitality operating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30,059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28,359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58,987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56,387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72,394</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68,285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w w:val="89"/>
              </w:rPr>
              <w:t>144,372</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137,442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hotel expenses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76,733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73,536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152,615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147,774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Management fees, net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8,635</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6,178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15,765</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11,709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27,233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25,547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53,433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50,725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700"/>
              <w:spacing w:after="0"/>
              <w:rPr>
                <w:sz w:val="20"/>
                <w:szCs w:val="20"/>
                <w:color w:val="auto"/>
              </w:rPr>
            </w:pPr>
            <w:r>
              <w:rPr>
                <w:rFonts w:ascii="Arial" w:cs="Arial" w:eastAsia="Arial" w:hAnsi="Arial"/>
                <w:sz w:val="18"/>
                <w:szCs w:val="18"/>
                <w:color w:val="auto"/>
              </w:rPr>
              <w:t>Total Hospitality operating expenses</w:t>
            </w:r>
          </w:p>
        </w:tc>
        <w:tc>
          <w:tcPr>
            <w:tcW w:w="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215,054</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201,905</w:t>
            </w:r>
          </w:p>
        </w:tc>
        <w:tc>
          <w:tcPr>
            <w:tcW w:w="3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425,172</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404,037</w:t>
            </w:r>
          </w:p>
        </w:tc>
        <w:tc>
          <w:tcPr>
            <w:tcW w:w="3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Hospitality operating income (1)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76,702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61,468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131,695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113,490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Hospitality performance metrics:</w:t>
            </w: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ADR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200.16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191.00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197.72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190.68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RevPAR (2)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158.13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146.42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151.11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142.37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Total RevPAR (3)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8"/>
              <w:spacing w:after="0"/>
              <w:rPr>
                <w:sz w:val="20"/>
                <w:szCs w:val="20"/>
                <w:color w:val="auto"/>
              </w:rPr>
            </w:pPr>
            <w:r>
              <w:rPr>
                <w:rFonts w:ascii="Arial" w:cs="Arial" w:eastAsia="Arial" w:hAnsi="Arial"/>
                <w:sz w:val="18"/>
                <w:szCs w:val="18"/>
                <w:color w:val="auto"/>
              </w:rPr>
              <w:t>378.94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348.45</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366.97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344.24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Definite Group Room Nights Booked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9"/>
              </w:rPr>
              <w:t>500,653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309,065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89"/>
              </w:rPr>
              <w:t>845,293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696,789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right="100" w:hanging="452"/>
        <w:spacing w:after="0" w:line="256"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Hospitality segment operating income does not include preopening costs of $0.6 million and $0.2 million in the three months ended June 30, 2018 and 2017, respectively, and $2.0 million and $0.2 million in the six months ended June 30, 2018 and 2017, respectively. See discussion of preopening costs below.</w:t>
      </w:r>
    </w:p>
    <w:p>
      <w:pPr>
        <w:ind w:left="460" w:right="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Hospitality RevPAR is not comparable to similarly titled measures such as revenues.</w:t>
      </w:r>
    </w:p>
    <w:p>
      <w:pPr>
        <w:ind w:left="460" w:right="2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9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increase in total Hospitality segment revenue in the three months ended June 30, 2018, as compared to the same period in 2017, is primarily due to increases of $14.7 million, $5.8 million, $5.7 million and $2.1 million at Gaylord Opryland, Gaylord Texan, Gaylord National and Gaylord Palms, respectively. The increase in total Hospitality segment revenue in the six months ended June 30, 2018, as compared to the same period in 2017, is primarily due to increases of $22.4 million, $7.5 million, $5.8 million and $4.0 million at Gaylord Opryland, Gaylord Texan, Gaylord Palms and Gaylord National, respectively. See below for further discussion.</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Hospitality segment revenues in the three months and six months ended June 30, 2018 include $3.9 million and $5.1 million, respectively, in attrition and cancellation fee collections, an increase of $2.4 million and $0.8 million, respectively, from the 2017 periods.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group versus transient business based on rooms sold for our Hospitality segment for the periods presented was approximately as follows: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760" w:type="dxa"/>
            <w:vAlign w:val="bottom"/>
            <w:gridSpan w:val="4"/>
          </w:tcPr>
          <w:p>
            <w:pPr>
              <w:ind w:left="2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w:t>
            </w: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Transient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820" w:type="dxa"/>
            <w:vAlign w:val="bottom"/>
            <w:gridSpan w:val="3"/>
          </w:tcPr>
          <w:p>
            <w:pPr>
              <w:jc w:val="right"/>
              <w:ind w:right="540"/>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23%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bl>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Rooms operating expenses increased in the three months and six months ended June 30, 2018, as compared to the same periods in 2017, due primarily to increases at Gaylord Opryland and Gaylord National, as described below.</w:t>
      </w:r>
    </w:p>
    <w:p>
      <w:pPr>
        <w:spacing w:after="0" w:line="1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Food and beverage operating expenses increased in the three months ended June 30, 2018, as compared to the same period in 2017, primarily due to increases at Gaylord National and Gaylord Opryland, as described below. Food and beverage operating expenses increased in the six months ended June 30, 2018, as compared to the same period in 2017, primarily due to increases at Gaylord Opryland, Gaylord National and Gaylord Texan, as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Other hotel expenses for the three months and six months ended June 30, 2018 and 2017 consist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6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59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$27,963</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$26,542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Utilities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6,915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6,968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13,173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13,328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8,369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7,643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spacing w:after="0"/>
              <w:rPr>
                <w:sz w:val="20"/>
                <w:szCs w:val="20"/>
                <w:color w:val="auto"/>
              </w:rPr>
            </w:pPr>
            <w:r>
              <w:rPr>
                <w:rFonts w:ascii="Arial" w:cs="Arial" w:eastAsia="Arial" w:hAnsi="Arial"/>
                <w:sz w:val="18"/>
                <w:szCs w:val="18"/>
                <w:color w:val="auto"/>
              </w:rPr>
              <w:t>33,486</w:t>
            </w:r>
          </w:p>
        </w:tc>
        <w:tc>
          <w:tcPr>
            <w:tcW w:w="2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32,383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66,377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63,735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7"/>
        </w:trPr>
        <w:tc>
          <w:tcPr>
            <w:tcW w:w="5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hotel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76,733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73,536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152,615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147,774</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0"/>
        </w:trPr>
        <w:tc>
          <w:tcPr>
            <w:tcW w:w="5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and six months ended June 30, 2018, as compared to the same periods in 2017. The three-month 2018 increase is primarily due to increases at Gaylord Texan and Gaylord Opryland, and the six-month 2018 increase is primarily due to increases at Gaylord Texan and Gaylord National. Utility costs decreased slightly during the three months and six months ended June 30, 2018, as compared to the same periods in 2017. Property taxes increased during the three months ended June 30, 2018, as compared to the 2017 period, primarily due to an increase at Gaylord Opryland due to the prior year period including an accrual reduction for a decreased tax rate and an increase at Gaylord Texan related to the property’s recent expansion. Property taxes decreased slightly during the six months ended June 30, 2018, as compared to the same period in 2017, as the increase at Gaylord Texan was offset by a decrease at Gaylord National due to prior period tax settlements. Other expenses, which include supplies, advertising, maintenance costs and consulting costs, increased during the three months and six months ended June 30, 2018, as compared to the same periods in 2017, primarily as a result of various increases at Gaylord Opryland, Gaylord National and Gaylord Palms, partially offset by various decreases at Gaylord Texan.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Each of our management agreements with Marriott requires us to pay Marriott a base management fee of approximately 2% of gross revenues from the applicable property for each fiscal year or portion thereof. Additionally, an incentive management fee is based on the profitability of our Gaylord Hotels properties calculated on a pooled basis. In the three months ended June 30, 2018 and 2017, we incurred $5.9 million and $5.4 million, respectively, and in the six months ended June 30, 2018 and 2017, we incurred $11.2 million and $10.5 million, respectively, related to base management fees for our Hospitality segment. In the three months ended June 30, 2018 and 2017, we also incurred $3.5 million and $1.6 million, respectively, and in the six months ended</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June 30, 2018 and 2017, we incurred $6.0 million and $2.8 million, respectively, related to incentive management fees for our Hospitality segment. Management fees are presented throughout this Quarterly Report on Form 10-Q net of the amortization of the $190.0 million in deferred management rights proceeds discussed in Note 8 to the accompanying condensed consolidated financial statements included herein.</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Hospitality segment depreciation and amortization expense increased in the three months and six months ended June 30, 2018, as compared to the same periods in 2017, primarily due to increases at Gaylord Texan and Gaylord Opryland, as described below.</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Property-Level Results. </w:t>
      </w:r>
      <w:r>
        <w:rPr>
          <w:rFonts w:ascii="Arial" w:cs="Arial" w:eastAsia="Arial" w:hAnsi="Arial"/>
          <w:sz w:val="18"/>
          <w:szCs w:val="18"/>
          <w:color w:val="auto"/>
        </w:rPr>
        <w:t>The following presents the property-level financial results of our Hospitality segment for the three months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and 2017.</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months and six months ended June 30, 2018 and 2017 are as follows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except percentages and performance metrics):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Rooms</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$41,406</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$34,447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77,164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65,947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43,155</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36,916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71,672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10,354</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8,897</w:t>
            </w:r>
          </w:p>
        </w:tc>
        <w:tc>
          <w:tcPr>
            <w:tcW w:w="4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19,345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17,603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7"/>
        </w:trPr>
        <w:tc>
          <w:tcPr>
            <w:tcW w:w="3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94,915</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80,260</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177,660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155,222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9,288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16,246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20,647</w:t>
            </w:r>
          </w:p>
        </w:tc>
        <w:tc>
          <w:tcPr>
            <w:tcW w:w="600" w:type="dxa"/>
            <w:vAlign w:val="bottom"/>
          </w:tcPr>
          <w:p>
            <w:pPr>
              <w:jc w:val="right"/>
              <w:spacing w:after="0"/>
              <w:rPr>
                <w:sz w:val="20"/>
                <w:szCs w:val="20"/>
                <w:color w:val="auto"/>
              </w:rPr>
            </w:pPr>
            <w:r>
              <w:rPr>
                <w:rFonts w:ascii="Arial" w:cs="Arial" w:eastAsia="Arial" w:hAnsi="Arial"/>
                <w:sz w:val="18"/>
                <w:szCs w:val="18"/>
                <w:color w:val="auto"/>
              </w:rPr>
              <w:t>18,711</w:t>
            </w:r>
          </w:p>
        </w:tc>
        <w:tc>
          <w:tcPr>
            <w:tcW w:w="4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40,885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37,289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23,878</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22,103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45,160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3,304</w:t>
            </w:r>
          </w:p>
        </w:tc>
        <w:tc>
          <w:tcPr>
            <w:tcW w:w="600" w:type="dxa"/>
            <w:vAlign w:val="bottom"/>
          </w:tcPr>
          <w:p>
            <w:pPr>
              <w:jc w:val="right"/>
              <w:spacing w:after="0"/>
              <w:rPr>
                <w:sz w:val="20"/>
                <w:szCs w:val="20"/>
                <w:color w:val="auto"/>
              </w:rPr>
            </w:pPr>
            <w:r>
              <w:rPr>
                <w:rFonts w:ascii="Arial" w:cs="Arial" w:eastAsia="Arial" w:hAnsi="Arial"/>
                <w:sz w:val="18"/>
                <w:szCs w:val="18"/>
                <w:color w:val="auto"/>
              </w:rPr>
              <w:t>2,144</w:t>
            </w:r>
          </w:p>
        </w:tc>
        <w:tc>
          <w:tcPr>
            <w:tcW w:w="4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3,950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51.6%</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8,859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16,470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r>
      <w:tr>
        <w:trPr>
          <w:trHeight w:val="223"/>
        </w:trPr>
        <w:tc>
          <w:tcPr>
            <w:tcW w:w="38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65,976</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59,630</w:t>
            </w:r>
          </w:p>
        </w:tc>
        <w:tc>
          <w:tcPr>
            <w:tcW w:w="46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128,847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119,115</w:t>
            </w:r>
          </w:p>
        </w:tc>
        <w:tc>
          <w:tcPr>
            <w:tcW w:w="4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2280" w:type="dxa"/>
            <w:vAlign w:val="bottom"/>
            <w:gridSpan w:val="3"/>
          </w:tcPr>
          <w:p>
            <w:pPr>
              <w:jc w:val="right"/>
              <w:ind w:right="228"/>
              <w:spacing w:after="0"/>
              <w:rPr>
                <w:sz w:val="20"/>
                <w:szCs w:val="20"/>
                <w:color w:val="auto"/>
              </w:rPr>
            </w:pPr>
            <w:r>
              <w:rPr>
                <w:rFonts w:ascii="Arial" w:cs="Arial" w:eastAsia="Arial" w:hAnsi="Arial"/>
                <w:sz w:val="18"/>
                <w:szCs w:val="18"/>
                <w:color w:val="auto"/>
              </w:rPr>
              <w:t>81.4%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72.8%</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70.6%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$193.54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$180.11</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178.76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RevPAR</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$157.55</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$131.07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147.62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126.16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$361.16</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$305.40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339.87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296.95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Rooms revenue and RevPAR increased at Gaylord Opryland during the three months and six months ended June 30, 2018, as compared to the same periods in 2017, as the result of increases in occupancy and ADR, due to increases in both group and transient room nights and rates. Rooms revenue and RevPAR were negatively impacted during the 2017 periods by a rooms renovation project, which resulted in approximately 18,800 and 37,050 room nights out of service, respectively. The rooms renovation project was completed in September 2017. Rooms expenses increased during the 2018 periods, as compared to the 2017 periods, primarily due to increased variable costs associated with the increase in occupancy.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increase in food and beverage revenue at Gaylord Opryland during the three months and six months ended June 30, 2018, as compared to the same periods in 2017, was primarily due to increased catering revenue associated with the increased group business. Food and beverage expenses increased in the 2018 periods, as compared to the 2017 periods, due to increased variable costs associated with the increase in revenue, partially offset by improved food, beverage, and labor margins.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hotel revenue increased at Gaylord Opryland during the three months and six months ended June 30, 2018, as compared to the same periods in 2017, primarily due to an increase in ancillary revenue, such as parking and resort fees associated with the increase in occupancy, as well as an increase in attrition and cancellation fee collections. Other hotel expenses increased in the 2018 periods, as compared to the 2017 periods, primarily due to increased sales and marketing expenses.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Depreciation and amortization increased at Gaylord Opryland during the three months and six months ended June 30, 2018, as compared to the same periods in 2017, primarily as a result of recent rooms renovation projects that resulted in increased depreciable asset levels.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three months and six months ended June 30, 2018 and 2017 are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 and performance metrics):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Rooms</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$19,587</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$18,801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41,691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39,859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25,383</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24,808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53,305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5,304</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4,575</w:t>
            </w:r>
          </w:p>
        </w:tc>
        <w:tc>
          <w:tcPr>
            <w:tcW w:w="4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10,830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9,217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r>
      <w:tr>
        <w:trPr>
          <w:trHeight w:val="27"/>
        </w:trPr>
        <w:tc>
          <w:tcPr>
            <w:tcW w:w="3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50,274</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48,184</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108,170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102,381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4,354</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4,113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8,620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13,180</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13,000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27,451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27,258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16,064</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15,767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32,062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1,501</w:t>
            </w:r>
          </w:p>
        </w:tc>
        <w:tc>
          <w:tcPr>
            <w:tcW w:w="600" w:type="dxa"/>
            <w:vAlign w:val="bottom"/>
          </w:tcPr>
          <w:p>
            <w:pPr>
              <w:jc w:val="right"/>
              <w:spacing w:after="0"/>
              <w:rPr>
                <w:sz w:val="20"/>
                <w:szCs w:val="20"/>
                <w:color w:val="auto"/>
              </w:rPr>
            </w:pPr>
            <w:r>
              <w:rPr>
                <w:rFonts w:ascii="Arial" w:cs="Arial" w:eastAsia="Arial" w:hAnsi="Arial"/>
                <w:sz w:val="18"/>
                <w:szCs w:val="18"/>
                <w:color w:val="auto"/>
              </w:rPr>
              <w:t>1,158</w:t>
            </w:r>
          </w:p>
        </w:tc>
        <w:tc>
          <w:tcPr>
            <w:tcW w:w="4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2,387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4,799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9,554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23"/>
        </w:trPr>
        <w:tc>
          <w:tcPr>
            <w:tcW w:w="38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39,898</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38,797</w:t>
            </w:r>
          </w:p>
        </w:tc>
        <w:tc>
          <w:tcPr>
            <w:tcW w:w="46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81,546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79,881</w:t>
            </w:r>
          </w:p>
        </w:tc>
        <w:tc>
          <w:tcPr>
            <w:tcW w:w="4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2280" w:type="dxa"/>
            <w:vAlign w:val="bottom"/>
            <w:gridSpan w:val="3"/>
          </w:tcPr>
          <w:p>
            <w:pPr>
              <w:jc w:val="right"/>
              <w:ind w:right="228"/>
              <w:spacing w:after="0"/>
              <w:rPr>
                <w:sz w:val="20"/>
                <w:szCs w:val="20"/>
                <w:color w:val="auto"/>
              </w:rPr>
            </w:pPr>
            <w:r>
              <w:rPr>
                <w:rFonts w:ascii="Arial" w:cs="Arial" w:eastAsia="Arial" w:hAnsi="Arial"/>
                <w:sz w:val="18"/>
                <w:szCs w:val="18"/>
                <w:color w:val="auto"/>
              </w:rPr>
              <w:t>80.8%</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80.3%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$188.15</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$181.68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194.21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RevPAR</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$152.01</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$145.91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162.67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155.52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$390.16</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$373.94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422.05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399.47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r>
    </w:tbl>
    <w:p>
      <w:pPr>
        <w:spacing w:after="0" w:line="20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Rooms revenue and RevPAR increased at Gaylord Palms during the three months and six months ended June 30, 2018, as compared to the same periods in 2017, due to an increase in both occupancy and ADR for transient business. Rooms expenses increased during the three-month 2018 period and decreased during the six-month 2018 period, as compared to the 2017 periods, as the increase in variable costs associated with the increase in occupancy was offset by decreased commission costs and improved labor margins during the six-month 2018 period.</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Food and beverage revenue increased at Gaylord Palms during the three months and six months ended June 30, 2018, as compared to the same periods in 2017, due primarily to increased catering revenue. Food and beverage expenses increased slightly in the 2018 periods, as compared to the 2017 periods, as the increase in variable costs associated with the increase in revenue was partially offset by improved labor margins and decreased food costs.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Other hotel revenue at Gaylord Palms increased during the three months and six months ended June 30, 2018, as compared to the same periods in 2017, primarily due to an increase in attrition and cancellation fee collections, as well as an increase in ancillary revenue, such as parking and resort fees associated with the increase in occupancy. The six-month 2018 period increase was also impacted by increased holiday programming revenue that continued into January 2018. Other hotel expenses increased slightly in the three-month 2018 period, as compared to the 2017 period, and increased during the six-month 2018 period, as compared to the 2017 period, primarily as a result of expenses associated with the holiday programming that continued into January 2018.</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and amortization were stable at Gaylord Palms during the three months and six months ended June 30, 2018, as compared to the same periods in 2017.</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months and six months ended June 30, 2018 and 2017 are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 and performance metrics):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9"/>
              </w:rPr>
              <w:t>June 30,</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760" w:type="dxa"/>
            <w:vAlign w:val="bottom"/>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46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Pr>
          <w:p>
            <w:pPr>
              <w:spacing w:after="0"/>
              <w:rPr>
                <w:sz w:val="12"/>
                <w:szCs w:val="12"/>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Rooms</w:t>
            </w:r>
          </w:p>
        </w:tc>
        <w:tc>
          <w:tcPr>
            <w:tcW w:w="2140" w:type="dxa"/>
            <w:vAlign w:val="bottom"/>
            <w:gridSpan w:val="3"/>
          </w:tcPr>
          <w:p>
            <w:pPr>
              <w:jc w:val="right"/>
              <w:ind w:right="228"/>
              <w:spacing w:after="0"/>
              <w:rPr>
                <w:sz w:val="20"/>
                <w:szCs w:val="20"/>
                <w:color w:val="auto"/>
              </w:rPr>
            </w:pPr>
            <w:r>
              <w:rPr>
                <w:rFonts w:ascii="Arial" w:cs="Arial" w:eastAsia="Arial" w:hAnsi="Arial"/>
                <w:sz w:val="18"/>
                <w:szCs w:val="18"/>
                <w:color w:val="auto"/>
              </w:rPr>
              <w:t>$21,552</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$19,067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41,832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39,504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21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30,403</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29,047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59,613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4,658</w:t>
            </w:r>
          </w:p>
        </w:tc>
        <w:tc>
          <w:tcPr>
            <w:tcW w:w="4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11,564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10,400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r>
      <w:tr>
        <w:trPr>
          <w:trHeight w:val="27"/>
        </w:trPr>
        <w:tc>
          <w:tcPr>
            <w:tcW w:w="3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52,772</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116,968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109,517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1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4,425</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4,182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140" w:type="dxa"/>
            <w:vAlign w:val="bottom"/>
            <w:gridSpan w:val="3"/>
          </w:tcPr>
          <w:p>
            <w:pPr>
              <w:jc w:val="right"/>
              <w:ind w:right="228"/>
              <w:spacing w:after="0"/>
              <w:rPr>
                <w:sz w:val="20"/>
                <w:szCs w:val="20"/>
                <w:color w:val="auto"/>
              </w:rPr>
            </w:pPr>
            <w:r>
              <w:rPr>
                <w:rFonts w:ascii="Arial" w:cs="Arial" w:eastAsia="Arial" w:hAnsi="Arial"/>
                <w:sz w:val="18"/>
                <w:szCs w:val="18"/>
                <w:color w:val="auto"/>
              </w:rPr>
              <w:t>15,052</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14,701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31,302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30,010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21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15,562</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14,874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29,673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2140" w:type="dxa"/>
            <w:vAlign w:val="bottom"/>
            <w:gridSpan w:val="3"/>
          </w:tcPr>
          <w:p>
            <w:pPr>
              <w:jc w:val="right"/>
              <w:ind w:right="228"/>
              <w:spacing w:after="0"/>
              <w:rPr>
                <w:sz w:val="20"/>
                <w:szCs w:val="20"/>
                <w:color w:val="auto"/>
              </w:rPr>
            </w:pPr>
            <w:r>
              <w:rPr>
                <w:rFonts w:ascii="Arial" w:cs="Arial" w:eastAsia="Arial" w:hAnsi="Arial"/>
                <w:sz w:val="18"/>
                <w:szCs w:val="18"/>
                <w:color w:val="auto"/>
              </w:rPr>
              <w:t>2,074</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1,244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3,773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2,483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1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6,001</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5,140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10,250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23"/>
        </w:trPr>
        <w:tc>
          <w:tcPr>
            <w:tcW w:w="38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43,114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40,141</w:t>
            </w:r>
          </w:p>
        </w:tc>
        <w:tc>
          <w:tcPr>
            <w:tcW w:w="4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86,024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80,996</w:t>
            </w:r>
          </w:p>
        </w:tc>
        <w:tc>
          <w:tcPr>
            <w:tcW w:w="4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2140" w:type="dxa"/>
            <w:vAlign w:val="bottom"/>
            <w:gridSpan w:val="3"/>
          </w:tcPr>
          <w:p>
            <w:pPr>
              <w:jc w:val="right"/>
              <w:ind w:right="88"/>
              <w:spacing w:after="0"/>
              <w:rPr>
                <w:sz w:val="20"/>
                <w:szCs w:val="20"/>
                <w:color w:val="auto"/>
              </w:rPr>
            </w:pPr>
            <w:r>
              <w:rPr>
                <w:rFonts w:ascii="Arial" w:cs="Arial" w:eastAsia="Arial" w:hAnsi="Arial"/>
                <w:sz w:val="18"/>
                <w:szCs w:val="18"/>
                <w:color w:val="auto"/>
              </w:rPr>
              <w:t>73.0%</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72.7%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76.1%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21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$194.82</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$190.73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194.87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189.76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RevPAR</w:t>
            </w:r>
          </w:p>
        </w:tc>
        <w:tc>
          <w:tcPr>
            <w:tcW w:w="2140" w:type="dxa"/>
            <w:vAlign w:val="bottom"/>
            <w:gridSpan w:val="3"/>
          </w:tcPr>
          <w:p>
            <w:pPr>
              <w:jc w:val="right"/>
              <w:ind w:right="228"/>
              <w:spacing w:after="0"/>
              <w:rPr>
                <w:sz w:val="20"/>
                <w:szCs w:val="20"/>
                <w:color w:val="auto"/>
              </w:rPr>
            </w:pPr>
            <w:r>
              <w:rPr>
                <w:rFonts w:ascii="Arial" w:cs="Arial" w:eastAsia="Arial" w:hAnsi="Arial"/>
                <w:sz w:val="18"/>
                <w:szCs w:val="18"/>
                <w:color w:val="auto"/>
              </w:rPr>
              <w:t>$142.18</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$138.66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145.47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144.44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21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$386.67</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$383.79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400.44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bl>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Rooms revenue and RevPAR increased at Gaylord Texan during the three months and six months ended June 30, 2018, as compared to the same periods in 2017, due primarily to an increase in ADR for both groups and transient business. The 2018 periods were also positively impacted by additional room availability from the recently completed rooms expansion. Rooms expenses increased during the 2018 periods, as compared to the 2017 periods, primarily due an increase in group commissions.</w:t>
      </w:r>
    </w:p>
    <w:p>
      <w:pPr>
        <w:spacing w:after="0" w:line="18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Food and beverage revenue increased at Gaylord Texan during the three months and six months ended June 30, 2018, as compared to the same periods in 2017, due to an increase in catering revenue. Food and beverage expenses increased in the 2018 periods, as compared to the 2017 periods, primarily due to the increase in variable costs associated with the increase in revenue, partially offset by decreased food costs.</w:t>
      </w:r>
    </w:p>
    <w:p>
      <w:pPr>
        <w:spacing w:after="0" w:line="166"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Other hotel revenue at Gaylord Texan increased during the three months and six months ended June 30, 2018, as compared to the same periods in 2017, primarily as a result of an increase in attrition and cancellation fee collections. Other hotel expenses increased in the 2018 periods, as compared to the 2017 periods, due primarily to increased property tax and marketing expenses associated with the recent rooms and meeting space expansion.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Depreciation and amortization increased at Gaylord Texan during the three months and six months ended June 30, 2018, as compared to the 2017 periods, primarily as a result of the recent rooms and meeting space expansion that resulted in increased depreciable asset levels.</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three months and six months ended June 30, 2018 and 2017 are as follows (in thousands,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percentages and performance metrics):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Rooms</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$32,415</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$31,680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57,608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57,356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40,746</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36,281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67,599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Other hotel revenue</w:t>
            </w:r>
          </w:p>
        </w:tc>
        <w:tc>
          <w:tcPr>
            <w:tcW w:w="1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6,526</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6,034</w:t>
            </w:r>
          </w:p>
        </w:tc>
        <w:tc>
          <w:tcPr>
            <w:tcW w:w="4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11,664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11,497</w:t>
            </w:r>
          </w:p>
        </w:tc>
        <w:tc>
          <w:tcPr>
            <w:tcW w:w="4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7"/>
        </w:trPr>
        <w:tc>
          <w:tcPr>
            <w:tcW w:w="3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79,687</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73,995</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140,443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136,452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10,468</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10,309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20,181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22,468</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20,896</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42,810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41,073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hotel expenses</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18,970</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18,597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36,696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Management fees, net</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1,368</w:t>
            </w:r>
          </w:p>
        </w:tc>
        <w:tc>
          <w:tcPr>
            <w:tcW w:w="600" w:type="dxa"/>
            <w:vAlign w:val="bottom"/>
          </w:tcPr>
          <w:p>
            <w:pPr>
              <w:jc w:val="right"/>
              <w:spacing w:after="0"/>
              <w:rPr>
                <w:sz w:val="20"/>
                <w:szCs w:val="20"/>
                <w:color w:val="auto"/>
              </w:rPr>
            </w:pPr>
            <w:r>
              <w:rPr>
                <w:rFonts w:ascii="Arial" w:cs="Arial" w:eastAsia="Arial" w:hAnsi="Arial"/>
                <w:sz w:val="18"/>
                <w:szCs w:val="18"/>
                <w:color w:val="auto"/>
              </w:rPr>
              <w:t>1,255</w:t>
            </w:r>
          </w:p>
        </w:tc>
        <w:tc>
          <w:tcPr>
            <w:tcW w:w="4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2,363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2,284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6,884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23"/>
        </w:trPr>
        <w:tc>
          <w:tcPr>
            <w:tcW w:w="38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60,158</w:t>
            </w:r>
          </w:p>
        </w:tc>
        <w:tc>
          <w:tcPr>
            <w:tcW w:w="4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57,670</w:t>
            </w:r>
          </w:p>
        </w:tc>
        <w:tc>
          <w:tcPr>
            <w:tcW w:w="46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117,597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113,363</w:t>
            </w:r>
          </w:p>
        </w:tc>
        <w:tc>
          <w:tcPr>
            <w:tcW w:w="4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2280" w:type="dxa"/>
            <w:vAlign w:val="bottom"/>
            <w:gridSpan w:val="3"/>
          </w:tcPr>
          <w:p>
            <w:pPr>
              <w:jc w:val="right"/>
              <w:ind w:right="228"/>
              <w:spacing w:after="0"/>
              <w:rPr>
                <w:sz w:val="20"/>
                <w:szCs w:val="20"/>
                <w:color w:val="auto"/>
              </w:rPr>
            </w:pPr>
            <w:r>
              <w:rPr>
                <w:rFonts w:ascii="Arial" w:cs="Arial" w:eastAsia="Arial" w:hAnsi="Arial"/>
                <w:sz w:val="18"/>
                <w:szCs w:val="18"/>
                <w:color w:val="auto"/>
              </w:rPr>
              <w:t>78.6%</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81.3%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75.5%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$227.17</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$214.42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213.54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RevPAR</w:t>
            </w:r>
          </w:p>
        </w:tc>
        <w:tc>
          <w:tcPr>
            <w:tcW w:w="2280" w:type="dxa"/>
            <w:vAlign w:val="bottom"/>
            <w:gridSpan w:val="3"/>
          </w:tcPr>
          <w:p>
            <w:pPr>
              <w:jc w:val="right"/>
              <w:ind w:right="368"/>
              <w:spacing w:after="0"/>
              <w:rPr>
                <w:sz w:val="20"/>
                <w:szCs w:val="20"/>
                <w:color w:val="auto"/>
              </w:rPr>
            </w:pPr>
            <w:r>
              <w:rPr>
                <w:rFonts w:ascii="Arial" w:cs="Arial" w:eastAsia="Arial" w:hAnsi="Arial"/>
                <w:sz w:val="18"/>
                <w:szCs w:val="18"/>
                <w:color w:val="auto"/>
              </w:rPr>
              <w:t>$178.46</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$174.41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159.46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158.76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RevPAR</w:t>
            </w:r>
          </w:p>
        </w:tc>
        <w:tc>
          <w:tcPr>
            <w:tcW w:w="2280" w:type="dxa"/>
            <w:vAlign w:val="bottom"/>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$438.72</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$407.38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388.74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377.69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Rooms revenue and RevPAR increased at Gaylord National during the three months and six months ended June 30, 2018, as compared to the same periods in 2017, due primarily to an increase in ADR for group business. Rooms expenses increased at Gaylord National during the 2018 periods, as compared to the 2017 periods, primarily due to increased labor costs.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Food and beverage revenue increased at Gaylord National during the three months and six months ended June 30, 2018, as compared to the same periods in 2017, primarily as a result of an increase in banquets. Food and beverage expenses increased in the 2018 periods, as compared to the 2017 periods, as a result of increased variable costs associated with the increase in revenue.</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Other hotel revenue increased during the three months and six months ended June 30, 2018, as compared to the same periods in 2017, primarily due to an increase in attrition and cancellation fee collections. Other hotel expenses increased in the 2018 periods, as compared to the 2017 periods, due to an increase in sales and marketing expenses, partially offset by a decrease in property taxes due to prior period tax settlements.</w:t>
      </w:r>
    </w:p>
    <w:p>
      <w:pPr>
        <w:spacing w:after="0" w:line="16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Depreciation and amortization at Gaylord National increased during the three months and six months ended June 30, 2018, as compared to the same periods in 2017, primarily due to the completion of a new riverfront ballroom in 2017, and the resulting increase in depreciable asset levels.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Entertainment segment for the three months and six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and 2017 (in thousands, except percentages):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center"/>
              <w:ind w:right="8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4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42,178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$35,405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$65,437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$57,293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30,254</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22,135</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36.7%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49,620</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38,986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1,592</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Operating income (1)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11,678</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11,545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14,807</w:t>
            </w: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2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Entertainment segment operating income does not include preopening costs of $1.0 million and $0.3 million in the three months ended June 30, 2018 and 2017, respectively, and $1.6 million and $0.5 million in the six months ended June 30, 2018 and 2017, respectively. See discussion of preopening costs below.</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Entertainment segment revenue increased during the three months and six months ended June 30, 2018, as compared to the same periods in 2017, primarily due to the opening of our flagship Ole Red location in Nashville in May 2018.</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Entertainment operating expenses increased during the three months and six months ended June 30, 2018, as compared to the same periods in 2017, primarily as a result of increased compensation and consulting costs, as well as increased variable costs associated with the increase in revenue.</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Entertainment depreciation expense increased in the three months and six months ended June 30, 2018, as compared to the same periods in 2017, primarily as a result of the opening of Ole Red Nashville that resulted in increased depreciable asset levels.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The following presents the financial results of our Corporate and Other segment for the three months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 (in thousands, except percentages):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6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$ 7,640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9"/>
              </w:rPr>
              <w:t>$ 7,468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$ 15,969</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$ 14,877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447</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540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956</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1,091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7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(8,087)</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(8,008)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(16,925)</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(15,968)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Corporate and Other operating expenses, which consist primarily of costs associated with senior management salaries and benefits, legal, human resources, accounting, pension, information technology and other administrative costs, increased in the three months and six months ended June 30, 2018, as compared to the same periods in 2017, primarily due to increased administrative and employment costs associated with supporting our growth initiatives within our Hospitality and Entertainment segments.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Corporate and Other depreciation and amortization expense decreased in the three months and six months ended June 30, 2018, as compared with the same periods in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Preopening costs of $1.5 million and $3.7 million during the three months and six months ended June 30, 2018 primarily include costs associated with an expansion of the guest rooms and convention space at Gaylord Texan, which opened in the second quarter of 2018, and costs associated with Ole Red Nashville, which opened in May 2018. Preopening costs of $0.5 million and $0.7 million during the three months and six months ended June 30, 2017, respectively, include costs associated with a riverfront ballroom at Gaylord National, which opened in the second quarter of 2017, and costs associated with our various Entertainment segment projects.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summarizes the other factors which affected our net income for the three months and six months ended June 30, 2018 and 2017 (in thousands, except percentages):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8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5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 Change</w:t>
            </w:r>
          </w:p>
        </w:tc>
        <w:tc>
          <w:tcPr>
            <w:tcW w:w="2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$(19,625)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$(17,155)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$(36,354)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$(33,019)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income</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2,766</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2,969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5,519</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5,917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joint ventures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1,346</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(1,717)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(1,324)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102.7%</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204</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(1,396)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114.6%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(5,676)</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(899)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Interest expense increased $2.5 million during the three months and increased $3.3 million in the six months ended June 30, 2018, as compared to the same periods in 2017, due primarily to increased interest incurred in connection with our term loan A and increased borrowings under our term loan B, which were both refinanced in May 2017, and an increase of $1.0 million in interest expense related to the write-off of deferred financing costs associated with our refinancing in each of the 2018 and 2017 periods. These increases were partially offset by increased capitalized interest in the current periods.</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interest expense increased $2.8 million to $19.2 million in the three months and increased $4.8 million to $37.1 million in the six months ended June 30, 2018, as compared to the same periods in 2017. Non-cash interest expense, which includes amortization of deferred financing costs and the write-off of deferred financing costs, offset by capitalized interest, decreased $0.3 million to $0.4 million in the three months and decreased $1.5 million to $(0.7) million in the six months ended June 30, 2018, as compared to the same periods in 2017.</w:t>
      </w:r>
    </w:p>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weighted average interest rate on our borrowings, excluding the write-off of deferred financing costs and capitalized interest, was 4.8% and 4.4% for the three months ended June 30, 2018 and 2017, respectively, and 4.7% and 4.4% for the six months ended June 30, 2018 and 2017,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Interest income for the three months and six months ended June 30, 2018 and 2017 primarily includes amounts earned on the bonds that were received in connection with the development of Gaylord National, which we hold as notes receivable. See Note 6 to the accompanying condensed consolidated financial statements for additional discussion of interest income on these bonds.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Joint Ventures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income (loss) from joint ventures for the three months and six months ended June 30, 2018 and 2017 primarily represents preopening expenses incurred by our Gaylord Rockies joint venture, which is anticipated to open in late 2018, as well as pre-opening expenses in the 2017 period, and losses incurred in the 2018 period, by our Opry City Stage joint venture in Times Square in New York City, which opened in December 2017. We acquired the remaining 50% joint venture interest in Opry City Stage in the second quarter of 2018. In addition, the 2018 periods included a gain of $2.8 million recognized from the re-measurement of the pre-existing Opry City Stage equity method investment prior to consolidation. We expect the results of operations of Opry City Stage will negatively impact the Entertainment segment in the near term as we continue to make investments to appropriately position this offering.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and (Losses), net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Other gains and (losses), net for the three months and six months ended June 30, 2018 represents various miscellaneous items. Other gains and (losses), net for the three months and six months ended June 30, 2017 primarily represents a loss on certain assets that were disposed of in our Entertainment and Corporate segments.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three months ended June 30, 2018 and 2017, we recorded an income tax provision of $5.7 million and $0.9 million, respectively. For the six months ended June 30, 2018 and 2017, we recorded an income tax provision of $7.9 million and $1.5 million, respectively. These results differ from the statutory rate primarily due to the REIT dividends paid deduction in both periods and the change in valuation allowance required at the TRSs for the 2017 periods.</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December 22, 2017, the Tax Cuts and Jobs Act (“TCJA”) was enacted and included a reduction to the U.S. federal corporate income tax rate from 35% to 21% for tax years beginning after December 31, 2017. We have not fully completed our accounting for the income tax effects of the TCJA. As discussed in SEC Staff Accounting Bulletin No. 118, the accounting for the TCJA should be completed within one year from enactment. During the six months ended June 30, 2018, we have made no adjustments to the provisional amounts recorded at December 31, 2017. Any adjustments to the provisional amounts recorded at December 31, 2017 will be reflected upon the completion of our accounting for the TCJA.</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Cash Flows From Operating Activities</w:t>
      </w:r>
      <w:r>
        <w:rPr>
          <w:rFonts w:ascii="Arial" w:cs="Arial" w:eastAsia="Arial" w:hAnsi="Arial"/>
          <w:sz w:val="18"/>
          <w:szCs w:val="18"/>
          <w:color w:val="auto"/>
        </w:rPr>
        <w:t>. Cash flow from operating activities is the principal source of cash used to fund our operating expenses,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on debt, maintenance capital expenditures, and dividends to stockholders. During the six months ended June 30, 2018, our net cash flows provided by operating activities were $131.7 million, primarily reflecting cash provided by our income before depreciation expense, amortization expense and other non-cash charges of approximately $157.3 million, partially offset by unfavorable changes in working capital of approximately $25.6 million. During the six months ended June 30, 2017, our net cash flows provided by operating activities were $113.9 million, primarily reflecting cash provided by our income before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depreciation expense, amortization expense and other non-cash charges of approximately $141.8 million, partially offset by unfavorable changes in working capital of approximately $27.9 million. The unfavorable changes in working capital in both periods primarily resulted from an increase in trade receivables due to a seasonal change in the timing of payments received from corporate group customers at our Gaylord Hotels properties, as well as a decrease in accounts payable and accrued liabilities primarily attributable to the payment of liabilities associated with our Christmas-related and incentive compensation programs.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During the six months ended June 30, 2018, our primary uses of funds for investing activities were purchases of</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which totaled $95.4 million, and consisted primarily of construction of the new waterpark at Gaylord Opryland, the expansion of the guest rooms and convention space at Gaylord Texan, construction of Ole Red Nashville, and ongoing maintenance capital expenditures for our existing properties.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six months ended June 30, 2017, our primary uses of funds for investing activities were purchases of property and equipment, which totaled $79.5 million, and our investment of $16.3 million in the Gaylord Rockies joint venture. Purchases of property and equipment consisted primarily of the expansion of the guest rooms and convention space at Gaylord Texan, the renovation of a portion of the guest rooms at Gaylord Opryland, a freestanding event ballroom and an expanded event space at Gaylord National, the commencement of construction of the new waterpark at Gaylord Opryland, and ongoing maintenance capital expenditures for our existing properties.</w:t>
      </w:r>
    </w:p>
    <w:p>
      <w:pPr>
        <w:spacing w:after="0" w:line="188"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i w:val="1"/>
          <w:iCs w:val="1"/>
          <w:color w:val="auto"/>
        </w:rPr>
        <w:t>Cash Flows From Financing Activities</w:t>
      </w:r>
      <w:r>
        <w:rPr>
          <w:rFonts w:ascii="Arial" w:cs="Arial" w:eastAsia="Arial" w:hAnsi="Arial"/>
          <w:sz w:val="16"/>
          <w:szCs w:val="16"/>
          <w:color w:val="auto"/>
        </w:rPr>
        <w:t>. Our cash flows from financing activities primarily reflect the incurrence of debt, the repayment of long-term debt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payment of cash dividends. During the six months ended June 30, 2018, our net cash flows used in financing activities were approximately $10.3 million, primarily reflecting the payment of $85.1 million in cash dividends, partially offset by $79.3 million in net borrowings under our credit facility.</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six months ended June 30, 2017, our net cash flows used in financing activities were approximately $28.9 million, primarily reflecting the repayment of $241.9 million under our refinanced revolving credit facility, the payment of $79.8 million in cash dividends and the payment of $12.2 million in deferred financing costs related to our refinanced credit facility. These uses of cash were partially offset by $200.0 million in borrowings under our new term loan A and $108.8 million in net borrowings under our refinanced term loan B.</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June 30, 2018, we had $61.8 million in unrestricted cash and $446.1 million available for borrowing under our revolving credit facility. During the six months ended June 30, 2018, we net borrowed $79.3 million under our credit facility, incurred capital expenditures of $95.4 million and paid cash dividends of $85.1 million. These net outflows were offset by cash flows from operating activities discussed above, resulting in the increase in our cash balance from December 31, 2017 to June 30, 2018.</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currently plan to pay a quarterly cash dividend of $0.85 per share in October 2018 and January 2019, subject to determinations as to the timing and amount by our board of directors. We anticipate investing in our operations during the remainder of 2018 by spending between $85 million and $120 million in capital expenditures, which primarily includes ongoing maintenance capital of our current facilities and the construction of a luxury indoor/outdoor waterpark at Gaylord Opryland.</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believe that our cash on hand and cash from operations will be adequate to fund our general short-term commitments, as well as: (i) normal operating expenses, (ii) interest expense on long-term debt obligations, (iii) capital lease and operating lease obligations, and (iv) declared dividends. If our existing cash and cash from operations were inadequate to fund such items, as well as capital expenditures, we could draw on our credit facility, subject to the satisfaction of covenants in the credit facility.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Our outstanding principal debt agreements, none of which mature prior to 2021, are described below. Based on current projections for compliance under our financial covenants contained in these agreements, we do not foresee a maturity issue prior to their scheduled maturity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June 30, 2018, we were in compliance with all covenants related to our outstanding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Debt Agreements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Credit Facility</w:t>
      </w:r>
      <w:r>
        <w:rPr>
          <w:rFonts w:ascii="Arial" w:cs="Arial" w:eastAsia="Arial" w:hAnsi="Arial"/>
          <w:sz w:val="17"/>
          <w:szCs w:val="17"/>
          <w:color w:val="auto"/>
        </w:rPr>
        <w:t>. On May 11, 2017, we entered into a Fifth Amended and Restated Credit Agreement (the “Credit Agreement”) among the Company, as a</w:t>
      </w:r>
      <w:r>
        <w:rPr>
          <w:rFonts w:ascii="Arial" w:cs="Arial" w:eastAsia="Arial" w:hAnsi="Arial"/>
          <w:sz w:val="17"/>
          <w:szCs w:val="17"/>
          <w:i w:val="1"/>
          <w:iCs w:val="1"/>
          <w:color w:val="auto"/>
        </w:rPr>
        <w:t xml:space="preserve"> </w:t>
      </w:r>
      <w:r>
        <w:rPr>
          <w:rFonts w:ascii="Arial" w:cs="Arial" w:eastAsia="Arial" w:hAnsi="Arial"/>
          <w:sz w:val="17"/>
          <w:szCs w:val="17"/>
          <w:color w:val="auto"/>
        </w:rPr>
        <w:t>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In addition, on May 23, 2017, we entered into an Amendment No. 1 (the “Amendment No. 1”) and on June 26, 2018, we entered into an Amendment No. 2 (the “Amendment No. 2”) to the Credit Agreement among the same parties, as discussed below. As amended, our credit facility consists of a $700.0 million senior secured revolving credit facility (the “Revolver”), a $200.0 million senior secured term loan A (the “Term Loan A”), and a $500.0 million senior secured term loan B (the “Term Loan B”), each as discussed below.</w:t>
      </w:r>
    </w:p>
    <w:p>
      <w:pPr>
        <w:spacing w:after="0" w:line="178"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Each of the Revolver, Term Loan A and Term Loan B is guaranteed by us, each of our four wholly-owned subsidiaries that own the Gaylord Hotels properties, and certain of our other subsidiaries. Each is secured by (i) a first mortgage lien on the real property of each of our Gaylord Hotels properties,</w:t>
      </w:r>
    </w:p>
    <w:p>
      <w:pPr>
        <w:ind w:right="180" w:firstLine="8"/>
        <w:spacing w:after="0" w:line="302" w:lineRule="auto"/>
        <w:tabs>
          <w:tab w:leader="none" w:pos="2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Hotels properties is sold).</w:t>
      </w:r>
    </w:p>
    <w:p>
      <w:pPr>
        <w:spacing w:after="0" w:line="1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 (and are unchanged from the previous credit agreement):</w:t>
      </w:r>
    </w:p>
    <w:p>
      <w:pPr>
        <w:spacing w:after="0" w:line="9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must maintain a consolidated funded indebtedness to total asset value ratio as of the end of each calendar quarter of not more than .65 to 1.0.</w:t>
      </w:r>
    </w:p>
    <w:p>
      <w:pPr>
        <w:spacing w:after="0" w:line="153" w:lineRule="exact"/>
        <w:rPr>
          <w:rFonts w:ascii="Arial" w:cs="Arial" w:eastAsia="Arial" w:hAnsi="Arial"/>
          <w:sz w:val="16"/>
          <w:szCs w:val="16"/>
          <w:color w:val="auto"/>
        </w:rPr>
      </w:pPr>
    </w:p>
    <w:p>
      <w:pPr>
        <w:ind w:left="900" w:right="8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maintain a consolidated tangible net worth (as defined in the Credit Agreement) of not less than $175 million plus 75% of the proceeds received by us or any of our subsidiaries in connection with any equity issuance.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30" w:lineRule="exact"/>
        <w:rPr>
          <w:rFonts w:ascii="Arial" w:cs="Arial" w:eastAsia="Arial" w:hAnsi="Arial"/>
          <w:sz w:val="18"/>
          <w:szCs w:val="18"/>
          <w:color w:val="auto"/>
        </w:rPr>
      </w:pPr>
    </w:p>
    <w:p>
      <w:pPr>
        <w:ind w:left="900" w:right="80" w:hanging="325"/>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$700 Million Revolving Credit Facility</w:t>
      </w:r>
      <w:r>
        <w:rPr>
          <w:rFonts w:ascii="Arial" w:cs="Arial" w:eastAsia="Arial" w:hAnsi="Arial"/>
          <w:sz w:val="18"/>
          <w:szCs w:val="18"/>
          <w:color w:val="auto"/>
        </w:rPr>
        <w:t>. Pursuant to Amendment No. 1, we extended the maturity of the Revolver to May 23, 2021, with two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six-month extension options, at our election. Borrowings under the Revolver bear interest at an annual rate equal to, at our option, either (i) LIBOR plus the applicable margin ranging from 1.55% to 2.40%, dependent upon our funded debt to total asset value ratio (as defined in the Credit Agreement) or (ii) a base rate as set in the Credit Agreement. At June 30, 2018, the interest rate on the Revolver was LIBOR plus 1.55%. Principal is payable in full at maturity. No additional amounts were borrowed under the Revolver at closing.</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June 30, 2018, $251.5 million of borrowings were outstanding under the Revolver, and the lending banks had issued $2.4 million of letters of credit under the Credit Agreement, which left $446.1 million of availability under the Revolver (subject to the satisfaction of debt incurrence tests under the indentures governing our $350 million in aggregate principal amount of senior notes due 2021 (the “$350 Million 5% Senior Notes”) and $400 million in aggregate principal amount of senior notes due 2023 (the “$400 Million 5% Senior Notes”), which we met at June 30, 2018).</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$200 Million Term Loan A Facility. </w:t>
      </w:r>
      <w:r>
        <w:rPr>
          <w:rFonts w:ascii="Arial" w:cs="Arial" w:eastAsia="Arial" w:hAnsi="Arial"/>
          <w:sz w:val="17"/>
          <w:szCs w:val="17"/>
          <w:color w:val="auto"/>
        </w:rPr>
        <w:t>Amendment No. 1 also provides for the Term Loan A, which has a maturity date of May 23, 2022. Borrowings bear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at an annual rate equal to, at our option, either (i) LIBOR plus the applicable margin ranging from 1.50% to 2.35%, dependent upon our funded debt to total asset value ratio (as defined in the Credit Agreement) or (ii) a base rate as set in the Credit Agreement. At June 30, 2018, the interest rate on the Term Loan A was LIBOR plus 1.50%. Amounts borrowed under the Term Loan A that are repaid or prepaid may not be reborrowed. At closing, we drew down on the Term Loan A in full and proceeds were used to pay down a portion of the Revolver.</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$500 Million Term Loan B Facility. </w:t>
      </w:r>
      <w:r>
        <w:rPr>
          <w:rFonts w:ascii="Arial" w:cs="Arial" w:eastAsia="Arial" w:hAnsi="Arial"/>
          <w:sz w:val="16"/>
          <w:szCs w:val="16"/>
          <w:color w:val="auto"/>
        </w:rPr>
        <w:t>In May 2017, as part of the Credit Agreement discussed above, we increased the capacity under our previous $400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term loan B to $500 million. The Term Loan B has a maturity date of May 11, 2024 and, prior to June 26, 2018, borrowings bore interest at an annual rate equal to, at our option, either (i) LIBOR plus 2.25% or (ii) a base rate as set in the Credit Agreement. On June 26, 2018, we entered into Amendment No. 2 that reduces the applicable interest rate margins for borrowings under the Term Loan B to, at our option, either (i) LIBOR plus 2.00% or (ii) a base rate as set in the Credit Agreement. At June 30, 2018, the interest rate on the Term Loan B was LIBOR plus 2.00%.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As a result of Amendment No. 2, the commencement date for any Excess Cash Flow payments has been extended to December 31, 2019. Amounts borrowed under the Term Loan B that are repaid or prepaid may not be reborrowed. At closing of Amendment No. 1, we drew down on the Term Loan B in full. Net proceeds, after the repayment of the original $400 million term loan B and certain transaction expenses payable at closing, were used to pay down a portion of the Revolver. Amendment No. 2 did not change the maturity dates existing under the Credit Agreement or result in any increase or decrease in outstanding borrowings.</w:t>
      </w:r>
    </w:p>
    <w:p>
      <w:pPr>
        <w:spacing w:after="0" w:line="17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As a result of the repricing of the Term Loan B in 2018, we wrote off $2.0 million of deferred financing costs during the three months and six months ended June 30, 2018, which is included in interest expense in the accompanying condensed consolidated statement of operations. At June 30, 2018, $495.0 million in borrowings were outstanding under the Term Loan B.</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$350 Million 5% Senior Notes. </w:t>
      </w:r>
      <w:r>
        <w:rPr>
          <w:rFonts w:ascii="Arial" w:cs="Arial" w:eastAsia="Arial" w:hAnsi="Arial"/>
          <w:sz w:val="18"/>
          <w:szCs w:val="18"/>
          <w:color w:val="auto"/>
        </w:rPr>
        <w:t>In 2013, the Operating Partnership and Finco completed the private placement of $350.0 million in aggregate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senior notes due 2021, which are guaranteed by the Company and its subsidiaries that guarantee the Credit Agreement. The $350 Million 5% Senior Notes and guarantees were issued pursuant to an indenture by and among the issuing subsidiaries and the guarantors and U.S. Bank National Association as trustee. The $350 Million 5% Senior Notes have a maturity date of April 15, 2021 and bear interest at 5% per annum, payable semi-annually in cash in arrears on April 15 and October 15 of each year. The $350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Million 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$350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$350 Million 5% Senior Notes will be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$350 Million 5% Senior Notes.</w:t>
      </w:r>
    </w:p>
    <w:p>
      <w:pPr>
        <w:spacing w:after="0" w:line="16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$350 Million 5% Senior Notes are redeemable, in whole or in part, at a redemption price expressed as a percentage of the principal amount thereof, which percentage is 101.25%, and 100.00% beginning on April 15 of 2018, and 2019, respectively, plus accrued and unpaid interest thereon to, but not including, the redemption date.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the issuance of the $350 Million 5% Senior Notes, we completed a registered offer to exchange the $350 Million 5% Senior Notes for registered notes with substantially identical terms as the $350 Million 5% Senior Notes in November 2013.</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$400 Million 5% Senior Notes. </w:t>
      </w:r>
      <w:r>
        <w:rPr>
          <w:rFonts w:ascii="Arial" w:cs="Arial" w:eastAsia="Arial" w:hAnsi="Arial"/>
          <w:sz w:val="17"/>
          <w:szCs w:val="17"/>
          <w:color w:val="auto"/>
        </w:rPr>
        <w:t>In 2015, the Operating Partnership and Finco completed the private placement of $400.0 million in aggregate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senior notes due 2023. The $400 Million 5% Senior Notes are general unsecured senior obligations of the Company’s issuing subsidiaries and are guaranteed by the Company and its subsidiaries that guarantee the Credit Agreement.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including the $350 Million 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$400 Million 5% Senior Notes are redeemable, in whole or in part, at any time on or after April 15, 2018 at a redemption price expressed as a percentage of the principal amount thereof, which percentage is 103.75%, 102.50%, 101.25%, and 100.00% beginning on April 15 of 2018, 2019, 2020, and 2021, respectively, plus accrued and unpaid interest thereon to, but not including, the redemption date.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the issuance of the $400 Million 5% Senior Notes, we completed a registered offer to exchange the $400 Million 5% Senior Notes for registered notes with substantially identical terms as the $400 Million 5% Senior Notes in September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Additional Debt Limitations</w:t>
      </w:r>
      <w:r>
        <w:rPr>
          <w:rFonts w:ascii="Arial" w:cs="Arial" w:eastAsia="Arial" w:hAnsi="Arial"/>
          <w:sz w:val="18"/>
          <w:szCs w:val="18"/>
          <w:color w:val="auto"/>
        </w:rPr>
        <w:t>. Pursuant to the terms of the management agreements and pooling agreement with Marriott, we are subject to certain debt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31" w:lineRule="exact"/>
        <w:rPr>
          <w:sz w:val="20"/>
          <w:szCs w:val="20"/>
          <w:color w:val="auto"/>
        </w:rPr>
      </w:pPr>
    </w:p>
    <w:p>
      <w:pPr>
        <w:ind w:left="1480" w:right="500" w:hanging="446"/>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75" w:lineRule="exact"/>
        <w:rPr>
          <w:rFonts w:ascii="Arial" w:cs="Arial" w:eastAsia="Arial" w:hAnsi="Arial"/>
          <w:sz w:val="18"/>
          <w:szCs w:val="18"/>
          <w:color w:val="auto"/>
        </w:rPr>
      </w:pPr>
    </w:p>
    <w:p>
      <w:pPr>
        <w:ind w:left="1480" w:right="240" w:hanging="446"/>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31" w:lineRule="exact"/>
        <w:rPr>
          <w:sz w:val="20"/>
          <w:szCs w:val="20"/>
          <w:color w:val="auto"/>
        </w:rPr>
      </w:pPr>
    </w:p>
    <w:p>
      <w:pPr>
        <w:ind w:left="1480" w:right="120" w:hanging="446"/>
        <w:spacing w:after="0" w:line="277"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75" w:lineRule="exact"/>
        <w:rPr>
          <w:rFonts w:ascii="Arial" w:cs="Arial" w:eastAsia="Arial" w:hAnsi="Arial"/>
          <w:sz w:val="18"/>
          <w:szCs w:val="18"/>
          <w:color w:val="auto"/>
        </w:rPr>
      </w:pPr>
    </w:p>
    <w:p>
      <w:pPr>
        <w:ind w:left="1480" w:right="260" w:hanging="446"/>
        <w:spacing w:after="0" w:line="308" w:lineRule="auto"/>
        <w:tabs>
          <w:tab w:leader="none" w:pos="1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ratio of (a) aggregate Operating Profit (as defined in the pooling agreement) of Pooled Hotels in the 12 months prior to closing on any mortgage or mezzanine debt to (b) annual debt service for the Pooled Hotels, shall equal or exceed 1.2:1.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described in Note 12 to our condensed consolidated financial statements included herein, we have invested in a joint venture that is building and owns Gaylord Rockies. In connection with this investment, we agreed to provide guarantees of the hotel’s construction loan, including a principal repayment guaranty of up to $21 million of the total $500 million principal amount of the construction loan previously obtained from a consortium of eight banks, with such amount reducing to $14 million and further reducing to $8.75 million upon Gaylord Rockies’ satisfaction of designated debt service coverage requirements following completion and opening of the hotel. We have also provided a completion guarantee under the construction loan capped at our pro rata share of all costs necessary to complete the project within the time specified in the senior loan documents. Further, we have agreed to a guaranty capped at our pro rata share of the joint venture’s obligations under the construction loan prior to the hotel’s opening related to interest accruing under the construction loan and the operating expenses of the property (estimated pro rata share of interest prior to the hotel opening is $9.8 million). In addition to guaranties related to the construction loan, we agreed to provide a guaranty of the mezzanine debt related to the hotel including a payment guaranty capped at $8.75 million for which we are only liable in the event there is a casualty or condemnation event at the hotel and the construction lenders elect to apply those proceeds to the construction loan balance and release the construction loan guaranties and liens. The guaranty related to the mezzanine debt also includes an uncapped completion guaranty and an uncapped guaranty of the joint venture’s obligations under the mezzanine loan prior to the hotel’s opening related to interest accruing under the mezzanine loan and the operating expenses of the property to the extent not already satisfied by the parties under the guaranties related to the construction loan. As of June 30, 2018, we have not recorded any liability in the condensed consolidated balance sheet associated with these guarantees.</w:t>
      </w:r>
    </w:p>
    <w:p>
      <w:pPr>
        <w:spacing w:after="0" w:line="17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addition, we enter into commitments under letters of credit, primarily for the purpose of securing our deductible obligations with our insurers, and lending banks under our Credit Agreement had issued $2.4 million of letters of credit at June 30, 2018. Except as set forth in these paragraphs, we do not have any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117"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at June 30, 2018, including long-term debt and operating and capital lease commitments (amounts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2"/>
              </w:rPr>
              <w:t>Total amounts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color w:val="auto"/>
              </w:rPr>
              <w:t>Payment due by Period</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660" w:type="dxa"/>
            <w:vAlign w:val="bottom"/>
            <w:gridSpan w:val="3"/>
            <w:vMerge w:val="restart"/>
          </w:tcPr>
          <w:p>
            <w:pPr>
              <w:spacing w:after="0"/>
              <w:rPr>
                <w:sz w:val="20"/>
                <w:szCs w:val="20"/>
                <w:color w:val="auto"/>
              </w:rPr>
            </w:pPr>
            <w:r>
              <w:rPr>
                <w:rFonts w:ascii="Arial" w:cs="Arial" w:eastAsia="Arial" w:hAnsi="Arial"/>
                <w:sz w:val="14"/>
                <w:szCs w:val="14"/>
                <w:color w:val="auto"/>
              </w:rPr>
              <w:t>Contractual obligations</w:t>
            </w:r>
          </w:p>
        </w:tc>
        <w:tc>
          <w:tcPr>
            <w:tcW w:w="9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jc w:val="center"/>
              <w:ind w:right="260"/>
              <w:spacing w:after="0" w:line="137" w:lineRule="exact"/>
              <w:rPr>
                <w:sz w:val="20"/>
                <w:szCs w:val="20"/>
                <w:color w:val="auto"/>
              </w:rPr>
            </w:pPr>
            <w:r>
              <w:rPr>
                <w:rFonts w:ascii="Arial" w:cs="Arial" w:eastAsia="Arial" w:hAnsi="Arial"/>
                <w:sz w:val="14"/>
                <w:szCs w:val="14"/>
                <w:color w:val="auto"/>
                <w:w w:val="92"/>
              </w:rPr>
              <w:t>Less than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5"/>
              <w:spacing w:after="0" w:line="137" w:lineRule="exact"/>
              <w:rPr>
                <w:sz w:val="20"/>
                <w:szCs w:val="20"/>
                <w:color w:val="auto"/>
              </w:rPr>
            </w:pPr>
            <w:r>
              <w:rPr>
                <w:rFonts w:ascii="Arial" w:cs="Arial" w:eastAsia="Arial" w:hAnsi="Arial"/>
                <w:sz w:val="14"/>
                <w:szCs w:val="14"/>
                <w:color w:val="auto"/>
                <w:w w:val="95"/>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660" w:type="dxa"/>
            <w:vAlign w:val="bottom"/>
            <w:gridSpan w:val="3"/>
            <w:vMerge w:val="continue"/>
          </w:tcPr>
          <w:p>
            <w:pPr>
              <w:spacing w:after="0"/>
              <w:rPr>
                <w:sz w:val="13"/>
                <w:szCs w:val="13"/>
                <w:color w:val="auto"/>
              </w:rPr>
            </w:pPr>
          </w:p>
        </w:tc>
        <w:tc>
          <w:tcPr>
            <w:tcW w:w="96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2"/>
              </w:rPr>
              <w:t>committed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360"/>
              <w:spacing w:after="0" w:line="154" w:lineRule="exact"/>
              <w:rPr>
                <w:sz w:val="20"/>
                <w:szCs w:val="20"/>
                <w:color w:val="auto"/>
              </w:rPr>
            </w:pPr>
            <w:r>
              <w:rPr>
                <w:rFonts w:ascii="Arial" w:cs="Arial" w:eastAsia="Arial" w:hAnsi="Arial"/>
                <w:sz w:val="14"/>
                <w:szCs w:val="14"/>
                <w:color w:val="auto"/>
                <w:w w:val="92"/>
              </w:rPr>
              <w:t>1 year</w:t>
            </w:r>
          </w:p>
        </w:tc>
        <w:tc>
          <w:tcPr>
            <w:tcW w:w="82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1-3 years</w:t>
            </w:r>
          </w:p>
        </w:tc>
        <w:tc>
          <w:tcPr>
            <w:tcW w:w="140" w:type="dxa"/>
            <w:vAlign w:val="bottom"/>
          </w:tcPr>
          <w:p>
            <w:pPr>
              <w:spacing w:after="0"/>
              <w:rPr>
                <w:sz w:val="13"/>
                <w:szCs w:val="13"/>
                <w:color w:val="auto"/>
              </w:rPr>
            </w:pPr>
          </w:p>
        </w:tc>
        <w:tc>
          <w:tcPr>
            <w:tcW w:w="96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3-5 years</w:t>
            </w:r>
          </w:p>
        </w:tc>
        <w:tc>
          <w:tcPr>
            <w:tcW w:w="100" w:type="dxa"/>
            <w:vAlign w:val="bottom"/>
          </w:tcPr>
          <w:p>
            <w:pPr>
              <w:spacing w:after="0"/>
              <w:rPr>
                <w:sz w:val="13"/>
                <w:szCs w:val="13"/>
                <w:color w:val="auto"/>
              </w:rPr>
            </w:pPr>
          </w:p>
        </w:tc>
        <w:tc>
          <w:tcPr>
            <w:tcW w:w="780" w:type="dxa"/>
            <w:vAlign w:val="bottom"/>
            <w:gridSpan w:val="2"/>
          </w:tcPr>
          <w:p>
            <w:pPr>
              <w:jc w:val="right"/>
              <w:ind w:right="260"/>
              <w:spacing w:after="0" w:line="154" w:lineRule="exact"/>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debt (1)</w:t>
            </w:r>
          </w:p>
        </w:tc>
        <w:tc>
          <w:tcPr>
            <w:tcW w:w="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$1,696,500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$ 611,500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$610,000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675,286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7,458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15,684</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16,528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Construction commitments (3)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31,031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31,031</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2,403,445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43,510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627,228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626,576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1,106,131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60" w:hanging="452"/>
        <w:spacing w:after="0" w:line="26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Long-term debt commitments do not include approximately $317.6 million in interest payments projected to be due in future years (less than 1 year – $74.3 million; 1-3 years – $143.3 million; 3-5 years – $81.1 million; more than 5 years – $18.9 million) based on the stated interest rates on our fixed-rate debt and the rates in effect at June 30, 2018 for our variable-rate debt.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2017 for a discussion of the interest we paid during the fiscal years 2017, 2016 and 2015.</w:t>
      </w:r>
    </w:p>
    <w:p>
      <w:pPr>
        <w:spacing w:after="0" w:line="1" w:lineRule="exact"/>
        <w:rPr>
          <w:rFonts w:ascii="Arial" w:cs="Arial" w:eastAsia="Arial" w:hAnsi="Arial"/>
          <w:sz w:val="17"/>
          <w:szCs w:val="17"/>
          <w:color w:val="auto"/>
        </w:rPr>
      </w:pPr>
    </w:p>
    <w:p>
      <w:pPr>
        <w:ind w:left="460" w:right="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operating lease commitments of $675.3 million includes the 75-year operating lease agreement we entered into during 1999 for 65.3 acres of land located in Osceola County, Florida where Gaylord Palms is located, which we may extend until January 2101.</w:t>
      </w:r>
    </w:p>
    <w:p>
      <w:pPr>
        <w:ind w:left="460" w:right="20" w:hanging="452"/>
        <w:spacing w:after="0" w:line="270"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At June 30, 2018, $31.0 million was held in FF&amp;E reserve accounts for future capital expenditures at our properties. According to the terms of each management agreement with Marriott, the reserve funds are to be held by Marriott in a restricted cash account. Although it is not required that such funds be expended in a given year, each management agreement provides any excess funds will carry over for use in future years.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 obligations have been excluded from the contractual obligations table above. See Note 8 and Note 9 to the consolidated financial statements included in our Annual Report on Form 10-K for the year ended December 31, 2017 for further discussion related to these obligations.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stock-based compensation, depreciation and amortization, income taxes, pension and postretirement benefits other than pension plans, and legal contingencies, require that we apply significant judgment in defining the appropriate assumptions for calculating financial estimates. By their nature, these judgments are subject to an inherent degree of uncertainty. Our judgments are based on our historical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2017. There were no newly identified critical accounting policies in the first six months of 2018 nor were there any material changes to the critical accounting policies and estimates discussed in our Annual Report on Form 10-K for the year ended December 31,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Interest Rates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Borrowings outstanding under the Revolver bear interest at an annual rate of LIBOR plus 1.55%, subject to adjustment as described in the Credit Agreement. If LIBOR were to increase by 100 basis points, our annual interest cost on the $251.5 million in borrowings outstanding under the Revolver at June 30, 2018 would increase by approximately $2.5 million.</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Borrowings outstanding under our Term Loan A currently bear interest at an annual rate of LIBOR plus 1.50%, subject to adjustment as described in the Credit Agreement. If LIBOR were to increase by 100 basis points, our annual interest cost on the $200.0 million in borrowings outstanding under our Term Loan A at June 30, 2018 would increase by approximately $2.0 million.</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Borrowings outstanding under our Term Loan B currently bear interest at an annual rate of LIBOR plus 2.00%, subject to adjustment as described in the Credit Agreement. If LIBOR were to increase by 100 basis points, our annual interest cost on the $495.0 million in borrowings outstanding under our Term Loan B at June 30, 2018 would increase by approximately $5.0 million.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Certain of our outstanding cash balances are occasionally invested overnight with high credit quality financial institutions. We do not have significant exposure to changing interest rates on invested cash at June 30, 2018. As a result, the interest rate market risk implicit in these investments at June 30, 2018, if any, is 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Asset Values that Fund our Pension Plans</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June 30, 2018, the value of the investments in the pension plan was $67.0 million, and an immediate 10% decrease in this value would have reduced the value of the investments in the pension plan by approximately $6.7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color w:val="auto"/>
        </w:rPr>
        <w:t>The Company is a party to certain litigation in the ordinary course, as described in Note 12, “Commitments and Contingencies,” to our condensed consolidated financial statements included herein and which our management deems immaterial and will not have a material effect on our results of operations, financial condition or liquidity.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There have been no material changes in our “Risk Factors” as previously set forth in the Company’s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Exhibit Number</w:t>
            </w:r>
          </w:p>
        </w:tc>
        <w:tc>
          <w:tcPr>
            <w:tcW w:w="1160" w:type="dxa"/>
            <w:vAlign w:val="bottom"/>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gridSpan w:val="11"/>
          </w:tcPr>
          <w:p>
            <w:pPr>
              <w:ind w:left="560"/>
              <w:spacing w:after="0"/>
              <w:rPr>
                <w:sz w:val="20"/>
                <w:szCs w:val="20"/>
                <w:color w:val="auto"/>
              </w:rPr>
            </w:pPr>
            <w:r>
              <w:rPr>
                <w:rFonts w:ascii="Arial" w:cs="Arial" w:eastAsia="Arial" w:hAnsi="Arial"/>
                <w:sz w:val="14"/>
                <w:szCs w:val="14"/>
                <w:color w:val="auto"/>
              </w:rPr>
              <w:t>Description</w:t>
            </w:r>
          </w:p>
        </w:tc>
      </w:tr>
      <w:tr>
        <w:trPr>
          <w:trHeight w:val="270"/>
        </w:trPr>
        <w:tc>
          <w:tcPr>
            <w:tcW w:w="940" w:type="dxa"/>
            <w:vAlign w:val="bottom"/>
          </w:tcPr>
          <w:p>
            <w:pPr>
              <w:jc w:val="right"/>
              <w:ind w:right="532"/>
              <w:spacing w:after="0"/>
              <w:rPr>
                <w:sz w:val="20"/>
                <w:szCs w:val="20"/>
                <w:color w:val="auto"/>
              </w:rPr>
            </w:pPr>
            <w:r>
              <w:rPr>
                <w:rFonts w:ascii="Arial" w:cs="Arial" w:eastAsia="Arial" w:hAnsi="Arial"/>
                <w:sz w:val="18"/>
                <w:szCs w:val="18"/>
                <w:color w:val="auto"/>
              </w:rPr>
              <w:t>3.1</w:t>
            </w:r>
          </w:p>
        </w:tc>
        <w:tc>
          <w:tcPr>
            <w:tcW w:w="1160" w:type="dxa"/>
            <w:vAlign w:val="bottom"/>
          </w:tcPr>
          <w:p>
            <w:pPr>
              <w:spacing w:after="0"/>
              <w:rPr>
                <w:sz w:val="23"/>
                <w:szCs w:val="23"/>
                <w:color w:val="auto"/>
              </w:rPr>
            </w:pPr>
          </w:p>
        </w:tc>
        <w:tc>
          <w:tcPr>
            <w:tcW w:w="9320" w:type="dxa"/>
            <w:vAlign w:val="bottom"/>
            <w:gridSpan w:val="13"/>
          </w:tcPr>
          <w:p>
            <w:pPr>
              <w:spacing w:after="0"/>
              <w:rPr>
                <w:rFonts w:ascii="Arial" w:cs="Arial" w:eastAsia="Arial" w:hAnsi="Arial"/>
                <w:sz w:val="18"/>
                <w:szCs w:val="18"/>
                <w:color w:val="0000EE"/>
                <w:w w:val="93"/>
              </w:rPr>
            </w:pPr>
            <w:hyperlink r:id="rId65">
              <w:r>
                <w:rPr>
                  <w:rFonts w:ascii="Arial" w:cs="Arial" w:eastAsia="Arial" w:hAnsi="Arial"/>
                  <w:sz w:val="18"/>
                  <w:szCs w:val="18"/>
                  <w:color w:val="0000EE"/>
                  <w:w w:val="93"/>
                </w:rPr>
                <w:t>Amended and Restated Certificate of Incorporation of Ryman Hospitality Properties, Inc. (incorporated by reference to Exhibit</w:t>
              </w:r>
            </w:hyperlink>
          </w:p>
        </w:tc>
      </w:tr>
      <w:tr>
        <w:trPr>
          <w:trHeight w:val="196"/>
        </w:trPr>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October 1, 2012).</w:t>
              </w:r>
            </w:hyperlink>
          </w:p>
        </w:tc>
        <w:tc>
          <w:tcPr>
            <w:tcW w:w="180" w:type="dxa"/>
            <w:vAlign w:val="bottom"/>
            <w:gridSpan w:val="3"/>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40" w:type="dxa"/>
            <w:vAlign w:val="bottom"/>
          </w:tcPr>
          <w:p>
            <w:pPr>
              <w:jc w:val="right"/>
              <w:ind w:right="532"/>
              <w:spacing w:after="0"/>
              <w:rPr>
                <w:sz w:val="20"/>
                <w:szCs w:val="20"/>
                <w:color w:val="auto"/>
              </w:rPr>
            </w:pPr>
            <w:r>
              <w:rPr>
                <w:rFonts w:ascii="Arial" w:cs="Arial" w:eastAsia="Arial" w:hAnsi="Arial"/>
                <w:sz w:val="18"/>
                <w:szCs w:val="18"/>
                <w:color w:val="auto"/>
              </w:rPr>
              <w:t>3.2</w:t>
            </w:r>
          </w:p>
        </w:tc>
        <w:tc>
          <w:tcPr>
            <w:tcW w:w="1160" w:type="dxa"/>
            <w:vAlign w:val="bottom"/>
          </w:tcPr>
          <w:p>
            <w:pPr>
              <w:spacing w:after="0"/>
              <w:rPr>
                <w:sz w:val="24"/>
                <w:szCs w:val="24"/>
                <w:color w:val="auto"/>
              </w:rPr>
            </w:pPr>
          </w:p>
        </w:tc>
        <w:tc>
          <w:tcPr>
            <w:tcW w:w="9300" w:type="dxa"/>
            <w:vAlign w:val="bottom"/>
            <w:tcBorders>
              <w:bottom w:val="single" w:sz="8" w:color="0000EE"/>
            </w:tcBorders>
            <w:gridSpan w:val="12"/>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Amended and Restated Bylaws of Ryman Hospitality Properties, Inc. (incorporated by reference to Exhibit 3.2 to the Company’s</w:t>
              </w:r>
            </w:hyperlink>
          </w:p>
        </w:tc>
        <w:tc>
          <w:tcPr>
            <w:tcW w:w="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7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Current Report on Form 8-K filed October 1, 2012).</w:t>
              </w:r>
            </w:hyperlink>
          </w:p>
        </w:tc>
        <w:tc>
          <w:tcPr>
            <w:tcW w:w="5560" w:type="dxa"/>
            <w:vAlign w:val="bottom"/>
            <w:gridSpan w:val="11"/>
          </w:tcPr>
          <w:p>
            <w:pPr>
              <w:spacing w:after="0"/>
              <w:rPr>
                <w:sz w:val="17"/>
                <w:szCs w:val="17"/>
                <w:color w:val="auto"/>
              </w:rPr>
            </w:pPr>
          </w:p>
        </w:tc>
      </w:tr>
      <w:tr>
        <w:trPr>
          <w:trHeight w:val="304"/>
        </w:trPr>
        <w:tc>
          <w:tcPr>
            <w:tcW w:w="940" w:type="dxa"/>
            <w:vAlign w:val="bottom"/>
          </w:tcPr>
          <w:p>
            <w:pPr>
              <w:jc w:val="right"/>
              <w:ind w:right="432"/>
              <w:spacing w:after="0"/>
              <w:rPr>
                <w:sz w:val="20"/>
                <w:szCs w:val="20"/>
                <w:color w:val="auto"/>
              </w:rPr>
            </w:pPr>
            <w:r>
              <w:rPr>
                <w:rFonts w:ascii="Arial" w:cs="Arial" w:eastAsia="Arial" w:hAnsi="Arial"/>
                <w:sz w:val="18"/>
                <w:szCs w:val="18"/>
                <w:color w:val="auto"/>
                <w:w w:val="95"/>
              </w:rPr>
              <w:t>10.1*</w:t>
            </w:r>
          </w:p>
        </w:tc>
        <w:tc>
          <w:tcPr>
            <w:tcW w:w="1160" w:type="dxa"/>
            <w:vAlign w:val="bottom"/>
          </w:tcPr>
          <w:p>
            <w:pPr>
              <w:spacing w:after="0"/>
              <w:rPr>
                <w:sz w:val="24"/>
                <w:szCs w:val="24"/>
                <w:color w:val="auto"/>
              </w:rPr>
            </w:pPr>
          </w:p>
        </w:tc>
        <w:tc>
          <w:tcPr>
            <w:tcW w:w="90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Amendment No. 2 to Fifth Amended and Restated Credit Agreement dated June 26, 2018, by and among Ryman Hospitality</w:t>
              </w:r>
            </w:hyperlink>
          </w:p>
        </w:tc>
        <w:tc>
          <w:tcPr>
            <w:tcW w:w="300" w:type="dxa"/>
            <w:vAlign w:val="bottom"/>
            <w:gridSpan w:val="5"/>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5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Properties, Inc., as a guarantor, RHP Hotel Properties, LP, as borrower, certain other subsidiaries of Ryman Hospitality</w:t>
              </w:r>
            </w:hyperlink>
          </w:p>
        </w:tc>
        <w:tc>
          <w:tcPr>
            <w:tcW w:w="760" w:type="dxa"/>
            <w:vAlign w:val="bottom"/>
            <w:gridSpan w:val="6"/>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320" w:type="dxa"/>
            <w:vAlign w:val="bottom"/>
            <w:gridSpan w:val="13"/>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Properties, Inc. party thereto, as guarantors, certain subsidiaries of Ryman Hospitality Properties, Inc. party thereto, as pledgors,</w:t>
              </w:r>
            </w:hyperlink>
          </w:p>
        </w:tc>
      </w:tr>
      <w:tr>
        <w:trPr>
          <w:trHeight w:val="196"/>
        </w:trPr>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the lenders party thereto and Wells Fargo Bank National Association, as administrative agent.</w:t>
              </w:r>
            </w:hyperlink>
          </w:p>
        </w:tc>
        <w:tc>
          <w:tcPr>
            <w:tcW w:w="100" w:type="dxa"/>
            <w:vAlign w:val="bottom"/>
            <w:gridSpan w:val="2"/>
          </w:tcPr>
          <w:p>
            <w:pPr>
              <w:spacing w:after="0"/>
              <w:rPr>
                <w:sz w:val="17"/>
                <w:szCs w:val="17"/>
                <w:color w:val="auto"/>
              </w:rPr>
            </w:pPr>
          </w:p>
        </w:tc>
      </w:tr>
      <w:tr>
        <w:trPr>
          <w:trHeight w:val="304"/>
        </w:trPr>
        <w:tc>
          <w:tcPr>
            <w:tcW w:w="940" w:type="dxa"/>
            <w:vAlign w:val="bottom"/>
          </w:tcPr>
          <w:p>
            <w:pPr>
              <w:jc w:val="right"/>
              <w:ind w:right="432"/>
              <w:spacing w:after="0"/>
              <w:rPr>
                <w:sz w:val="20"/>
                <w:szCs w:val="20"/>
                <w:color w:val="auto"/>
              </w:rPr>
            </w:pPr>
            <w:r>
              <w:rPr>
                <w:rFonts w:ascii="Arial" w:cs="Arial" w:eastAsia="Arial" w:hAnsi="Arial"/>
                <w:sz w:val="18"/>
                <w:szCs w:val="18"/>
                <w:color w:val="auto"/>
                <w:w w:val="95"/>
              </w:rPr>
              <w:t>31.1*</w:t>
            </w:r>
          </w:p>
        </w:tc>
        <w:tc>
          <w:tcPr>
            <w:tcW w:w="1160" w:type="dxa"/>
            <w:vAlign w:val="bottom"/>
          </w:tcPr>
          <w:p>
            <w:pPr>
              <w:spacing w:after="0"/>
              <w:rPr>
                <w:sz w:val="24"/>
                <w:szCs w:val="24"/>
                <w:color w:val="auto"/>
              </w:rPr>
            </w:pPr>
          </w:p>
        </w:tc>
        <w:tc>
          <w:tcPr>
            <w:tcW w:w="6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Certification of Colin V. Reed pursuant to Section 302 of Sarbanes-Oxley Act of 2002.</w:t>
              </w:r>
            </w:hyperlink>
          </w:p>
        </w:tc>
        <w:tc>
          <w:tcPr>
            <w:tcW w:w="480" w:type="dxa"/>
            <w:vAlign w:val="bottom"/>
            <w:tcBorders>
              <w:top w:val="single" w:sz="8" w:color="0000EE"/>
            </w:tcBorders>
            <w:gridSpan w:val="2"/>
          </w:tcPr>
          <w:p>
            <w:pPr>
              <w:spacing w:after="0"/>
              <w:rPr>
                <w:sz w:val="24"/>
                <w:szCs w:val="24"/>
                <w:color w:val="auto"/>
              </w:rPr>
            </w:pPr>
          </w:p>
        </w:tc>
        <w:tc>
          <w:tcPr>
            <w:tcW w:w="2580" w:type="dxa"/>
            <w:vAlign w:val="bottom"/>
            <w:gridSpan w:val="7"/>
          </w:tcPr>
          <w:p>
            <w:pPr>
              <w:spacing w:after="0"/>
              <w:rPr>
                <w:sz w:val="24"/>
                <w:szCs w:val="24"/>
                <w:color w:val="auto"/>
              </w:rPr>
            </w:pPr>
          </w:p>
        </w:tc>
      </w:tr>
      <w:tr>
        <w:trPr>
          <w:trHeight w:val="304"/>
        </w:trPr>
        <w:tc>
          <w:tcPr>
            <w:tcW w:w="940" w:type="dxa"/>
            <w:vAlign w:val="bottom"/>
          </w:tcPr>
          <w:p>
            <w:pPr>
              <w:jc w:val="right"/>
              <w:ind w:right="432"/>
              <w:spacing w:after="0"/>
              <w:rPr>
                <w:sz w:val="20"/>
                <w:szCs w:val="20"/>
                <w:color w:val="auto"/>
              </w:rPr>
            </w:pPr>
            <w:r>
              <w:rPr>
                <w:rFonts w:ascii="Arial" w:cs="Arial" w:eastAsia="Arial" w:hAnsi="Arial"/>
                <w:sz w:val="18"/>
                <w:szCs w:val="18"/>
                <w:color w:val="auto"/>
                <w:w w:val="95"/>
              </w:rPr>
              <w:t>31.2*</w:t>
            </w:r>
          </w:p>
        </w:tc>
        <w:tc>
          <w:tcPr>
            <w:tcW w:w="1160" w:type="dxa"/>
            <w:vAlign w:val="bottom"/>
          </w:tcPr>
          <w:p>
            <w:pPr>
              <w:spacing w:after="0"/>
              <w:rPr>
                <w:sz w:val="24"/>
                <w:szCs w:val="24"/>
                <w:color w:val="auto"/>
              </w:rPr>
            </w:pPr>
          </w:p>
        </w:tc>
        <w:tc>
          <w:tcPr>
            <w:tcW w:w="64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Certification of Mark Fioravanti pursuant to Section 302 of Sarbanes-Oxley Act of 2002.</w:t>
              </w:r>
            </w:hyperlink>
          </w:p>
        </w:tc>
        <w:tc>
          <w:tcPr>
            <w:tcW w:w="2900" w:type="dxa"/>
            <w:vAlign w:val="bottom"/>
            <w:gridSpan w:val="8"/>
          </w:tcPr>
          <w:p>
            <w:pPr>
              <w:spacing w:after="0"/>
              <w:rPr>
                <w:sz w:val="24"/>
                <w:szCs w:val="24"/>
                <w:color w:val="auto"/>
              </w:rPr>
            </w:pPr>
          </w:p>
        </w:tc>
      </w:tr>
      <w:tr>
        <w:trPr>
          <w:trHeight w:val="304"/>
        </w:trPr>
        <w:tc>
          <w:tcPr>
            <w:tcW w:w="940" w:type="dxa"/>
            <w:vAlign w:val="bottom"/>
          </w:tcPr>
          <w:p>
            <w:pPr>
              <w:jc w:val="right"/>
              <w:ind w:right="352"/>
              <w:spacing w:after="0"/>
              <w:rPr>
                <w:sz w:val="20"/>
                <w:szCs w:val="20"/>
                <w:color w:val="auto"/>
              </w:rPr>
            </w:pPr>
            <w:r>
              <w:rPr>
                <w:rFonts w:ascii="Arial" w:cs="Arial" w:eastAsia="Arial" w:hAnsi="Arial"/>
                <w:sz w:val="18"/>
                <w:szCs w:val="18"/>
                <w:color w:val="auto"/>
                <w:w w:val="97"/>
              </w:rPr>
              <w:t>32.1**</w:t>
            </w:r>
          </w:p>
        </w:tc>
        <w:tc>
          <w:tcPr>
            <w:tcW w:w="1160" w:type="dxa"/>
            <w:vAlign w:val="bottom"/>
          </w:tcPr>
          <w:p>
            <w:pPr>
              <w:spacing w:after="0"/>
              <w:rPr>
                <w:sz w:val="24"/>
                <w:szCs w:val="24"/>
                <w:color w:val="auto"/>
              </w:rPr>
            </w:pPr>
          </w:p>
        </w:tc>
        <w:tc>
          <w:tcPr>
            <w:tcW w:w="9320" w:type="dxa"/>
            <w:vAlign w:val="bottom"/>
            <w:gridSpan w:val="13"/>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Certification of Colin V. Reed and Mark Fioravanti pursuant to 18 U.S.C. Section 1350, as adopted pursuant to Section 906 of</w:t>
              </w:r>
            </w:hyperlink>
          </w:p>
        </w:tc>
      </w:tr>
      <w:tr>
        <w:trPr>
          <w:trHeight w:val="196"/>
        </w:trPr>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Sarbanes-Oxley Act of 2002.</w:t>
              </w:r>
            </w:hyperlink>
          </w:p>
        </w:tc>
        <w:tc>
          <w:tcPr>
            <w:tcW w:w="240" w:type="dxa"/>
            <w:vAlign w:val="bottom"/>
            <w:gridSpan w:val="4"/>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20" w:type="dxa"/>
            <w:vAlign w:val="bottom"/>
            <w:gridSpan w:val="12"/>
          </w:tcPr>
          <w:p>
            <w:pPr>
              <w:spacing w:after="0" w:line="20" w:lineRule="exact"/>
              <w:rPr>
                <w:sz w:val="1"/>
                <w:szCs w:val="1"/>
                <w:color w:val="auto"/>
              </w:rPr>
            </w:pPr>
          </w:p>
        </w:tc>
      </w:tr>
      <w:tr>
        <w:trPr>
          <w:trHeight w:val="330"/>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1160" w:type="dxa"/>
            <w:vAlign w:val="bottom"/>
          </w:tcPr>
          <w:p>
            <w:pPr>
              <w:spacing w:after="0"/>
              <w:rPr>
                <w:sz w:val="24"/>
                <w:szCs w:val="24"/>
                <w:color w:val="auto"/>
              </w:rPr>
            </w:pPr>
          </w:p>
        </w:tc>
        <w:tc>
          <w:tcPr>
            <w:tcW w:w="9320" w:type="dxa"/>
            <w:vAlign w:val="bottom"/>
            <w:gridSpan w:val="13"/>
          </w:tcPr>
          <w:p>
            <w:pPr>
              <w:spacing w:after="0"/>
              <w:rPr>
                <w:sz w:val="20"/>
                <w:szCs w:val="20"/>
                <w:color w:val="auto"/>
              </w:rPr>
            </w:pPr>
            <w:r>
              <w:rPr>
                <w:rFonts w:ascii="Arial" w:cs="Arial" w:eastAsia="Arial" w:hAnsi="Arial"/>
                <w:sz w:val="18"/>
                <w:szCs w:val="18"/>
                <w:color w:val="auto"/>
                <w:w w:val="97"/>
              </w:rPr>
              <w:t>The following materials from Ryman Hospitality Properties, Inc.’s Quarterly Report on Form 10-Q for the quarterly period</w:t>
            </w:r>
          </w:p>
        </w:tc>
      </w:tr>
      <w:tr>
        <w:trPr>
          <w:trHeight w:val="216"/>
        </w:trPr>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320" w:type="dxa"/>
            <w:vAlign w:val="bottom"/>
            <w:gridSpan w:val="13"/>
          </w:tcPr>
          <w:p>
            <w:pPr>
              <w:spacing w:after="0"/>
              <w:rPr>
                <w:sz w:val="20"/>
                <w:szCs w:val="20"/>
                <w:color w:val="auto"/>
              </w:rPr>
            </w:pPr>
            <w:r>
              <w:rPr>
                <w:rFonts w:ascii="Arial" w:cs="Arial" w:eastAsia="Arial" w:hAnsi="Arial"/>
                <w:sz w:val="18"/>
                <w:szCs w:val="18"/>
                <w:color w:val="auto"/>
                <w:w w:val="95"/>
              </w:rPr>
              <w:t>ended June 30, 2018, formatted in XBRL (eXtensible Business Reporting Language): (i) Condensed Consolidated Balance</w:t>
            </w:r>
          </w:p>
        </w:tc>
      </w:tr>
      <w:tr>
        <w:trPr>
          <w:trHeight w:val="216"/>
        </w:trPr>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320" w:type="dxa"/>
            <w:vAlign w:val="bottom"/>
            <w:gridSpan w:val="13"/>
          </w:tcPr>
          <w:p>
            <w:pPr>
              <w:spacing w:after="0"/>
              <w:rPr>
                <w:sz w:val="20"/>
                <w:szCs w:val="20"/>
                <w:color w:val="auto"/>
              </w:rPr>
            </w:pPr>
            <w:r>
              <w:rPr>
                <w:rFonts w:ascii="Arial" w:cs="Arial" w:eastAsia="Arial" w:hAnsi="Arial"/>
                <w:sz w:val="18"/>
                <w:szCs w:val="18"/>
                <w:color w:val="auto"/>
                <w:w w:val="95"/>
              </w:rPr>
              <w:t>Sheets (unaudited) at June 30, 2018 and December 31, 2017, (ii) Condensed Consolidated Statements of Operations and</w:t>
            </w:r>
          </w:p>
        </w:tc>
      </w:tr>
      <w:tr>
        <w:trPr>
          <w:trHeight w:val="230"/>
        </w:trPr>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320" w:type="dxa"/>
            <w:vAlign w:val="bottom"/>
            <w:gridSpan w:val="13"/>
          </w:tcPr>
          <w:p>
            <w:pPr>
              <w:spacing w:after="0"/>
              <w:rPr>
                <w:sz w:val="20"/>
                <w:szCs w:val="20"/>
                <w:color w:val="auto"/>
              </w:rPr>
            </w:pPr>
            <w:r>
              <w:rPr>
                <w:rFonts w:ascii="Arial" w:cs="Arial" w:eastAsia="Arial" w:hAnsi="Arial"/>
                <w:sz w:val="18"/>
                <w:szCs w:val="18"/>
                <w:color w:val="auto"/>
                <w:w w:val="96"/>
              </w:rPr>
              <w:t>Comprehensive Income (unaudited) for the three months and six months ended June 30, 2018 and 2017, (iii) Condensed</w:t>
            </w:r>
          </w:p>
        </w:tc>
      </w:tr>
    </w:tbl>
    <w:p>
      <w:pPr>
        <w:ind w:left="2100" w:right="680"/>
        <w:spacing w:after="0" w:line="261" w:lineRule="auto"/>
        <w:rPr>
          <w:sz w:val="20"/>
          <w:szCs w:val="20"/>
          <w:color w:val="auto"/>
        </w:rPr>
      </w:pPr>
      <w:r>
        <w:rPr>
          <w:rFonts w:ascii="Arial" w:cs="Arial" w:eastAsia="Arial" w:hAnsi="Arial"/>
          <w:sz w:val="18"/>
          <w:szCs w:val="18"/>
          <w:color w:val="auto"/>
        </w:rPr>
        <w:t>Consolidated Statements of Cash Flows (unaudited) for the six months ended June 30, 2018 and 2017, and (iv) Notes to Condensed Consolidated Financial Statements (unaudited).</w:t>
      </w:r>
    </w:p>
    <w:p>
      <w:pPr>
        <w:spacing w:after="0" w:line="21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RYMAN HOSPITALITY PROPERTIES,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August 8, 2018</w:t>
      </w:r>
      <w:r>
        <w:rPr>
          <w:sz w:val="20"/>
          <w:szCs w:val="20"/>
          <w:color w:val="auto"/>
        </w:rPr>
        <w:tab/>
      </w:r>
      <w:r>
        <w:rPr>
          <w:rFonts w:ascii="Arial" w:cs="Arial" w:eastAsia="Arial" w:hAnsi="Arial"/>
          <w:sz w:val="17"/>
          <w:szCs w:val="17"/>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Colin V. Reed</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Chairman of the Board of Directors and</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President and Chief Financial Officer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Jennifer Hutcheson</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Corporate</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Controller and Chief Accounting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459"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NO. 2 TO FIFTH AMENDED AND RESTATED CREDIT AGREEMENT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AMENDMENT NO. 2 TO FIFTH AMENDED AND RESTATED CREDIT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June 26, 2018,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made by and among RHP HOTEL PROPERTIES, LP, a Delaware limited partnership, (together with any permitted successors and assigns, the “</w:t>
      </w:r>
      <w:r>
        <w:rPr>
          <w:rFonts w:ascii="Arial" w:cs="Arial" w:eastAsia="Arial" w:hAnsi="Arial"/>
          <w:sz w:val="16"/>
          <w:szCs w:val="16"/>
          <w:u w:val="single" w:color="auto"/>
          <w:color w:val="auto"/>
        </w:rPr>
        <w:t>Borrower</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RYMAN HOSPITALITY PROPERTIES, INC. (“</w:t>
      </w:r>
      <w:r>
        <w:rPr>
          <w:rFonts w:ascii="Arial" w:cs="Arial" w:eastAsia="Arial" w:hAnsi="Arial"/>
          <w:sz w:val="18"/>
          <w:szCs w:val="18"/>
          <w:u w:val="single" w:color="auto"/>
          <w:color w:val="auto"/>
        </w:rPr>
        <w:t>Parent</w:t>
      </w:r>
      <w:r>
        <w:rPr>
          <w:rFonts w:ascii="Arial" w:cs="Arial" w:eastAsia="Arial" w:hAnsi="Arial"/>
          <w:sz w:val="18"/>
          <w:szCs w:val="18"/>
          <w:color w:val="auto"/>
        </w:rPr>
        <w:t>”), the GUARANTORS party to the Existing Credit Agreement (as defined below)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the PLEDGORS party to the Pledge Agreement (as defined in the Existing Credit Agreement) (the “</w:t>
      </w:r>
      <w:r>
        <w:rPr>
          <w:rFonts w:ascii="Arial" w:cs="Arial" w:eastAsia="Arial" w:hAnsi="Arial"/>
          <w:sz w:val="17"/>
          <w:szCs w:val="17"/>
          <w:u w:val="single" w:color="auto"/>
          <w:color w:val="auto"/>
        </w:rPr>
        <w:t>Pledgors</w:t>
      </w:r>
      <w:r>
        <w:rPr>
          <w:rFonts w:ascii="Arial" w:cs="Arial" w:eastAsia="Arial" w:hAnsi="Arial"/>
          <w:sz w:val="17"/>
          <w:szCs w:val="17"/>
          <w:color w:val="auto"/>
        </w:rPr>
        <w:t>”), the TRANCHE B TERM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LENDERS (as defined in the Existing Credit Agreement) party hereto with respect to the 11.13 Amendment (as defined below) (the “</w:t>
      </w:r>
      <w:r>
        <w:rPr>
          <w:rFonts w:ascii="Arial" w:cs="Arial" w:eastAsia="Arial" w:hAnsi="Arial"/>
          <w:sz w:val="16"/>
          <w:szCs w:val="16"/>
          <w:u w:val="single" w:color="auto"/>
          <w:color w:val="auto"/>
        </w:rPr>
        <w:t>Consenting Tranche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 Lenders</w:t>
      </w:r>
      <w:r>
        <w:rPr>
          <w:rFonts w:ascii="Arial" w:cs="Arial" w:eastAsia="Arial" w:hAnsi="Arial"/>
          <w:sz w:val="16"/>
          <w:szCs w:val="16"/>
          <w:color w:val="auto"/>
        </w:rPr>
        <w:t>”), all of the TRANCHE B TERM LENDERS party to the Existing Credit Agreement after giving effect to the Master Assignment (as defined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below) (the “</w:t>
      </w:r>
      <w:r>
        <w:rPr>
          <w:rFonts w:ascii="Arial" w:cs="Arial" w:eastAsia="Arial" w:hAnsi="Arial"/>
          <w:sz w:val="17"/>
          <w:szCs w:val="17"/>
          <w:u w:val="single" w:color="auto"/>
          <w:color w:val="auto"/>
        </w:rPr>
        <w:t>Current Tranche B Term Lenders</w:t>
      </w:r>
      <w:r>
        <w:rPr>
          <w:rFonts w:ascii="Arial" w:cs="Arial" w:eastAsia="Arial" w:hAnsi="Arial"/>
          <w:sz w:val="17"/>
          <w:szCs w:val="17"/>
          <w:color w:val="auto"/>
        </w:rPr>
        <w:t>”), and WELLS FARGO BANK, NATIONAL ASSOCIATION, as Administrative Agent (the “</w:t>
      </w:r>
      <w:r>
        <w:rPr>
          <w:rFonts w:ascii="Arial" w:cs="Arial" w:eastAsia="Arial" w:hAnsi="Arial"/>
          <w:sz w:val="17"/>
          <w:szCs w:val="17"/>
          <w:u w:val="single" w:color="auto"/>
          <w:color w:val="auto"/>
        </w:rPr>
        <w:t>Administrative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WHEREAS, pursuant to the Fifth Amended and Restated Credit Agreement, dated as of May 11, 2017, by and among the Borrower, the Parent, the Lenders from time to time party thereto, and the Administrative Agent, as amended pursuant to Amendment No. 1 to Fifth Amended and Restated Credit Agreement, dated as of May 23, 2017 (as may have been further amended, supplemented or otherwise modified prior to the date hereof, the “</w:t>
      </w:r>
      <w:r>
        <w:rPr>
          <w:rFonts w:ascii="Arial" w:cs="Arial" w:eastAsia="Arial" w:hAnsi="Arial"/>
          <w:sz w:val="17"/>
          <w:szCs w:val="17"/>
          <w:u w:val="single" w:color="auto"/>
          <w:color w:val="auto"/>
        </w:rPr>
        <w:t>Existing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among other things, the Tranche B Term Lenders party thereto disbursed to the Borrower a senior secured Tranche B Term Loan Facility in the original principal amount of Five Hundred Million Dollars ($500,000,000). The Existing Credit Agreement, as amended by the 11.13 Amendment (as defined below) and the Repricing Amendment (as defined below), is herein referred to as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WHEREAS, the Borrower has requested, and the Administrative Agent and the Consenting Tranche B Term Lenders have agreed, to provide the Borrower with the ability to replace non-consenting Tranche B Term Lenders with Eligible Assignees, and to amend certain provisions of the Existing Credit Agreement related thereto. The amendment described in this recital paragraph and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is referred to herein as the “</w:t>
      </w:r>
      <w:r>
        <w:rPr>
          <w:rFonts w:ascii="Arial" w:cs="Arial" w:eastAsia="Arial" w:hAnsi="Arial"/>
          <w:sz w:val="18"/>
          <w:szCs w:val="18"/>
          <w:u w:val="single" w:color="auto"/>
          <w:color w:val="auto"/>
        </w:rPr>
        <w:t>11.13</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The Consenting Tranche B Term Lenders comprise the Required Lenders of the Class of Tranche B Term Lenders existing prior to the effectiveness of the Master Assignment (as defined below).</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WHEREAS, immediately following the effectiveness of the 11.13 Amendment, certain of the Tranche B Term Lenders shall assign their portions of the Tranche B Term Loans to Deutsche Bank AG New York Branch pursuant to the terms of the new Section 11.13 of the Credit Agreement (such assignments, collectively, the “</w:t>
      </w:r>
      <w:r>
        <w:rPr>
          <w:rFonts w:ascii="Arial" w:cs="Arial" w:eastAsia="Arial" w:hAnsi="Arial"/>
          <w:sz w:val="18"/>
          <w:szCs w:val="18"/>
          <w:u w:val="single" w:color="auto"/>
          <w:color w:val="auto"/>
        </w:rPr>
        <w:t>Master Assignment</w:t>
      </w:r>
      <w:r>
        <w:rPr>
          <w:rFonts w:ascii="Arial" w:cs="Arial" w:eastAsia="Arial" w:hAnsi="Arial"/>
          <w:sz w:val="18"/>
          <w:szCs w:val="18"/>
          <w:color w:val="auto"/>
        </w:rPr>
        <w:t>”), which Master Assignment shall be deemed effective immediately following the effectiveness of the 11.13 Amendment and immediately prior to Repricing Amendment. After giving effect to the Master Assignment, the Current Tranche B Term Lenders shall comprise the entire Class of Tranche B Term Lenders under the Credit Agreement.</w:t>
      </w:r>
    </w:p>
    <w:p>
      <w:pPr>
        <w:sectPr>
          <w:pgSz w:w="11900" w:h="16838" w:orient="portrait"/>
          <w:cols w:equalWidth="0" w:num="1">
            <w:col w:w="11420"/>
          </w:cols>
          <w:pgMar w:left="240" w:top="121" w:right="239" w:bottom="1440" w:gutter="0" w:footer="0" w:header="0"/>
        </w:sectPr>
      </w:pPr>
    </w:p>
    <w:bookmarkStart w:id="53" w:name="page54"/>
    <w:bookmarkEnd w:id="53"/>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WHEREAS, the Borrower has requested, and the Administrative Agent and the Current Tranche B Term Lenders have agreed, effective immediately following the Master Assignment, (i) to reduce the Applicable Margin applicable to the Tranche B Term Loan Facility to two percent (2.00%), (ii) to extend the date of commencement of any Excess Cash Flow payments by one (1) year, (iii) to extend the date that the prepayment fee required in connection with a Repricing Event reduces to 0% to be the six-month anniversary of the Amendment No. 2 Effective Date, and (iv) to amend certain provisions of the Existing Credit Agreement related thereto. The amendments described in this recital paragraph and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are referred to collectively as the “</w:t>
      </w:r>
      <w:r>
        <w:rPr>
          <w:rFonts w:ascii="Arial" w:cs="Arial" w:eastAsia="Arial" w:hAnsi="Arial"/>
          <w:sz w:val="18"/>
          <w:szCs w:val="18"/>
          <w:u w:val="single" w:color="auto"/>
          <w:color w:val="auto"/>
        </w:rPr>
        <w:t>Repricing Amendment</w:t>
      </w:r>
      <w:r>
        <w:rPr>
          <w:rFonts w:ascii="Arial" w:cs="Arial" w:eastAsia="Arial" w:hAnsi="Arial"/>
          <w:sz w:val="18"/>
          <w:szCs w:val="18"/>
          <w:color w:val="auto"/>
        </w:rPr>
        <w:t>”.</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Existing Credit Agreement, the Parent, the Borrower, the Loan Parties, all of the Consenting Tranche B Term Lenders and the Administrative Agent, agree to amend the Existing Credit Agreement in order to effectuate the 11.13 Amendment on the terms set forth herein.</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of the Existing Credit Agreement, the Parent, the Borrower, the Loan Parties, all of the Current Tranche B Term Lenders and the Administrative Agent, agree to amend the Existing Credit Agreement in order to effectuate the Repricing Amendment on the terms set forth herein.</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NOW, THEREFORE, in consideration of the mutual agreements herein contained and other good and valuable consideration, the sufficiency and receipt of which are hereby acknowledged, the parties hereto hereby agree as follows:</w:t>
      </w:r>
    </w:p>
    <w:p>
      <w:pPr>
        <w:spacing w:after="0" w:line="170"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Defined Terms</w:t>
      </w:r>
      <w:r>
        <w:rPr>
          <w:rFonts w:ascii="Arial" w:cs="Arial" w:eastAsia="Arial" w:hAnsi="Arial"/>
          <w:sz w:val="17"/>
          <w:szCs w:val="17"/>
          <w:color w:val="auto"/>
        </w:rPr>
        <w:t xml:space="preserve">. Capitalized terms used but not defined herein shall have the meanings given to them in the Existing Credit Agreement. The rules of interpretation set forth in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of the Existing Credit Agreement are hereby incorporated by reference herein, </w:t>
      </w:r>
      <w:r>
        <w:rPr>
          <w:rFonts w:ascii="Arial" w:cs="Arial" w:eastAsia="Arial" w:hAnsi="Arial"/>
          <w:sz w:val="17"/>
          <w:szCs w:val="17"/>
          <w:i w:val="1"/>
          <w:iCs w:val="1"/>
          <w:color w:val="auto"/>
        </w:rPr>
        <w:t>mutatis mutandis</w:t>
      </w:r>
      <w:r>
        <w:rPr>
          <w:rFonts w:ascii="Arial" w:cs="Arial" w:eastAsia="Arial" w:hAnsi="Arial"/>
          <w:sz w:val="17"/>
          <w:szCs w:val="17"/>
          <w:color w:val="auto"/>
        </w:rPr>
        <w:t>. Each reference to “hereof”, “hereunder”, “herein” and “hereby” and each other similar reference and each reference to “this Agreement” and each other similar reference contained in the Existing Credit Agreement shall, after this Agreement becomes effective, refer to the Existing Credit Agreement as amended hereby. For the avoidance of doubt, from and after the Amendment No. 2 Effective Date, any references to “date hereof” or “date of this agreement” in the Existing Credit Agreement shall continue to refer to May 11, 2017.</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11.13 Amendment</w:t>
      </w:r>
      <w:r>
        <w:rPr>
          <w:rFonts w:ascii="Arial" w:cs="Arial" w:eastAsia="Arial" w:hAnsi="Arial"/>
          <w:sz w:val="18"/>
          <w:szCs w:val="18"/>
          <w:color w:val="auto"/>
        </w:rPr>
        <w:t>. The Existing Credit Agreement is, effective as of the Amendment No. 2 Effective Date and immediately prior to the effectiveness of the Master Assignment and the Repricing Amendment, hereby amended as follows:</w:t>
      </w:r>
    </w:p>
    <w:p>
      <w:pPr>
        <w:spacing w:after="0" w:line="62" w:lineRule="exact"/>
        <w:rPr>
          <w:sz w:val="20"/>
          <w:szCs w:val="20"/>
          <w:color w:val="auto"/>
        </w:rPr>
      </w:pPr>
    </w:p>
    <w:p>
      <w:pPr>
        <w:ind w:left="1140" w:hanging="237"/>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Existing Credit Agreement is hereby amended by adding the following defined term (and the corresponding definition)</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3" w:lineRule="exact"/>
        <w:rPr>
          <w:sz w:val="20"/>
          <w:szCs w:val="20"/>
          <w:color w:val="auto"/>
        </w:rPr>
      </w:pPr>
    </w:p>
    <w:p>
      <w:pPr>
        <w:ind w:left="920" w:right="24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Tranche B Term Lender</w:t>
      </w:r>
      <w:r>
        <w:rPr>
          <w:rFonts w:ascii="Arial" w:cs="Arial" w:eastAsia="Arial" w:hAnsi="Arial"/>
          <w:sz w:val="16"/>
          <w:szCs w:val="16"/>
          <w:color w:val="auto"/>
        </w:rPr>
        <w:t xml:space="preserve">” means (i) any Tranche B Term Lender that does not approve any consent, approval, amendment or waiver that (a) requires the consent of all Tranche B Term Lenders or all affected Tranche B Term Lenders in accordance with the terms of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and (b) has been approved by the Required Lenders of the Class of Tranche B Term Lenders.</w:t>
      </w:r>
    </w:p>
    <w:p>
      <w:pPr>
        <w:spacing w:after="0" w:line="39" w:lineRule="exact"/>
        <w:rPr>
          <w:sz w:val="20"/>
          <w:szCs w:val="20"/>
          <w:color w:val="auto"/>
        </w:rPr>
      </w:pPr>
    </w:p>
    <w:p>
      <w:pPr>
        <w:ind w:left="5660" w:right="2100" w:hanging="4757"/>
        <w:spacing w:after="0" w:line="449" w:lineRule="auto"/>
        <w:tabs>
          <w:tab w:leader="none" w:pos="114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of the Existing Credit Agreement is hereby amended and restated in its entirety with the following: 2</w:t>
      </w:r>
    </w:p>
    <w:p>
      <w:pPr>
        <w:sectPr>
          <w:pgSz w:w="11900" w:h="16838" w:orient="portrait"/>
          <w:cols w:equalWidth="0" w:num="1">
            <w:col w:w="11400"/>
          </w:cols>
          <w:pgMar w:left="240" w:top="274" w:right="259" w:bottom="1440" w:gutter="0" w:footer="0" w:header="0"/>
        </w:sectPr>
      </w:pPr>
    </w:p>
    <w:bookmarkStart w:id="54" w:name="page55"/>
    <w:bookmarkEnd w:id="5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11.13. Replacement of Lenders</w:t>
      </w:r>
      <w:r>
        <w:rPr>
          <w:rFonts w:ascii="Arial" w:cs="Arial" w:eastAsia="Arial" w:hAnsi="Arial"/>
          <w:sz w:val="18"/>
          <w:szCs w:val="18"/>
          <w:color w:val="auto"/>
        </w:rPr>
        <w:t>.</w:t>
      </w:r>
    </w:p>
    <w:p>
      <w:pPr>
        <w:spacing w:after="0" w:line="117"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is a Defaulting Lender or a Non-Consenting Tranche B Term Lender, then the Borrower may, at its sole expense and effort, upon notice to such Lender and the Administrative Agent, provided no Default or Event of Default then exists,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11.06</w:t>
      </w:r>
      <w:r>
        <w:rPr>
          <w:rFonts w:ascii="Arial" w:cs="Arial" w:eastAsia="Arial" w:hAnsi="Arial"/>
          <w:sz w:val="18"/>
          <w:szCs w:val="18"/>
          <w:color w:val="auto"/>
        </w:rPr>
        <w:t>), all of its interests, rights and obligations under this Agreement and the related Loan Documents to an Eligible Assignee that shall assume such obligations (which assignee may be another Lender, if a Lender accepts such assignment), provided that:</w:t>
      </w:r>
    </w:p>
    <w:p>
      <w:pPr>
        <w:spacing w:after="0" w:line="81" w:lineRule="exact"/>
        <w:rPr>
          <w:sz w:val="20"/>
          <w:szCs w:val="20"/>
          <w:color w:val="auto"/>
        </w:rPr>
      </w:pPr>
    </w:p>
    <w:p>
      <w:pPr>
        <w:ind w:left="1580" w:hanging="239"/>
        <w:spacing w:after="0"/>
        <w:tabs>
          <w:tab w:leader="none" w:pos="1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firstLine="421"/>
        <w:spacing w:after="0" w:line="259" w:lineRule="auto"/>
        <w:tabs>
          <w:tab w:leader="none" w:pos="15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and accrued interest and fees) or the Borrower (in the case of all other amounts);</w:t>
      </w:r>
    </w:p>
    <w:p>
      <w:pPr>
        <w:spacing w:after="0" w:line="78" w:lineRule="exact"/>
        <w:rPr>
          <w:rFonts w:ascii="Arial" w:cs="Arial" w:eastAsia="Arial" w:hAnsi="Arial"/>
          <w:sz w:val="18"/>
          <w:szCs w:val="18"/>
          <w:color w:val="auto"/>
        </w:rPr>
      </w:pPr>
    </w:p>
    <w:p>
      <w:pPr>
        <w:ind w:left="920" w:right="580" w:firstLine="421"/>
        <w:spacing w:after="0" w:line="308" w:lineRule="auto"/>
        <w:tabs>
          <w:tab w:leader="none" w:pos="1585"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such assignment will result in a reduction in such compensation or payments thereafter;</w:t>
      </w:r>
    </w:p>
    <w:p>
      <w:pPr>
        <w:spacing w:after="0" w:line="38" w:lineRule="exact"/>
        <w:rPr>
          <w:rFonts w:ascii="Arial" w:cs="Arial" w:eastAsia="Arial" w:hAnsi="Arial"/>
          <w:sz w:val="17"/>
          <w:szCs w:val="17"/>
          <w:color w:val="auto"/>
        </w:rPr>
      </w:pPr>
    </w:p>
    <w:p>
      <w:pPr>
        <w:ind w:left="1600" w:hanging="259"/>
        <w:spacing w:after="0"/>
        <w:tabs>
          <w:tab w:leader="none" w:pos="1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17" w:lineRule="exact"/>
        <w:rPr>
          <w:rFonts w:ascii="Arial" w:cs="Arial" w:eastAsia="Arial" w:hAnsi="Arial"/>
          <w:sz w:val="18"/>
          <w:szCs w:val="18"/>
          <w:color w:val="auto"/>
        </w:rPr>
      </w:pPr>
    </w:p>
    <w:p>
      <w:pPr>
        <w:ind w:left="920" w:right="540" w:firstLine="421"/>
        <w:spacing w:after="0" w:line="277" w:lineRule="auto"/>
        <w:tabs>
          <w:tab w:leader="none" w:pos="15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any assignment resulting from a Tranche B Term Lender becoming a Non-Consenting Tranche B Term Lender, the applicable assignee shall have consented to the applicable consent, approval, amendment or waiver.</w:t>
      </w:r>
    </w:p>
    <w:p>
      <w:pPr>
        <w:spacing w:after="0" w:line="62"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 xml:space="preserve">A Lender shall not be required to make any such assignment or delegation if, prior thereto, as a result of a waiver by such Lender (or, in the case of a Non-Consenting Tranche B Term Lender, a grant of the applicable consent by such Lender) or otherwise, the circumstances entitling the Borrower to require such assignment and delegation cease to apply. Each Lender required to make an assignment or delegation pursuant to this </w:t>
      </w:r>
      <w:r>
        <w:rPr>
          <w:rFonts w:ascii="Arial" w:cs="Arial" w:eastAsia="Arial" w:hAnsi="Arial"/>
          <w:sz w:val="18"/>
          <w:szCs w:val="18"/>
          <w:u w:val="single" w:color="auto"/>
          <w:color w:val="auto"/>
        </w:rPr>
        <w:t>Section 11.13</w:t>
      </w:r>
      <w:r>
        <w:rPr>
          <w:rFonts w:ascii="Arial" w:cs="Arial" w:eastAsia="Arial" w:hAnsi="Arial"/>
          <w:sz w:val="18"/>
          <w:szCs w:val="18"/>
          <w:color w:val="auto"/>
        </w:rPr>
        <w:t xml:space="preserve"> shall be deemed to have consented to such assignment or delegation upon receipt and acceptance by such Lender of all amounts due to such Lender as specified in subsection (b) above.”</w:t>
      </w:r>
    </w:p>
    <w:p>
      <w:pPr>
        <w:spacing w:after="0" w:line="188"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Repricing Amendment</w:t>
      </w:r>
      <w:r>
        <w:rPr>
          <w:rFonts w:ascii="Arial" w:cs="Arial" w:eastAsia="Arial" w:hAnsi="Arial"/>
          <w:sz w:val="17"/>
          <w:szCs w:val="17"/>
          <w:color w:val="auto"/>
        </w:rPr>
        <w:t>. The Existing Credit Agreement is, effective as of the Amendment No. 2 Effective Date and immediately after the effectiveness of the Master Assignment (which shall be effective immediately following the 11.13 Amendment), hereby amended as follows: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5" w:name="page56"/>
    <w:bookmarkEnd w:id="55"/>
    <w:p>
      <w:pPr>
        <w:ind w:left="460" w:right="260" w:firstLine="443"/>
        <w:spacing w:after="0" w:line="277" w:lineRule="auto"/>
        <w:tabs>
          <w:tab w:leader="none" w:pos="1143"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1.01</w:t>
      </w:r>
      <w:r>
        <w:rPr>
          <w:rFonts w:ascii="Arial" w:cs="Arial" w:eastAsia="Arial" w:hAnsi="Arial"/>
          <w:sz w:val="18"/>
          <w:szCs w:val="18"/>
          <w:color w:val="auto"/>
        </w:rPr>
        <w:t xml:space="preserve"> of the Existing Credit Agreement is hereby amended by replacing clause (c) of the definition of “Applicable Margin” with the following:</w:t>
      </w:r>
    </w:p>
    <w:p>
      <w:pPr>
        <w:spacing w:after="0" w:line="62"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“(c) in the case of Tranche B Term Loans, (i) the Applicable Margin for Tranche B Term Loans that are Eurodollar Rate Loans shall be 2.00%, and (ii) the Applicable Margin for Tranche B Term Loans that are Base Rate Loans shall be 1.00%.</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Section 2.05(a)(iii)</w:t>
      </w:r>
      <w:r>
        <w:rPr>
          <w:rFonts w:ascii="Arial" w:cs="Arial" w:eastAsia="Arial" w:hAnsi="Arial"/>
          <w:sz w:val="18"/>
          <w:szCs w:val="18"/>
          <w:color w:val="auto"/>
        </w:rPr>
        <w:t xml:space="preserve"> of the Existing Credit Agreement is hereby amended and restated in its entirety with the following:</w:t>
      </w:r>
    </w:p>
    <w:p>
      <w:pPr>
        <w:spacing w:after="0" w:line="117" w:lineRule="exact"/>
        <w:rPr>
          <w:sz w:val="20"/>
          <w:szCs w:val="20"/>
          <w:color w:val="auto"/>
        </w:rPr>
      </w:pPr>
    </w:p>
    <w:p>
      <w:pPr>
        <w:ind w:left="920" w:right="180"/>
        <w:spacing w:after="0" w:line="259" w:lineRule="auto"/>
        <w:rPr>
          <w:sz w:val="20"/>
          <w:szCs w:val="20"/>
          <w:color w:val="auto"/>
        </w:rPr>
      </w:pPr>
      <w:r>
        <w:rPr>
          <w:rFonts w:ascii="Arial" w:cs="Arial" w:eastAsia="Arial" w:hAnsi="Arial"/>
          <w:sz w:val="18"/>
          <w:szCs w:val="18"/>
          <w:color w:val="auto"/>
        </w:rPr>
        <w:t>“(iii) Any prepayment made pursuant to this Section 2.05(a)(i) or Section 2.05(b)(v) of the Tranche B Term Loans as a result of a Repricing Event shall be accompanied by a prepayment fee, which shall initially be 1% of the aggregate principal amount prepaid and shall decline to 0% after December 26, 2018. Such amounts shall be due and payable to the Tranche B Lenders on the date of effectiveness of such Repricing Event.”</w:t>
      </w:r>
    </w:p>
    <w:p>
      <w:pPr>
        <w:spacing w:after="0" w:line="79" w:lineRule="exact"/>
        <w:rPr>
          <w:sz w:val="20"/>
          <w:szCs w:val="20"/>
          <w:color w:val="auto"/>
        </w:rPr>
      </w:pPr>
    </w:p>
    <w:p>
      <w:pPr>
        <w:ind w:left="460" w:right="140" w:firstLine="443"/>
        <w:spacing w:after="0" w:line="277" w:lineRule="auto"/>
        <w:tabs>
          <w:tab w:leader="none" w:pos="114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Section 2.05(b)(vi)</w:t>
      </w:r>
      <w:r>
        <w:rPr>
          <w:rFonts w:ascii="Arial" w:cs="Arial" w:eastAsia="Arial" w:hAnsi="Arial"/>
          <w:sz w:val="18"/>
          <w:szCs w:val="18"/>
          <w:color w:val="auto"/>
        </w:rPr>
        <w:t xml:space="preserve"> of the Existing Credit Agreement is hereby amended by replacing the reference to “December 31, 2018” with a reference to “December 31, 2019”.</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to Amendment</w:t>
      </w:r>
      <w:r>
        <w:rPr>
          <w:rFonts w:ascii="Arial" w:cs="Arial" w:eastAsia="Arial" w:hAnsi="Arial"/>
          <w:sz w:val="18"/>
          <w:szCs w:val="18"/>
          <w:color w:val="auto"/>
        </w:rPr>
        <w:t>. This Agreement shall become effective as of the first date (the “</w:t>
      </w:r>
      <w:r>
        <w:rPr>
          <w:rFonts w:ascii="Arial" w:cs="Arial" w:eastAsia="Arial" w:hAnsi="Arial"/>
          <w:sz w:val="18"/>
          <w:szCs w:val="18"/>
          <w:u w:val="single" w:color="auto"/>
          <w:color w:val="auto"/>
        </w:rPr>
        <w:t>Amendment No. 2 Effective Date</w:t>
      </w:r>
      <w:r>
        <w:rPr>
          <w:rFonts w:ascii="Arial" w:cs="Arial" w:eastAsia="Arial" w:hAnsi="Arial"/>
          <w:sz w:val="18"/>
          <w:szCs w:val="18"/>
          <w:color w:val="auto"/>
        </w:rPr>
        <w:t>”) when each of the following conditions shall have been satisfied or waived in writing by the Administrative Agent:</w:t>
      </w:r>
    </w:p>
    <w:p>
      <w:pPr>
        <w:spacing w:after="0" w:line="62" w:lineRule="exact"/>
        <w:rPr>
          <w:sz w:val="20"/>
          <w:szCs w:val="20"/>
          <w:color w:val="auto"/>
        </w:rPr>
      </w:pPr>
    </w:p>
    <w:p>
      <w:pPr>
        <w:ind w:firstLine="464"/>
        <w:spacing w:after="0" w:line="291" w:lineRule="auto"/>
        <w:tabs>
          <w:tab w:leader="none" w:pos="701"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Borrower and each other Loan Party contained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the Existing Credit Agreement or any other Loan Document, or which are contained in any document furnished at any time under or in connection herewith or therewith, shall be true and correct in all material respects (except that any representation and warranty that is qualified by materiality shall be true and correct in all respects) on and as of the Amendment No. 2 Effective Date after giving effect to both the 11.13 Amendment and the Repricing Amendment, except to the extent that such representations and warranties specifically refer to an earlier date, in which case they shall be true and correct as of such earlier date, and except that for purposes of this Agreement, the representations and warranties contained in subsections (a) and (b) of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of the Existing Credit Agreement shall be deemed to refer to the most recent statements furnished pursuant to clauses (a) and (b), respectively, of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shall exist.</w:t>
      </w:r>
    </w:p>
    <w:p>
      <w:pPr>
        <w:spacing w:after="0" w:line="117" w:lineRule="exact"/>
        <w:rPr>
          <w:rFonts w:ascii="Arial" w:cs="Arial" w:eastAsia="Arial" w:hAnsi="Arial"/>
          <w:sz w:val="18"/>
          <w:szCs w:val="18"/>
          <w:color w:val="auto"/>
        </w:rPr>
      </w:pPr>
    </w:p>
    <w:p>
      <w:pPr>
        <w:ind w:right="260" w:firstLine="464"/>
        <w:spacing w:after="0" w:line="342" w:lineRule="auto"/>
        <w:tabs>
          <w:tab w:leader="none" w:pos="701"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This Agreement</w:t>
      </w:r>
      <w:r>
        <w:rPr>
          <w:rFonts w:ascii="Arial" w:cs="Arial" w:eastAsia="Arial" w:hAnsi="Arial"/>
          <w:sz w:val="16"/>
          <w:szCs w:val="16"/>
          <w:color w:val="auto"/>
        </w:rPr>
        <w:t>. The Administrative Agent shall have received executed counterparts hereof that, when taken together, bear the signatures of the Loan Parties, the Guarantors, the Consenting Tranche B Term Lenders, the Current Tranche B Term Lenders, and the Administrative Agent.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6" w:name="page57"/>
    <w:bookmarkEnd w:id="56"/>
    <w:p>
      <w:pPr>
        <w:ind w:firstLine="464"/>
        <w:spacing w:after="0" w:line="291" w:lineRule="auto"/>
        <w:tabs>
          <w:tab w:leader="none" w:pos="71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Officer’s Certificates</w:t>
      </w:r>
      <w:r>
        <w:rPr>
          <w:rFonts w:ascii="Arial" w:cs="Arial" w:eastAsia="Arial" w:hAnsi="Arial"/>
          <w:sz w:val="16"/>
          <w:szCs w:val="16"/>
          <w:color w:val="auto"/>
        </w:rPr>
        <w:t>. The Administrative Agent shall have received a certificate or certificates executed by a Responsible Officer of the Borrower as of the Amendment No. 2 Effective Date, in form and substance satisfactory to the Administrative Agent, stating that (A) each Loan Party is in compliance with all existing financial obligations, (B) all material governmental, shareholder and third party consents and approvals, if any, with respect to the Loan Documents executed and delivered in connection with this Agreement and the transactions contemplated thereby have been obtained (and attaching copies thereof), and (C) that no action, suit, investigation or proceeding is pending or threatened in any court or before any arbitrator or governmental instrumentality that purports to affect any Loan Party or any transaction contemplated by the Loan Documents executed and delivered in connection with this Agreement, if such action, suit, investigation or proceeding could reasonably be expected to have a Material Adverse Effect.</w:t>
      </w:r>
    </w:p>
    <w:p>
      <w:pPr>
        <w:spacing w:after="0" w:line="59" w:lineRule="exact"/>
        <w:rPr>
          <w:rFonts w:ascii="Arial" w:cs="Arial" w:eastAsia="Arial" w:hAnsi="Arial"/>
          <w:sz w:val="16"/>
          <w:szCs w:val="16"/>
          <w:color w:val="auto"/>
        </w:rPr>
      </w:pPr>
    </w:p>
    <w:p>
      <w:pPr>
        <w:ind w:right="660" w:firstLine="464"/>
        <w:spacing w:after="0" w:line="342" w:lineRule="auto"/>
        <w:tabs>
          <w:tab w:leader="none" w:pos="701"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The Borrower shall have paid all fees required in connection with this Agreement and all costs and expenses (including attorneys’ costs and fees) incurred by the Administrative Agent and the Tranche B Term Loan Arranger in documenting or implementing same.</w:t>
      </w:r>
    </w:p>
    <w:p>
      <w:pPr>
        <w:spacing w:after="0" w:line="15" w:lineRule="exact"/>
        <w:rPr>
          <w:rFonts w:ascii="Arial" w:cs="Arial" w:eastAsia="Arial" w:hAnsi="Arial"/>
          <w:sz w:val="16"/>
          <w:szCs w:val="16"/>
          <w:color w:val="auto"/>
        </w:rPr>
      </w:pPr>
    </w:p>
    <w:p>
      <w:pPr>
        <w:ind w:right="80" w:firstLine="464"/>
        <w:spacing w:after="0" w:line="257" w:lineRule="auto"/>
        <w:tabs>
          <w:tab w:leader="none" w:pos="681"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Attorney Costs</w:t>
      </w:r>
      <w:r>
        <w:rPr>
          <w:rFonts w:ascii="Arial" w:cs="Arial" w:eastAsia="Arial" w:hAnsi="Arial"/>
          <w:sz w:val="18"/>
          <w:szCs w:val="18"/>
          <w:color w:val="auto"/>
        </w:rPr>
        <w:t xml:space="preserve">. The Borrower shall have paid all reasonable fees, charges and disbursements of counsel of the Administrative Agent and the Tranche B Term Loan Arranger to the extent invoiced prior to or on the Amendment No. 2 Effective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 or the Tranche B Term Loan Arranger, as applicable).</w:t>
      </w:r>
    </w:p>
    <w:p>
      <w:pPr>
        <w:spacing w:after="0" w:line="188"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Reaffirmation</w:t>
      </w:r>
      <w:r>
        <w:rPr>
          <w:rFonts w:ascii="Arial" w:cs="Arial" w:eastAsia="Arial" w:hAnsi="Arial"/>
          <w:sz w:val="16"/>
          <w:szCs w:val="16"/>
          <w:i w:val="1"/>
          <w:iCs w:val="1"/>
          <w:color w:val="auto"/>
        </w:rPr>
        <w:t>.</w:t>
      </w:r>
      <w:r>
        <w:rPr>
          <w:rFonts w:ascii="Arial" w:cs="Arial" w:eastAsia="Arial" w:hAnsi="Arial"/>
          <w:sz w:val="16"/>
          <w:szCs w:val="16"/>
          <w:color w:val="auto"/>
        </w:rPr>
        <w:t xml:space="preserve"> By signing this Agreement, each Loan Party hereby confirms that this Agreement shall not effect a novation of any of the obligations of the Loan Parties under the Existing Credit Agreement, which obligations continue in full force and effect as set forth in the Credit Agreement, and each Loan Party and each Pledgor acknowledges and confirms that the obligations of the Loan Parties under the Existing Credit Agreement as modified or supplemented hereby and the Loan Parties and the Pledgors under the other Loan Documents (i) are entitled to the benefits of the guarantees, pledge of and/or grant of the security interests set forth or created in the Collateral Documents and the other Loan Documents, (ii) constitute “Obligations” and “Secured Obligations” or other similar term for purposes of the Credit Agreement, the Collateral Documents and all other Loan Documents,</w:t>
      </w:r>
    </w:p>
    <w:p>
      <w:pPr>
        <w:spacing w:after="0" w:line="5" w:lineRule="exact"/>
        <w:rPr>
          <w:sz w:val="20"/>
          <w:szCs w:val="20"/>
          <w:color w:val="auto"/>
        </w:rPr>
      </w:pPr>
    </w:p>
    <w:p>
      <w:pPr>
        <w:ind w:right="80" w:firstLine="8"/>
        <w:spacing w:after="0" w:line="273" w:lineRule="auto"/>
        <w:tabs>
          <w:tab w:leader="none" w:pos="3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notwithstanding the effectiveness of the terms hereof, the Collateral Documents and the other Loan Documents are, and shall continue to be, in full force and effect and are hereby ratified and confirmed in all respects. Each Loan Party and each Pledgor hereby ratifies and confirms that all Liens granted, conveyed, or assigned to the Administrative Agent by such Person pursuant to any Loan Document to which it is a party remain in full force and effect, are not released or reduced, and continue to secure full payment and performance of the Obligations as increased hereby.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Applicable Law; Jurisdiction; Venue</w:t>
      </w:r>
      <w:r>
        <w:rPr>
          <w:rFonts w:ascii="Arial" w:cs="Arial" w:eastAsia="Arial" w:hAnsi="Arial"/>
          <w:sz w:val="18"/>
          <w:szCs w:val="18"/>
          <w:color w:val="auto"/>
        </w:rPr>
        <w:t>.</w:t>
      </w:r>
    </w:p>
    <w:p>
      <w:pPr>
        <w:spacing w:after="0" w:line="117" w:lineRule="exact"/>
        <w:rPr>
          <w:sz w:val="20"/>
          <w:szCs w:val="20"/>
          <w:color w:val="auto"/>
        </w:rPr>
      </w:pPr>
    </w:p>
    <w:p>
      <w:pPr>
        <w:ind w:right="120" w:firstLine="464"/>
        <w:spacing w:after="0" w:line="277"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THE LAWS OF THE STATE OF NEW YORK.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7" w:name="page58"/>
    <w:bookmarkEnd w:id="57"/>
    <w:p>
      <w:pPr>
        <w:ind w:left="-20" w:firstLine="464"/>
        <w:spacing w:after="0" w:line="268" w:lineRule="auto"/>
        <w:tabs>
          <w:tab w:leader="none" w:pos="69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SUBMISSION TO JURISDICTION</w:t>
      </w:r>
      <w:r>
        <w:rPr>
          <w:rFonts w:ascii="Arial" w:cs="Arial" w:eastAsia="Arial" w:hAnsi="Arial"/>
          <w:sz w:val="17"/>
          <w:szCs w:val="17"/>
          <w:color w:val="auto"/>
        </w:rPr>
        <w:t>. THE BORROWER, EACH PLEDGOR AND EACH OTHER LOAN PARTY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JOINT LEAD ARRANGERS MAY OTHERWISE HAVE TO BRING ANY ACTION OR PROCEEDING RELATING TO THIS AGREEMENT OR ANY OTHER LOAN DOCUMENT AGAINST THE BORROWER, ANY PLEDGOR OR ANY OTHER LOAN PARTY OR ITS PROPERTIES IN THE COURTS OF ANY JURISDICTION.</w:t>
      </w:r>
    </w:p>
    <w:p>
      <w:pPr>
        <w:spacing w:after="0" w:line="79" w:lineRule="exact"/>
        <w:rPr>
          <w:rFonts w:ascii="Arial" w:cs="Arial" w:eastAsia="Arial" w:hAnsi="Arial"/>
          <w:sz w:val="17"/>
          <w:szCs w:val="17"/>
          <w:color w:val="auto"/>
        </w:rPr>
      </w:pPr>
    </w:p>
    <w:p>
      <w:pPr>
        <w:ind w:left="-20" w:right="20" w:firstLine="464"/>
        <w:spacing w:after="0" w:line="255" w:lineRule="auto"/>
        <w:tabs>
          <w:tab w:leader="none" w:pos="68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EACH PLEDGOR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85" w:lineRule="exact"/>
        <w:rPr>
          <w:rFonts w:ascii="Arial" w:cs="Arial" w:eastAsia="Arial" w:hAnsi="Arial"/>
          <w:sz w:val="18"/>
          <w:szCs w:val="18"/>
          <w:color w:val="auto"/>
        </w:rPr>
      </w:pPr>
    </w:p>
    <w:p>
      <w:pPr>
        <w:ind w:left="-20" w:right="20" w:firstLine="464"/>
        <w:spacing w:after="0" w:line="271" w:lineRule="auto"/>
        <w:tabs>
          <w:tab w:leader="none" w:pos="69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74" w:right="259" w:bottom="1440" w:gutter="0" w:footer="0" w:header="0"/>
        </w:sectPr>
      </w:pPr>
    </w:p>
    <w:bookmarkStart w:id="58" w:name="page59"/>
    <w:bookmarkEnd w:id="58"/>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6"/>
          <w:szCs w:val="16"/>
          <w:u w:val="single" w:color="auto"/>
          <w:color w:val="auto"/>
        </w:rPr>
        <w:t>Credit Agreement Governs</w:t>
      </w:r>
      <w:r>
        <w:rPr>
          <w:rFonts w:ascii="Arial" w:cs="Arial" w:eastAsia="Arial" w:hAnsi="Arial"/>
          <w:sz w:val="16"/>
          <w:szCs w:val="16"/>
          <w:color w:val="auto"/>
        </w:rPr>
        <w:t>. Except as expressly set forth herein, this Agreement shall not by implication or otherwise limit, impair, constitute a waiver of or otherwise affect the rights and remedies of any Lender or the Administrative Agent under the Existing Credit Agreement or any other Loan Document, and shall not alter, modify, amend or in any way affect any of the terms, conditions, obligations, covenants or agreements contained in the Existing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w:t>
      </w:r>
    </w:p>
    <w:p>
      <w:pPr>
        <w:spacing w:after="0" w:line="16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Counterparts</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may be executed in any number of counterparts and by different parties hereto in separate counterparts, each of which when so executed and delivered shall be deemed an original, but all such counterparts together shall constitute but one and the same instrument. Delivery of any executed counterpart of a signature page of this Agreement by facsimile or electronic transmission shall be as effective as delivery of a manually executed counterpart hereof.</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Miscellaneous</w:t>
      </w:r>
      <w:r>
        <w:rPr>
          <w:rFonts w:ascii="Arial" w:cs="Arial" w:eastAsia="Arial" w:hAnsi="Arial"/>
          <w:sz w:val="18"/>
          <w:szCs w:val="18"/>
          <w:i w:val="1"/>
          <w:iCs w:val="1"/>
          <w:color w:val="auto"/>
        </w:rPr>
        <w:t>.</w:t>
      </w:r>
    </w:p>
    <w:p>
      <w:pPr>
        <w:spacing w:after="0" w:line="117" w:lineRule="exact"/>
        <w:rPr>
          <w:sz w:val="20"/>
          <w:szCs w:val="20"/>
          <w:color w:val="auto"/>
        </w:rPr>
      </w:pPr>
    </w:p>
    <w:p>
      <w:pPr>
        <w:ind w:left="460" w:right="240" w:firstLine="443"/>
        <w:spacing w:after="0" w:line="264" w:lineRule="auto"/>
        <w:tabs>
          <w:tab w:leader="none" w:pos="114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This Agreement shall constitute an amendment of the Existing Credit Agreement and a “Loan Document”. The Borrower shall pay all reasonable fees, costs and expenses of the Administrative Agent and the Tranche B Term Loan Arranger incurred in connection with the negotiation, preparation and execution of this Agreement and the transactions contemplated hereby.</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For the avoidance of doubt, the effectiveness of this Agreement and the Master Assignment shall be deemed to occur in the following order:</w:t>
      </w:r>
    </w:p>
    <w:p>
      <w:pPr>
        <w:spacing w:after="0" w:line="46" w:lineRule="exact"/>
        <w:rPr>
          <w:rFonts w:ascii="Arial" w:cs="Arial" w:eastAsia="Arial" w:hAnsi="Arial"/>
          <w:sz w:val="16"/>
          <w:szCs w:val="16"/>
          <w:color w:val="auto"/>
        </w:rPr>
      </w:pPr>
    </w:p>
    <w:p>
      <w:pPr>
        <w:ind w:left="460" w:right="160" w:firstLine="4"/>
        <w:spacing w:after="0" w:line="292" w:lineRule="auto"/>
        <w:tabs>
          <w:tab w:leader="none" w:pos="675"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first, the 11.13 Amendment shall be deemed effective, (ii) second, the Master Assignment shall be deemed effective, and (iii) third, the Repricing Amendment shall be deemed effective. The Consenting Tranche B Term Lenders are executing this Agreement for the purpose of consenting to the 11.13 Amendment and also, in their capacity as Current Tranche B Term lenders, consenting to the Repricing Amendment, and the Current Tranche B Term Lenders (which term shall include all Consenting Tranche B Term Lenders together with Deutsche Bank AG New York Branch following the Master Assignment), are executing this Agreement for the limited purpose of consenting to the Repricing Amendment.</w:t>
      </w:r>
    </w:p>
    <w:p>
      <w:pPr>
        <w:spacing w:after="0" w:line="16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Arranger Titles</w:t>
      </w:r>
      <w:r>
        <w:rPr>
          <w:rFonts w:ascii="Arial" w:cs="Arial" w:eastAsia="Arial" w:hAnsi="Arial"/>
          <w:sz w:val="18"/>
          <w:szCs w:val="18"/>
          <w:color w:val="auto"/>
        </w:rPr>
        <w:t>. From and after the Second Amendment Effective Date, the following entities shall have the following titles with respect to the Tranche B Term Loan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Deutsche Bank Securities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 Incorporated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Credit Agricole Corporate and Investment Bank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 One, 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Left Lead Arranger, Syndication Agent, Joint Book Runner,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-215900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Co-Documentation Agent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Right Lead Arranger and Joint Book Runner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Joint Lead Arranger, Joint Book Runner, and Co-Documentation Agent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Joint Lead Arranger, Joint Book Runner, and Co-Documentation Agent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Joint Lead Arranger, Joint Book Runner, and Co-Documentation Agent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Joint Lead Arranger, Joint Book Runner, and Co-Documentation Agent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Joint Lead Arranger, Joint Book Runner, and Co-Documentation Agent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Joint Lead Arranger, Joint Book Runner, and Co-Documentation Agent</w:t>
      </w:r>
    </w:p>
    <w:p>
      <w:pPr>
        <w:spacing w:after="0" w:line="222" w:lineRule="exact"/>
        <w:rPr>
          <w:sz w:val="20"/>
          <w:szCs w:val="20"/>
          <w:color w:val="auto"/>
        </w:rPr>
      </w:pPr>
    </w:p>
    <w:p>
      <w:pPr>
        <w:sectPr>
          <w:pgSz w:w="11900" w:h="16838" w:orient="portrait"/>
          <w:cols w:equalWidth="0" w:num="2">
            <w:col w:w="5160" w:space="720"/>
            <w:col w:w="5140"/>
          </w:cols>
          <w:pgMar w:left="240" w:top="274" w:right="639" w:bottom="1440" w:gutter="0" w:footer="0" w:header="0"/>
        </w:sectPr>
      </w:pPr>
    </w:p>
    <w:p>
      <w:pPr>
        <w:spacing w:after="0" w:line="25" w:lineRule="exact"/>
        <w:rPr>
          <w:sz w:val="20"/>
          <w:szCs w:val="20"/>
          <w:color w:val="auto"/>
        </w:rPr>
      </w:pPr>
    </w:p>
    <w:p>
      <w:pPr>
        <w:jc w:val="center"/>
        <w:ind w:right="-399"/>
        <w:spacing w:after="0"/>
        <w:rPr>
          <w:sz w:val="20"/>
          <w:szCs w:val="20"/>
          <w:color w:val="auto"/>
        </w:rPr>
      </w:pPr>
      <w:r>
        <w:rPr>
          <w:rFonts w:ascii="Arial" w:cs="Arial" w:eastAsia="Arial" w:hAnsi="Arial"/>
          <w:sz w:val="15"/>
          <w:szCs w:val="15"/>
          <w:b w:val="1"/>
          <w:bCs w:val="1"/>
          <w:i w:val="1"/>
          <w:iCs w:val="1"/>
          <w:color w:val="auto"/>
        </w:rPr>
        <w:t>[Remainder of this page intentionally left blank]</w:t>
      </w:r>
    </w:p>
    <w:p>
      <w:pPr>
        <w:spacing w:after="0" w:line="1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274" w:right="6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i w:val="1"/>
          <w:iCs w:val="1"/>
          <w:color w:val="auto"/>
        </w:rPr>
        <w:t>,</w:t>
      </w:r>
      <w:r>
        <w:rPr>
          <w:rFonts w:ascii="Arial" w:cs="Arial" w:eastAsia="Arial" w:hAnsi="Arial"/>
          <w:sz w:val="16"/>
          <w:szCs w:val="16"/>
          <w:color w:val="auto"/>
        </w:rPr>
        <w:t xml:space="preserve"> the parties hereto have caused this Agreement to be duly executed and delivered as of the date first above written.</w:t>
      </w:r>
    </w:p>
    <w:p>
      <w:pPr>
        <w:spacing w:after="0" w:line="27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BORROWER AND PLEDGOR:</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RHP HOTEL PROPERTIES, LP,</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a Delaware limited partnership, as Borrower and as a</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Pledgor</w:t>
      </w:r>
    </w:p>
    <w:p>
      <w:pPr>
        <w:spacing w:after="0" w:line="211"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By: RHP Partner, LLC,</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4812030</wp:posOffset>
            </wp:positionH>
            <wp:positionV relativeFrom="paragraph">
              <wp:posOffset>-10160</wp:posOffset>
            </wp:positionV>
            <wp:extent cx="14859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485900" cy="8890"/>
                    </a:xfrm>
                    <a:prstGeom prst="rect">
                      <a:avLst/>
                    </a:prstGeom>
                    <a:noFill/>
                  </pic:spPr>
                </pic:pic>
              </a:graphicData>
            </a:graphic>
          </wp:anchor>
        </w:drawing>
      </w:r>
    </w:p>
    <w:p>
      <w:pPr>
        <w:spacing w:after="0" w:line="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Mark Fioravanti</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Vice President</w:t>
      </w:r>
    </w:p>
    <w:p>
      <w:pPr>
        <w:spacing w:after="0" w:line="20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GUARANTORS AND PLEDGORS: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RYMAN HOSPITALITY PROPERTIES, INC.,</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a Delaware corporation, as a Guarantor and a Pledgor</w:t>
      </w:r>
    </w:p>
    <w:p>
      <w:pPr>
        <w:spacing w:after="0" w:line="23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-10160</wp:posOffset>
            </wp:positionV>
            <wp:extent cx="19145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91452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Mark Fioravanti</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Financial Officer</w:t>
      </w:r>
    </w:p>
    <w:p>
      <w:pPr>
        <w:spacing w:after="0" w:line="20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RHP PROPERTY GP, LP,</w:t>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 Florida limited partnership, as a Guarantor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Opryland Hospitality, LLC,</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 Tennessee limited liability company</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4526280</wp:posOffset>
            </wp:positionH>
            <wp:positionV relativeFrom="paragraph">
              <wp:posOffset>-10160</wp:posOffset>
            </wp:positionV>
            <wp:extent cx="1771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line="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Mark Fioravanti</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 Amendment No. 2 to Fifth Amended and Restated Credit Agreement</w:t>
      </w:r>
    </w:p>
    <w:p>
      <w:pPr>
        <w:sectPr>
          <w:pgSz w:w="11900" w:h="16838" w:orient="portrait"/>
          <w:cols w:equalWidth="0" w:num="1">
            <w:col w:w="10460"/>
          </w:cols>
          <w:pgMar w:left="700" w:top="274" w:right="739" w:bottom="1440" w:gutter="0" w:footer="0" w:header="0"/>
        </w:sectPr>
      </w:pPr>
    </w:p>
    <w:bookmarkStart w:id="61" w:name="page62"/>
    <w:bookmarkEnd w:id="6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RHP PROPERTY GT, LP,</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Delaware limited partnership, as a Guarantor</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Opryland Hospitality, LLC,</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 Tennessee limited liability company,</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-10160</wp:posOffset>
            </wp:positionV>
            <wp:extent cx="16573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Fioravanti</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RHP PROPERTY NH, LLC</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 Maryland limited liability company, as a Guarantor and a</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Pledgor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RHP PARTNER, LLC</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 Delaware limited liability company, as a Guarantor and a</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Pledgor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Signature Page – Amendment No. 2 to Fifth Amended and Restated Credit Agreement</w:t>
      </w:r>
    </w:p>
    <w:p>
      <w:pPr>
        <w:sectPr>
          <w:pgSz w:w="11900" w:h="16838" w:orient="portrait"/>
          <w:cols w:equalWidth="0" w:num="1">
            <w:col w:w="9900"/>
          </w:cols>
          <w:pgMar w:left="1440" w:top="270" w:right="559" w:bottom="1440" w:gutter="0" w:footer="0" w:header="0"/>
        </w:sectPr>
      </w:pPr>
    </w:p>
    <w:bookmarkStart w:id="62" w:name="page63"/>
    <w:bookmarkEnd w:id="6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RHP HOTELS, LLC</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 Delaware limited liability company, as a Guarantor and a</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Pledgor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RHP PROPERTY GT, LLC</w:t>
      </w:r>
      <w:r>
        <w:rPr>
          <w:rFonts w:ascii="Arial" w:cs="Arial" w:eastAsia="Arial" w:hAnsi="Arial"/>
          <w:sz w:val="18"/>
          <w:szCs w:val="18"/>
          <w:color w:val="auto"/>
        </w:rPr>
        <w:t>,</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 Delaware limited liability company, as a Guarantor and a</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Pledgor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OPRYLAND HOSPITALITY,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 Tennessee limited liability company, as a Guarantor and a</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Pledgor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Signature Page – Amendment No. 2 to Fifth Amended and Restated Credit Agreement</w:t>
      </w:r>
    </w:p>
    <w:p>
      <w:pPr>
        <w:sectPr>
          <w:pgSz w:w="11900" w:h="16838" w:orient="portrait"/>
          <w:cols w:equalWidth="0" w:num="1">
            <w:col w:w="9940"/>
          </w:cols>
          <w:pgMar w:left="1440" w:top="270" w:right="519" w:bottom="1440" w:gutter="0" w:footer="0" w:header="0"/>
        </w:sectPr>
      </w:pPr>
    </w:p>
    <w:bookmarkStart w:id="63" w:name="page64"/>
    <w:bookmarkEnd w:id="6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WELLS FARGO BANK, NATIONAL</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in its capacity as Administrative Agent</w:t>
      </w:r>
    </w:p>
    <w:p>
      <w:pPr>
        <w:spacing w:after="0" w:line="24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4047490</wp:posOffset>
            </wp:positionH>
            <wp:positionV relativeFrom="paragraph">
              <wp:posOffset>-10160</wp:posOffset>
            </wp:positionV>
            <wp:extent cx="20859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 Anand. J. Jobanputra</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 Amendment No. 2 to Fifth Amended and Restated Credit Agreement</w:t>
      </w:r>
    </w:p>
    <w:p>
      <w:pPr>
        <w:sectPr>
          <w:pgSz w:w="11900" w:h="16838" w:orient="portrait"/>
          <w:cols w:equalWidth="0" w:num="1">
            <w:col w:w="9060"/>
          </w:cols>
          <w:pgMar w:left="1440" w:top="270" w:right="1399" w:bottom="1440" w:gutter="0" w:footer="0" w:header="0"/>
        </w:sectPr>
      </w:pPr>
    </w:p>
    <w:bookmarkStart w:id="64" w:name="page65"/>
    <w:bookmarkEnd w:id="6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CONSENTING TRANCHE B TERM LENDERS:</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Consenting Tranche B Term 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-10160</wp:posOffset>
            </wp:positionV>
            <wp:extent cx="17716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20"/>
          </w:cols>
          <w:pgMar w:left="1440" w:top="270" w:right="9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Colin V. Reed, certify that:</w:t>
      </w:r>
    </w:p>
    <w:p>
      <w:pPr>
        <w:spacing w:after="0" w:line="117"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0" w:firstLine="464"/>
        <w:spacing w:after="0" w:line="264" w:lineRule="auto"/>
        <w:tabs>
          <w:tab w:leader="none" w:pos="6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464"/>
        <w:spacing w:after="0" w:line="264" w:lineRule="auto"/>
        <w:tabs>
          <w:tab w:leader="none" w:pos="65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 w:firstLine="464"/>
        <w:spacing w:after="0" w:line="277" w:lineRule="auto"/>
        <w:tabs>
          <w:tab w:leader="none" w:pos="6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100" w:firstLine="464"/>
        <w:spacing w:after="0" w:line="264" w:lineRule="auto"/>
        <w:tabs>
          <w:tab w:leader="none" w:pos="65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464"/>
        <w:spacing w:after="0" w:line="277" w:lineRule="auto"/>
        <w:tabs>
          <w:tab w:leader="none" w:pos="6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60" w:firstLine="464"/>
        <w:spacing w:after="0" w:line="277" w:lineRule="auto"/>
        <w:tabs>
          <w:tab w:leader="none" w:pos="64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Colin V. 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of the Board of Directors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117"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0" w:firstLine="464"/>
        <w:spacing w:after="0" w:line="264" w:lineRule="auto"/>
        <w:tabs>
          <w:tab w:leader="none" w:pos="6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464"/>
        <w:spacing w:after="0" w:line="264" w:lineRule="auto"/>
        <w:tabs>
          <w:tab w:leader="none" w:pos="65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 w:firstLine="464"/>
        <w:spacing w:after="0" w:line="277" w:lineRule="auto"/>
        <w:tabs>
          <w:tab w:leader="none" w:pos="6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100" w:firstLine="464"/>
        <w:spacing w:after="0" w:line="264" w:lineRule="auto"/>
        <w:tabs>
          <w:tab w:leader="none" w:pos="65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464"/>
        <w:spacing w:after="0" w:line="277" w:lineRule="auto"/>
        <w:tabs>
          <w:tab w:leader="none" w:pos="6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60" w:firstLine="464"/>
        <w:spacing w:after="0" w:line="277" w:lineRule="auto"/>
        <w:tabs>
          <w:tab w:leader="none" w:pos="6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Financial Officer</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connection with the Quarterly Report of Ryman Hospitality Properties, Inc. (the “Company”) on Form 10-Q for the quarter ended June 30, 2018, as filed with the Securities and Exchange Commission on the date hereof (the “Report”), each of the undersigned certifies, pursuant to 18 U.S.C. § 1350, as adopted pursuant to §906 of the Sarbanes-Oxley Act of 2002, that:</w:t>
      </w:r>
    </w:p>
    <w:p>
      <w:pPr>
        <w:spacing w:after="0" w:line="73" w:lineRule="exact"/>
        <w:rPr>
          <w:sz w:val="20"/>
          <w:szCs w:val="20"/>
          <w:color w:val="auto"/>
        </w:rPr>
      </w:pPr>
    </w:p>
    <w:p>
      <w:pPr>
        <w:ind w:left="1180" w:hanging="259"/>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Colin V. Reed</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of Directors and Chief Executive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August 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August 8, 2018</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upperLetter"/>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lowerRoman"/>
      <w:start w:val="2"/>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2"/>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3"/>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4"/>
    </w:lvl>
  </w:abstractNum>
  <w:abstractNum w:abstractNumId="26">
    <w:nsid w:val="1E7FF521"/>
    <w:multiLevelType w:val="hybridMultilevel"/>
    <w:lvl w:ilvl="0">
      <w:lvlJc w:val="left"/>
      <w:lvlText w:val="(%1)"/>
      <w:numFmt w:val="lowerRoman"/>
      <w:start w:val="3"/>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2"/>
    </w:lvl>
  </w:abstractNum>
  <w:abstractNum w:abstractNumId="29">
    <w:nsid w:val="6CEAF087"/>
    <w:multiLevelType w:val="hybridMultilevel"/>
    <w:lvl w:ilvl="0">
      <w:lvlJc w:val="left"/>
      <w:lvlText w:val="%1"/>
      <w:numFmt w:val="lowerLetter"/>
      <w:start w:val="1"/>
    </w:lvl>
    <w:lvl w:ilvl="1">
      <w:lvlJc w:val="left"/>
      <w:lvlText w:val="(%2)"/>
      <w:numFmt w:val="lowerLetter"/>
      <w:start w:val="1"/>
    </w:lvl>
  </w:abstractNum>
  <w:abstractNum w:abstractNumId="30">
    <w:nsid w:val="22221A70"/>
    <w:multiLevelType w:val="hybridMultilevel"/>
    <w:lvl w:ilvl="0">
      <w:lvlJc w:val="left"/>
      <w:lvlText w:val="(%1)"/>
      <w:numFmt w:val="lowerLetter"/>
      <w:start w:val="9"/>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65" Type="http://schemas.openxmlformats.org/officeDocument/2006/relationships/hyperlink" Target="http://www.sec.gov/Archives/edgar/data/1040829/000119312512410191/d419132dex31.htm" TargetMode="External"/><Relationship Id="rId66" Type="http://schemas.openxmlformats.org/officeDocument/2006/relationships/hyperlink" Target="http://www.sec.gov/Archives/edgar/data/1040829/000119312512410191/d41913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2019-12-28T20:33:07Z</dcterms:created>
  <dcterms:modified xsi:type="dcterms:W3CDTF">2019-12-28T20:33:07Z</dcterms:modified>
</cp:coreProperties>
</file>