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3120" w:right="980" w:hanging="3112"/>
        <w:spacing w:after="0" w:line="277" w:lineRule="auto"/>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2021</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740" w:right="960" w:hanging="3732"/>
        <w:spacing w:after="0" w:line="277" w:lineRule="auto"/>
        <w:tabs>
          <w:tab w:leader="none" w:pos="25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1-13079</w:t>
      </w:r>
    </w:p>
    <w:p>
      <w:pPr>
        <w:spacing w:after="0" w:line="126" w:lineRule="exact"/>
        <w:rPr>
          <w:sz w:val="24"/>
          <w:szCs w:val="24"/>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Arial" w:cs="Arial" w:eastAsia="Arial" w:hAnsi="Arial"/>
                <w:sz w:val="18"/>
                <w:szCs w:val="18"/>
                <w:color w:val="auto"/>
                <w:w w:val="89"/>
              </w:rPr>
              <w:t>Delaware</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2"/>
              </w:rPr>
              <w:t>(State or Other Jurisdiction of</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1"/>
              </w:rPr>
              <w:t>Incorporation or Organization)</w:t>
            </w:r>
          </w:p>
        </w:tc>
        <w:tc>
          <w:tcPr>
            <w:tcW w:w="154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350"/>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3"/>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8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(615) 316-6000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4"/>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Title of Each Class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Trading Symbol(s)</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24"/>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68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2" w:lineRule="exact"/>
        <w:rPr>
          <w:sz w:val="24"/>
          <w:szCs w:val="24"/>
          <w:color w:val="auto"/>
        </w:rPr>
      </w:pPr>
    </w:p>
    <w:p>
      <w:pPr>
        <w:ind w:right="76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Class</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October 29, 2021</w:t>
            </w:r>
          </w:p>
        </w:tc>
      </w:tr>
      <w:tr>
        <w:trPr>
          <w:trHeight w:val="224"/>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55,066,544 shares</w:t>
            </w:r>
          </w:p>
        </w:tc>
      </w:tr>
      <w:tr>
        <w:trPr>
          <w:trHeight w:val="323"/>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2"/>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jc w:val="center"/>
              <w:ind w:right="1840"/>
              <w:spacing w:after="0"/>
              <w:rPr>
                <w:sz w:val="20"/>
                <w:szCs w:val="20"/>
                <w:color w:val="auto"/>
              </w:rPr>
            </w:pPr>
            <w:r>
              <w:rPr>
                <w:rFonts w:ascii="Arial" w:cs="Arial" w:eastAsia="Arial" w:hAnsi="Arial"/>
                <w:sz w:val="18"/>
                <w:szCs w:val="18"/>
                <w:b w:val="1"/>
                <w:bCs w:val="1"/>
                <w:color w:val="auto"/>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w w:val="99"/>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4"/>
          </w:tcPr>
          <w:p>
            <w:pPr>
              <w:jc w:val="center"/>
              <w:ind w:right="1960"/>
              <w:spacing w:after="0"/>
              <w:rPr>
                <w:sz w:val="20"/>
                <w:szCs w:val="20"/>
                <w:color w:val="auto"/>
              </w:rPr>
            </w:pPr>
            <w:r>
              <w:rPr>
                <w:rFonts w:ascii="Arial" w:cs="Arial" w:eastAsia="Arial" w:hAnsi="Arial"/>
                <w:sz w:val="18"/>
                <w:szCs w:val="18"/>
                <w:b w:val="1"/>
                <w:bCs w:val="1"/>
                <w:color w:val="auto"/>
                <w:w w:val="91"/>
              </w:rPr>
              <w:t>For the Quarter Ended September 30, 2021</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385"/>
        </w:trPr>
        <w:tc>
          <w:tcPr>
            <w:tcW w:w="21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 Financial Information</w:t>
              </w:r>
            </w:hyperlink>
          </w:p>
        </w:tc>
        <w:tc>
          <w:tcPr>
            <w:tcW w:w="6000" w:type="dxa"/>
            <w:vAlign w:val="bottom"/>
            <w:gridSpan w:val="1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 – September 30, 2021 and</w:t>
              </w:r>
            </w:hyperlink>
          </w:p>
        </w:tc>
        <w:tc>
          <w:tcPr>
            <w:tcW w:w="114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December 31, 2020</w:t>
              </w:r>
            </w:hyperlink>
          </w:p>
        </w:tc>
        <w:tc>
          <w:tcPr>
            <w:tcW w:w="5500" w:type="dxa"/>
            <w:vAlign w:val="bottom"/>
            <w:gridSpan w:val="1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and Comprehensive Loss (Unaudited) -</w:t>
              </w:r>
            </w:hyperlink>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 the Three Months and Nine Months Ended September 30, 2021 and 2020</w:t>
              </w:r>
            </w:hyperlink>
          </w:p>
        </w:tc>
        <w:tc>
          <w:tcPr>
            <w:tcW w:w="960" w:type="dxa"/>
            <w:vAlign w:val="bottom"/>
            <w:tcBorders>
              <w:top w:val="single" w:sz="8" w:color="0000EE"/>
            </w:tcBorders>
            <w:gridSpan w:val="5"/>
          </w:tcPr>
          <w:p>
            <w:pPr>
              <w:spacing w:after="0"/>
              <w:rPr>
                <w:sz w:val="17"/>
                <w:szCs w:val="17"/>
                <w:color w:val="auto"/>
              </w:rPr>
            </w:pPr>
          </w:p>
        </w:tc>
        <w:tc>
          <w:tcPr>
            <w:tcW w:w="380" w:type="dxa"/>
            <w:vAlign w:val="bottom"/>
            <w:gridSpan w:val="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 (Unaudited) - For the Nine Months</w:t>
              </w:r>
            </w:hyperlink>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Ended September 30, 2021 and 2020</w:t>
              </w:r>
            </w:hyperlink>
          </w:p>
        </w:tc>
        <w:tc>
          <w:tcPr>
            <w:tcW w:w="3620" w:type="dxa"/>
            <w:vAlign w:val="bottom"/>
            <w:tcBorders>
              <w:top w:val="single" w:sz="8" w:color="0000EE"/>
            </w:tcBorders>
            <w:gridSpan w:val="7"/>
          </w:tcPr>
          <w:p>
            <w:pPr>
              <w:spacing w:after="0"/>
              <w:rPr>
                <w:sz w:val="17"/>
                <w:szCs w:val="17"/>
                <w:color w:val="auto"/>
              </w:rPr>
            </w:pPr>
          </w:p>
        </w:tc>
        <w:tc>
          <w:tcPr>
            <w:tcW w:w="64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(Deficit) and Noncontrolling Interest</w:t>
              </w:r>
            </w:hyperlink>
          </w:p>
        </w:tc>
        <w:tc>
          <w:tcPr>
            <w:tcW w:w="7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 For the Three Months and Nine Months Ended September 30, 2021 and 2020</w:t>
              </w:r>
            </w:hyperlink>
          </w:p>
        </w:tc>
        <w:tc>
          <w:tcPr>
            <w:tcW w:w="3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2. Management’s Discussion and Analysis of Financial Condition and Results of Operations.</w:t>
              </w:r>
            </w:hyperlink>
          </w:p>
        </w:tc>
        <w:tc>
          <w:tcPr>
            <w:tcW w:w="42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Item 3. Quantitative and Qualitative Disclosures About Market Risk.</w:t>
              </w:r>
            </w:hyperlink>
          </w:p>
        </w:tc>
        <w:tc>
          <w:tcPr>
            <w:tcW w:w="250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 4. Controls and Procedures.</w:t>
              </w:r>
            </w:hyperlink>
          </w:p>
        </w:tc>
        <w:tc>
          <w:tcPr>
            <w:tcW w:w="510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19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Part II - Other Information</w:t>
              </w:r>
            </w:hyperlink>
          </w:p>
        </w:tc>
        <w:tc>
          <w:tcPr>
            <w:tcW w:w="6200" w:type="dxa"/>
            <w:vAlign w:val="bottom"/>
            <w:gridSpan w:val="2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 1. Legal Proceedings.</w:t>
              </w:r>
            </w:hyperlink>
          </w:p>
        </w:tc>
        <w:tc>
          <w:tcPr>
            <w:tcW w:w="55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Item 1A. Risk Factors.</w:t>
              </w:r>
            </w:hyperlink>
          </w:p>
        </w:tc>
        <w:tc>
          <w:tcPr>
            <w:tcW w:w="584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Item 2. Unregistered Sales of Equity Securities and Use of Proceeds.</w:t>
              </w:r>
            </w:hyperlink>
          </w:p>
        </w:tc>
        <w:tc>
          <w:tcPr>
            <w:tcW w:w="25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3. Defaults Upon Senior Securities.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45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Item 5. Other Information.</w:t>
              </w:r>
            </w:hyperlink>
          </w:p>
        </w:tc>
        <w:tc>
          <w:tcPr>
            <w:tcW w:w="556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6. Exhibits.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80" w:type="dxa"/>
            <w:vAlign w:val="bottom"/>
            <w:gridSpan w:val="2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SIGNATURES</w:t>
              </w:r>
            </w:hyperlink>
          </w:p>
        </w:tc>
        <w:tc>
          <w:tcPr>
            <w:tcW w:w="7020" w:type="dxa"/>
            <w:vAlign w:val="bottom"/>
            <w:gridSpan w:val="2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53</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Property and equipment, net (including $0 and $932,473 from VIEs, respectively)</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3,066,335</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2"/>
              </w:rPr>
              <w:t>3,117,247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4"/>
              </w:rPr>
              <w:t>Cash and cash equivalents - unrestricted (including $0 and $14,441 from VIEs, respectively)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Cash and cash equivalents - restricted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25,348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Notes receivable, net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69,788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Trade receivables, net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73,036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Prepaid expenses and other assets (including $0 and $32,966 from VIEs, respectively)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113,308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Intangible assets, net (including $0 and $162,366 from VIEs, respectively)</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136,850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3,537,820</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3,556,495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EQUITY: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Debt and finance lease obligations (including $0 and $794,416 from VIEs, respectively)</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2,925,968</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2"/>
              </w:rPr>
              <w:t>2,658,008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5"/>
              </w:rPr>
              <w:t>Accounts payable and accrued liabilities (including $0 and $59,573 from VIEs, respectively)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271,060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Dividends payable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Deferred management rights proceeds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171,393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110,573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107,569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Deferred income tax liabilities, net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liabilities (including $0 and $18,978 from VIEs, respectively)</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78,939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liabilities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3,564,912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3,235,709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Commitments and contingencies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Noncontrolling interest in consolidated joint venture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Equity: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2"/>
              </w:rPr>
              <w:t>Preferred stock, $.01 par value, 100,000 shares authorized, no shares issued or outstanding</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60" w:type="dxa"/>
            <w:vAlign w:val="bottom"/>
          </w:tcPr>
          <w:p>
            <w:pPr>
              <w:ind w:left="200"/>
              <w:spacing w:after="0" w:line="185" w:lineRule="exact"/>
              <w:rPr>
                <w:sz w:val="20"/>
                <w:szCs w:val="20"/>
                <w:color w:val="auto"/>
              </w:rPr>
            </w:pPr>
            <w:r>
              <w:rPr>
                <w:rFonts w:ascii="Arial" w:cs="Arial" w:eastAsia="Arial" w:hAnsi="Arial"/>
                <w:sz w:val="17"/>
                <w:szCs w:val="17"/>
                <w:color w:val="auto"/>
                <w:w w:val="91"/>
              </w:rPr>
              <w:t>Common stock, $.01 par value, 400,000 shares authorized, 55,067 and 54,982 shares issued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7"/>
                <w:szCs w:val="17"/>
                <w:color w:val="auto"/>
              </w:rPr>
              <w:t>and outstanding, respectively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1,098,669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1,192,261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Arial" w:cs="Arial" w:eastAsia="Arial" w:hAnsi="Arial"/>
                <w:sz w:val="17"/>
                <w:szCs w:val="17"/>
                <w:color w:val="auto"/>
              </w:rPr>
              <w:t>Treasury stock of 648 and 648 shares, at cost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Distributions in excess of retained earnings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(1,083,411)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(36,574)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stockholders' equity (deficit)</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Noncontrolling interest in Operating Partnership</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12,140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equity (deficit)</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ind w:left="300"/>
              <w:spacing w:after="0"/>
              <w:rPr>
                <w:sz w:val="20"/>
                <w:szCs w:val="20"/>
                <w:color w:val="auto"/>
              </w:rPr>
            </w:pPr>
            <w:r>
              <w:rPr>
                <w:rFonts w:ascii="Arial" w:cs="Arial" w:eastAsia="Arial" w:hAnsi="Arial"/>
                <w:sz w:val="17"/>
                <w:szCs w:val="17"/>
                <w:color w:val="auto"/>
              </w:rPr>
              <w:t>Total liabilities and equity</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3,537,820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3,556,495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RYMAN HOSPITALITY PROPERTIES,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32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49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Rooms</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113,192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24,487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203,391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133,417</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Food and beverage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169,597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163,477</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Other hotel 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38,858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90,355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57,060</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Entertainment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49,053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12,271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98,599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44,006</w:t>
            </w:r>
          </w:p>
        </w:tc>
        <w:tc>
          <w:tcPr>
            <w:tcW w:w="140" w:type="dxa"/>
            <w:vAlign w:val="bottom"/>
            <w:shd w:val="clear" w:color="auto" w:fill="CCEEFF"/>
          </w:tcPr>
          <w:p>
            <w:pPr>
              <w:spacing w:after="0"/>
              <w:rPr>
                <w:sz w:val="18"/>
                <w:szCs w:val="18"/>
                <w:color w:val="auto"/>
              </w:rPr>
            </w:pPr>
          </w:p>
        </w:tc>
      </w:tr>
      <w:tr>
        <w:trPr>
          <w:trHeight w:val="196"/>
        </w:trPr>
        <w:tc>
          <w:tcPr>
            <w:tcW w:w="4920" w:type="dxa"/>
            <w:vAlign w:val="bottom"/>
          </w:tcPr>
          <w:p>
            <w:pPr>
              <w:ind w:left="220"/>
              <w:spacing w:after="0"/>
              <w:rPr>
                <w:sz w:val="20"/>
                <w:szCs w:val="20"/>
                <w:color w:val="auto"/>
              </w:rPr>
            </w:pPr>
            <w:r>
              <w:rPr>
                <w:rFonts w:ascii="Arial" w:cs="Arial" w:eastAsia="Arial" w:hAnsi="Arial"/>
                <w:sz w:val="15"/>
                <w:szCs w:val="15"/>
                <w:color w:val="auto"/>
              </w:rPr>
              <w:t>Total revenues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306,906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70,249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561,942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397,960</w:t>
            </w:r>
          </w:p>
        </w:tc>
        <w:tc>
          <w:tcPr>
            <w:tcW w:w="14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Rooms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47,060</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Food and beverage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65,205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19,233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118,282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114,935</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hotel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80,203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192,480</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Management fees, net</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5,445</w:t>
            </w:r>
          </w:p>
        </w:tc>
        <w:tc>
          <w:tcPr>
            <w:tcW w:w="140" w:type="dxa"/>
            <w:vAlign w:val="bottom"/>
            <w:tcBorders>
              <w:bottom w:val="single" w:sz="8" w:color="CCEEFF"/>
            </w:tcBorders>
          </w:tcPr>
          <w:p>
            <w:pPr>
              <w:spacing w:after="0"/>
              <w:rPr>
                <w:sz w:val="18"/>
                <w:szCs w:val="18"/>
                <w:color w:val="auto"/>
              </w:rPr>
            </w:pPr>
          </w:p>
        </w:tc>
      </w:tr>
      <w:tr>
        <w:trPr>
          <w:trHeight w:val="196"/>
        </w:trPr>
        <w:tc>
          <w:tcPr>
            <w:tcW w:w="49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hotel operating expenses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181,117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377,534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359,920</w:t>
            </w:r>
          </w:p>
        </w:tc>
        <w:tc>
          <w:tcPr>
            <w:tcW w:w="140" w:type="dxa"/>
            <w:vAlign w:val="bottom"/>
            <w:shd w:val="clear" w:color="auto" w:fill="CCEEFF"/>
          </w:tcPr>
          <w:p>
            <w:pPr>
              <w:spacing w:after="0"/>
              <w:rPr>
                <w:sz w:val="17"/>
                <w:szCs w:val="17"/>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Entertainment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33,467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17,343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77,797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60,146</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22,693</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Preopening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1,597</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on sale of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Arial" w:cs="Arial" w:eastAsia="Arial" w:hAnsi="Arial"/>
                <w:sz w:val="15"/>
                <w:szCs w:val="15"/>
                <w:color w:val="auto"/>
              </w:rPr>
              <w:t>Credit loss on held-to-maturity securities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7,811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32,784</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56,093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53,876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164,081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161,232</w:t>
            </w:r>
          </w:p>
        </w:tc>
        <w:tc>
          <w:tcPr>
            <w:tcW w:w="140" w:type="dxa"/>
            <w:vAlign w:val="bottom"/>
            <w:shd w:val="clear" w:color="auto" w:fill="CCEEFF"/>
          </w:tcPr>
          <w:p>
            <w:pPr>
              <w:spacing w:after="0"/>
              <w:rPr>
                <w:sz w:val="18"/>
                <w:szCs w:val="18"/>
                <w:color w:val="auto"/>
              </w:rPr>
            </w:pPr>
          </w:p>
        </w:tc>
      </w:tr>
      <w:tr>
        <w:trPr>
          <w:trHeight w:val="196"/>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281,211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173,415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646,751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637,111</w:t>
            </w:r>
          </w:p>
        </w:tc>
        <w:tc>
          <w:tcPr>
            <w:tcW w:w="140" w:type="dxa"/>
            <w:vAlign w:val="bottom"/>
            <w:tcBorders>
              <w:bottom w:val="single" w:sz="8" w:color="CCEEFF"/>
            </w:tcBorders>
          </w:tcPr>
          <w:p>
            <w:pPr>
              <w:spacing w:after="0"/>
              <w:rPr>
                <w:sz w:val="17"/>
                <w:szCs w:val="17"/>
                <w:color w:val="auto"/>
              </w:rPr>
            </w:pPr>
          </w:p>
        </w:tc>
      </w:tr>
      <w:tr>
        <w:trPr>
          <w:trHeight w:val="196"/>
        </w:trPr>
        <w:tc>
          <w:tcPr>
            <w:tcW w:w="4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rPr>
              <w:t>Operating income (loss)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6"/>
              </w:rPr>
              <w:t>(103,166)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(84,809)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6"/>
              </w:rPr>
              <w:t>(239,151)</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(87,527)</w:t>
            </w: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rPr>
              <w:t>Interest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5,765</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Loss on extinguishment of debt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rPr>
              <w:t>Loss from unconsolidated joint ventures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(2,312)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(5,831)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(5,482)</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Other gains and (losses), net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(14,831)</w:t>
            </w:r>
          </w:p>
        </w:tc>
        <w:tc>
          <w:tcPr>
            <w:tcW w:w="140" w:type="dxa"/>
            <w:vAlign w:val="bottom"/>
            <w:shd w:val="clear" w:color="auto" w:fill="CCEEFF"/>
          </w:tcPr>
          <w:p>
            <w:pPr>
              <w:spacing w:after="0"/>
              <w:rPr>
                <w:sz w:val="18"/>
                <w:szCs w:val="18"/>
                <w:color w:val="auto"/>
              </w:rPr>
            </w:pPr>
          </w:p>
        </w:tc>
      </w:tr>
      <w:tr>
        <w:trPr>
          <w:trHeight w:val="196"/>
        </w:trPr>
        <w:tc>
          <w:tcPr>
            <w:tcW w:w="4920" w:type="dxa"/>
            <w:vAlign w:val="bottom"/>
          </w:tcPr>
          <w:p>
            <w:pPr>
              <w:ind w:left="100"/>
              <w:spacing w:after="0"/>
              <w:rPr>
                <w:sz w:val="20"/>
                <w:szCs w:val="20"/>
                <w:color w:val="auto"/>
              </w:rPr>
            </w:pPr>
            <w:r>
              <w:rPr>
                <w:rFonts w:ascii="Arial" w:cs="Arial" w:eastAsia="Arial" w:hAnsi="Arial"/>
                <w:sz w:val="15"/>
                <w:szCs w:val="15"/>
                <w:color w:val="auto"/>
              </w:rPr>
              <w:t>Loss before income taxes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(7,544)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6"/>
              </w:rPr>
              <w:t>(129,791)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6"/>
              </w:rPr>
              <w:t>(182,137)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6"/>
              </w:rPr>
              <w:t>(341,226)</w:t>
            </w:r>
          </w:p>
        </w:tc>
        <w:tc>
          <w:tcPr>
            <w:tcW w:w="14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(27,046)</w:t>
            </w:r>
          </w:p>
        </w:tc>
        <w:tc>
          <w:tcPr>
            <w:tcW w:w="140" w:type="dxa"/>
            <w:vAlign w:val="bottom"/>
            <w:shd w:val="clear" w:color="auto" w:fill="CCEEFF"/>
          </w:tcPr>
          <w:p>
            <w:pPr>
              <w:spacing w:after="0"/>
              <w:rPr>
                <w:sz w:val="18"/>
                <w:szCs w:val="18"/>
                <w:color w:val="auto"/>
              </w:rPr>
            </w:pPr>
          </w:p>
        </w:tc>
      </w:tr>
      <w:tr>
        <w:trPr>
          <w:trHeight w:val="196"/>
        </w:trPr>
        <w:tc>
          <w:tcPr>
            <w:tcW w:w="4920" w:type="dxa"/>
            <w:vAlign w:val="bottom"/>
          </w:tcPr>
          <w:p>
            <w:pPr>
              <w:ind w:left="100"/>
              <w:spacing w:after="0"/>
              <w:rPr>
                <w:sz w:val="20"/>
                <w:szCs w:val="20"/>
                <w:color w:val="auto"/>
              </w:rPr>
            </w:pPr>
            <w:r>
              <w:rPr>
                <w:rFonts w:ascii="Arial" w:cs="Arial" w:eastAsia="Arial" w:hAnsi="Arial"/>
                <w:sz w:val="15"/>
                <w:szCs w:val="15"/>
                <w:color w:val="auto"/>
              </w:rPr>
              <w:t>Net loss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(8,607)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6"/>
              </w:rPr>
              <w:t>(129,877)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6"/>
              </w:rPr>
              <w:t>(188,777)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6"/>
              </w:rPr>
              <w:t>(368,272)</w:t>
            </w:r>
          </w:p>
        </w:tc>
        <w:tc>
          <w:tcPr>
            <w:tcW w:w="14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5"/>
                <w:szCs w:val="15"/>
                <w:color w:val="auto"/>
                <w:w w:val="99"/>
              </w:rPr>
              <w:t>Net loss attributable to noncontrolling interest in consolidated joint venture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11,893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16,501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30,280</w:t>
            </w:r>
          </w:p>
        </w:tc>
        <w:tc>
          <w:tcPr>
            <w:tcW w:w="14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noncontrolling interest in Operating Partnership</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325</w:t>
            </w:r>
          </w:p>
        </w:tc>
        <w:tc>
          <w:tcPr>
            <w:tcW w:w="140" w:type="dxa"/>
            <w:vAlign w:val="bottom"/>
            <w:shd w:val="clear" w:color="auto" w:fill="CCEEFF"/>
          </w:tcPr>
          <w:p>
            <w:pPr>
              <w:spacing w:after="0"/>
              <w:rPr>
                <w:sz w:val="18"/>
                <w:szCs w:val="18"/>
                <w:color w:val="auto"/>
              </w:rPr>
            </w:pPr>
          </w:p>
        </w:tc>
      </w:tr>
      <w:tr>
        <w:trPr>
          <w:trHeight w:val="223"/>
        </w:trPr>
        <w:tc>
          <w:tcPr>
            <w:tcW w:w="4920" w:type="dxa"/>
            <w:vAlign w:val="bottom"/>
          </w:tcPr>
          <w:p>
            <w:pPr>
              <w:ind w:left="100"/>
              <w:spacing w:after="0"/>
              <w:rPr>
                <w:sz w:val="20"/>
                <w:szCs w:val="20"/>
                <w:color w:val="auto"/>
              </w:rPr>
            </w:pPr>
            <w:r>
              <w:rPr>
                <w:rFonts w:ascii="Arial" w:cs="Arial" w:eastAsia="Arial" w:hAnsi="Arial"/>
                <w:sz w:val="15"/>
                <w:szCs w:val="15"/>
                <w:color w:val="auto"/>
              </w:rPr>
              <w:t>Net loss available to common stockholders</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(8,546)</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6"/>
              </w:rPr>
              <w:t>(117,659)</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6"/>
              </w:rPr>
              <w:t>(170,986)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6"/>
              </w:rPr>
              <w:t>(337,667)</w:t>
            </w:r>
          </w:p>
        </w:tc>
        <w:tc>
          <w:tcPr>
            <w:tcW w:w="140" w:type="dxa"/>
            <w:vAlign w:val="bottom"/>
          </w:tcPr>
          <w:p>
            <w:pPr>
              <w:spacing w:after="0"/>
              <w:rPr>
                <w:sz w:val="19"/>
                <w:szCs w:val="19"/>
                <w:color w:val="auto"/>
              </w:rPr>
            </w:pPr>
          </w:p>
        </w:tc>
      </w:tr>
      <w:tr>
        <w:trPr>
          <w:trHeight w:val="169"/>
        </w:trPr>
        <w:tc>
          <w:tcPr>
            <w:tcW w:w="49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5"/>
                <w:szCs w:val="15"/>
                <w:color w:val="auto"/>
              </w:rPr>
              <w:t>Basic loss per share available to common stockholders</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(0.16)</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(2.14)</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(3.11)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(6.14)</w:t>
            </w:r>
          </w:p>
        </w:tc>
        <w:tc>
          <w:tcPr>
            <w:tcW w:w="140" w:type="dxa"/>
            <w:vAlign w:val="bottom"/>
          </w:tcPr>
          <w:p>
            <w:pPr>
              <w:spacing w:after="0"/>
              <w:rPr>
                <w:sz w:val="19"/>
                <w:szCs w:val="19"/>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49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Diluted loss per share available to common stockholders</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(0.16)</w:t>
            </w:r>
          </w:p>
        </w:tc>
        <w:tc>
          <w:tcPr>
            <w:tcW w:w="2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(2.14)</w:t>
            </w:r>
          </w:p>
        </w:tc>
        <w:tc>
          <w:tcPr>
            <w:tcW w:w="2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(3.11)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(6.14)</w:t>
            </w:r>
          </w:p>
        </w:tc>
        <w:tc>
          <w:tcPr>
            <w:tcW w:w="140" w:type="dxa"/>
            <w:vAlign w:val="bottom"/>
            <w:shd w:val="clear" w:color="auto" w:fill="CCEEFF"/>
          </w:tcPr>
          <w:p>
            <w:pPr>
              <w:spacing w:after="0"/>
              <w:rPr>
                <w:sz w:val="13"/>
                <w:szCs w:val="13"/>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169"/>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Comprehensive loss, net of taxes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(134,302)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(167,400)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(411,323)</w:t>
            </w:r>
          </w:p>
        </w:tc>
        <w:tc>
          <w:tcPr>
            <w:tcW w:w="140" w:type="dxa"/>
            <w:vAlign w:val="bottom"/>
            <w:shd w:val="clear" w:color="auto" w:fill="CCEEFF"/>
          </w:tcPr>
          <w:p>
            <w:pPr>
              <w:spacing w:after="0"/>
              <w:rPr>
                <w:sz w:val="18"/>
                <w:szCs w:val="18"/>
                <w:color w:val="auto"/>
              </w:rPr>
            </w:pPr>
          </w:p>
        </w:tc>
      </w:tr>
      <w:tr>
        <w:trPr>
          <w:trHeight w:val="149"/>
        </w:trPr>
        <w:tc>
          <w:tcPr>
            <w:tcW w:w="4920" w:type="dxa"/>
            <w:vAlign w:val="bottom"/>
          </w:tcPr>
          <w:p>
            <w:pPr>
              <w:spacing w:after="0" w:line="149" w:lineRule="exact"/>
              <w:rPr>
                <w:sz w:val="20"/>
                <w:szCs w:val="20"/>
                <w:color w:val="auto"/>
              </w:rPr>
            </w:pPr>
            <w:r>
              <w:rPr>
                <w:rFonts w:ascii="Arial" w:cs="Arial" w:eastAsia="Arial" w:hAnsi="Arial"/>
                <w:sz w:val="15"/>
                <w:szCs w:val="15"/>
                <w:color w:val="auto"/>
              </w:rPr>
              <w:t>Comprehensive loss, net of taxes, attributable to noncontrolling interest in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5"/>
        </w:trPr>
        <w:tc>
          <w:tcPr>
            <w:tcW w:w="4920" w:type="dxa"/>
            <w:vAlign w:val="bottom"/>
          </w:tcPr>
          <w:p>
            <w:pPr>
              <w:spacing w:after="0"/>
              <w:rPr>
                <w:sz w:val="20"/>
                <w:szCs w:val="20"/>
                <w:color w:val="auto"/>
              </w:rPr>
            </w:pPr>
            <w:r>
              <w:rPr>
                <w:rFonts w:ascii="Arial" w:cs="Arial" w:eastAsia="Arial" w:hAnsi="Arial"/>
                <w:sz w:val="15"/>
                <w:szCs w:val="15"/>
                <w:color w:val="auto"/>
              </w:rPr>
              <w:t>consolidated joint venture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10,793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15,419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37,850</w:t>
            </w:r>
          </w:p>
        </w:tc>
        <w:tc>
          <w:tcPr>
            <w:tcW w:w="140" w:type="dxa"/>
            <w:vAlign w:val="bottom"/>
          </w:tcPr>
          <w:p>
            <w:pPr>
              <w:spacing w:after="0"/>
              <w:rPr>
                <w:sz w:val="15"/>
                <w:szCs w:val="15"/>
                <w:color w:val="auto"/>
              </w:rPr>
            </w:pPr>
          </w:p>
        </w:tc>
      </w:tr>
      <w:tr>
        <w:trPr>
          <w:trHeight w:val="149"/>
        </w:trPr>
        <w:tc>
          <w:tcPr>
            <w:tcW w:w="4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Comprehensive loss, net of taxes, attributable to noncontrolling interest in</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Operating Partnership</w:t>
            </w:r>
          </w:p>
        </w:tc>
        <w:tc>
          <w:tcPr>
            <w:tcW w:w="3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1,136</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r>
      <w:tr>
        <w:trPr>
          <w:trHeight w:val="183"/>
        </w:trPr>
        <w:tc>
          <w:tcPr>
            <w:tcW w:w="4920" w:type="dxa"/>
            <w:vAlign w:val="bottom"/>
          </w:tcPr>
          <w:p>
            <w:pPr>
              <w:spacing w:after="0"/>
              <w:rPr>
                <w:sz w:val="20"/>
                <w:szCs w:val="20"/>
                <w:color w:val="auto"/>
              </w:rPr>
            </w:pPr>
            <w:r>
              <w:rPr>
                <w:rFonts w:ascii="Arial" w:cs="Arial" w:eastAsia="Arial" w:hAnsi="Arial"/>
                <w:sz w:val="15"/>
                <w:szCs w:val="15"/>
                <w:color w:val="auto"/>
              </w:rPr>
              <w:t>Comprehensive loss, net of taxes, available to common stockholders</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(4,502)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6"/>
              </w:rPr>
              <w:t>(123,509)</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6"/>
              </w:rPr>
              <w:t>(150,845)</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6"/>
              </w:rPr>
              <w:t>(373,473)</w:t>
            </w:r>
          </w:p>
        </w:tc>
        <w:tc>
          <w:tcPr>
            <w:tcW w:w="140" w:type="dxa"/>
            <w:vAlign w:val="bottom"/>
          </w:tcPr>
          <w:p>
            <w:pPr>
              <w:spacing w:after="0"/>
              <w:rPr>
                <w:sz w:val="15"/>
                <w:szCs w:val="15"/>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Flows from Operating Activities:</w:t>
            </w: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Net loss</w:t>
            </w:r>
          </w:p>
        </w:tc>
        <w:tc>
          <w:tcPr>
            <w:tcW w:w="740" w:type="dxa"/>
            <w:vAlign w:val="bottom"/>
            <w:gridSpan w:val="2"/>
          </w:tcPr>
          <w:p>
            <w:pPr>
              <w:jc w:val="right"/>
              <w:ind w:right="51"/>
              <w:spacing w:after="0" w:line="162"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(188,777)</w:t>
            </w:r>
          </w:p>
        </w:tc>
        <w:tc>
          <w:tcPr>
            <w:tcW w:w="360" w:type="dxa"/>
            <w:vAlign w:val="bottom"/>
            <w:gridSpan w:val="2"/>
          </w:tcPr>
          <w:p>
            <w:pPr>
              <w:jc w:val="right"/>
              <w:ind w:right="51"/>
              <w:spacing w:after="0" w:line="162"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(368,272)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Amounts to reconcile net loss to net cash flows provided by (used in) operating activities: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Provision for deferred income taxes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5,991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26,607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164,081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161,232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Amortization of deferred financing costs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6,579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5,889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Credit loss on held-to-maturity securities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32,784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Forfeiture of Block 21 earnest deposit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15,000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Write-off of deferred financing costs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Loss from unconsolidated joint ventures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5,831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5,482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Stock-based compensation expense</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8,944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6,623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Changes in:</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Trade receivables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(52,930)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56,950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300"/>
              <w:spacing w:after="0" w:line="162" w:lineRule="exact"/>
              <w:rPr>
                <w:sz w:val="20"/>
                <w:szCs w:val="20"/>
                <w:color w:val="auto"/>
              </w:rPr>
            </w:pPr>
            <w:r>
              <w:rPr>
                <w:rFonts w:ascii="Arial" w:cs="Arial" w:eastAsia="Arial" w:hAnsi="Arial"/>
                <w:sz w:val="15"/>
                <w:szCs w:val="15"/>
                <w:color w:val="auto"/>
              </w:rPr>
              <w:t>Accounts payable and accrued liabilities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73,370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(57,024)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assets and liabilities</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(419)</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2,152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provided by (used in) operating activities</w:t>
            </w: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22,670</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(112,331)</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Purchases of property and equipment</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(66,162)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(124,581)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Purchase of land adjacent to Gaylord Rockies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(22,000)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Collection of notes receivable</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844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2,985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Purchase of additional interest in Gaylord Rockies joint venture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(188,000)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Investment in other joint ventures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(7,168)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(8,761)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Other investing activities, net</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5,482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(1,304)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flows used in investing activities</w:t>
            </w:r>
          </w:p>
        </w:tc>
        <w:tc>
          <w:tcPr>
            <w:tcW w:w="5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(277,004)</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(131,661)</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Net borrowings under revolving credit facility</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74,000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35,000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Repayments under term loan B</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(3,750)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(3,750)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Issuance of senior notes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600,000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Redemption of senior notes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(400,000)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Deferred financing costs paid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(10,628)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(1,528)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Redemption of noncontrolling interest in Operating Partnership</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(2,438)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Payment of dividends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(502)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(102,325)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Distributions from consolidated joint venture to noncontrolling interest partners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Payment of tax withholdings for share-based compensation</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(3,428)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(1,688)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Other financing activities, net</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(171)</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(188)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provided by (used in) financing activities</w:t>
            </w: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253,083</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(75,471)</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Net change in cash, cash equivalents, and restricted cash</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(1,251)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(319,463)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79,754</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420,396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60" w:type="dxa"/>
            <w:vAlign w:val="bottom"/>
            <w:gridSpan w:val="2"/>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580" w:type="dxa"/>
            <w:vAlign w:val="bottom"/>
          </w:tcPr>
          <w:p>
            <w:pPr>
              <w:spacing w:after="0"/>
              <w:rPr>
                <w:sz w:val="17"/>
                <w:szCs w:val="17"/>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78,503</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100,933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 to balance sheet: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Cash and cash equivalents - unrestricted</w:t>
            </w:r>
          </w:p>
        </w:tc>
        <w:tc>
          <w:tcPr>
            <w:tcW w:w="740" w:type="dxa"/>
            <w:vAlign w:val="bottom"/>
            <w:gridSpan w:val="2"/>
            <w:shd w:val="clear" w:color="auto" w:fill="CCEEFF"/>
          </w:tcPr>
          <w:p>
            <w:pPr>
              <w:jc w:val="right"/>
              <w:ind w:right="51"/>
              <w:spacing w:after="0" w:line="162"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53,155</w:t>
            </w:r>
          </w:p>
        </w:tc>
        <w:tc>
          <w:tcPr>
            <w:tcW w:w="360" w:type="dxa"/>
            <w:vAlign w:val="bottom"/>
            <w:gridSpan w:val="2"/>
            <w:shd w:val="clear" w:color="auto" w:fill="CCEEFF"/>
          </w:tcPr>
          <w:p>
            <w:pPr>
              <w:jc w:val="right"/>
              <w:ind w:right="51"/>
              <w:spacing w:after="0" w:line="162"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52,162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Cash and cash equivalents - restricted</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25,348</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48,771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shd w:val="clear" w:color="auto" w:fill="CCEEFF"/>
          </w:tcPr>
          <w:p>
            <w:pPr>
              <w:ind w:left="8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5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78,503</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100,933</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99"/>
        <w:spacing w:after="0" w:line="257" w:lineRule="auto"/>
        <w:rPr>
          <w:sz w:val="20"/>
          <w:szCs w:val="20"/>
          <w:color w:val="auto"/>
        </w:rPr>
      </w:pPr>
      <w:r>
        <w:rPr>
          <w:rFonts w:ascii="Arial" w:cs="Arial" w:eastAsia="Arial" w:hAnsi="Arial"/>
          <w:sz w:val="18"/>
          <w:szCs w:val="18"/>
          <w:b w:val="1"/>
          <w:bCs w:val="1"/>
          <w:color w:val="auto"/>
        </w:rPr>
        <w:t>RYMAN HOSPITALITY PROPERTIES, INC. AND SUBSIDIARIES CONDENSED CONSOLIDATED STATEMENTS OF EQUITY (DEFICIT) AND NONCONTROLLING INTEREST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Noncontrolling</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86"/>
              </w:rPr>
              <w:t>Noncontrolling</w:t>
            </w:r>
          </w:p>
        </w:tc>
      </w:tr>
      <w:tr>
        <w:trPr>
          <w:trHeight w:val="135"/>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8"/>
              </w:rPr>
              <w:t>Additional</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0"/>
              </w:rPr>
              <w:t>Total</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auto"/>
                <w:w w:val="90"/>
              </w:rPr>
              <w:t>Interest in</w:t>
            </w:r>
          </w:p>
        </w:tc>
      </w:tr>
      <w:tr>
        <w:trPr>
          <w:trHeight w:val="135"/>
        </w:trPr>
        <w:tc>
          <w:tcPr>
            <w:tcW w:w="198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Common</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9"/>
              </w:rPr>
              <w:t>Paid-in</w:t>
            </w: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0"/>
              </w:rPr>
              <w:t>Treasury</w:t>
            </w: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2"/>
                <w:szCs w:val="12"/>
                <w:b w:val="1"/>
                <w:bCs w:val="1"/>
                <w:color w:val="auto"/>
                <w:w w:val="90"/>
              </w:rPr>
              <w:t>Retained</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8"/>
              </w:rPr>
              <w:t>Stockholders'</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1"/>
              </w:rPr>
              <w:t>Operating</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2"/>
              </w:rPr>
              <w:t>Equity</w:t>
            </w: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r>
      <w:tr>
        <w:trPr>
          <w:trHeight w:val="143"/>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Stock</w:t>
            </w:r>
          </w:p>
        </w:tc>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Capital</w:t>
            </w:r>
          </w:p>
        </w:tc>
        <w:tc>
          <w:tcPr>
            <w:tcW w:w="6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9"/>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Equity</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Partnership</w:t>
            </w:r>
          </w:p>
        </w:tc>
        <w:tc>
          <w:tcPr>
            <w:tcW w:w="8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(Deficit)</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Joint Venture</w:t>
            </w:r>
          </w:p>
        </w:tc>
      </w:tr>
      <w:tr>
        <w:trPr>
          <w:trHeight w:val="129"/>
        </w:trPr>
        <w:tc>
          <w:tcPr>
            <w:tcW w:w="19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2020</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$ 1,192,261</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(911,092)</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(57,951)</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205,301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14,516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219,817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100,969</w:t>
            </w: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(104,521)</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(104,521)</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(807)</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3"/>
              </w:rPr>
              <w:t>(105,328)</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(11,793)</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4"/>
              </w:rPr>
              <w:t>Other comprehensive income,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income taxes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Redemption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w w:val="98"/>
              </w:rPr>
              <w:t>interest in Operating Partnership</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(1,352)</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(1,352)</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(1,086)</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(2,438)</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Contribution to consolidated joint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venture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4,425</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(3,357)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(3,345)</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(3,345)</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19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BALANCE, March 31, 2021</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550</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$ 1,191,426</w:t>
            </w:r>
          </w:p>
        </w:tc>
        <w:tc>
          <w:tcPr>
            <w:tcW w:w="1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(1,016,953)</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(51,851)</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104,705</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12,623</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117,328</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93,601</w:t>
            </w:r>
          </w:p>
        </w:tc>
      </w:tr>
      <w:tr>
        <w:trPr>
          <w:trHeight w:val="128"/>
        </w:trPr>
        <w:tc>
          <w:tcPr>
            <w:tcW w:w="198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(57,919)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(57,919)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(58,341)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(4,708)</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w w:val="94"/>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of income taxes</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11,204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11,204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11,204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Purchase of remaining interest in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consolidated joint venture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(99,107)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(99,107)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(99,107)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(88,893)</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(50)</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19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BALANCE, June 30, 2021</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551</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$ 1,095,415</w:t>
            </w:r>
          </w:p>
        </w:tc>
        <w:tc>
          <w:tcPr>
            <w:tcW w:w="1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(1,074,872)</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(40,647)</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(38,020)</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12,201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(25,819)</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r>
      <w:tr>
        <w:trPr>
          <w:trHeight w:val="128"/>
        </w:trPr>
        <w:tc>
          <w:tcPr>
            <w:tcW w:w="198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(8,546)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(8,546)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(8,607)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w w:val="94"/>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of income taxes</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4,073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3,276</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19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September 30, 2021</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$ 1,098,669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(1,083,411)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(36,574)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(39,232)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12,140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(27,092)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r>
      <w:tr>
        <w:trPr>
          <w:trHeight w:val="20"/>
        </w:trPr>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99"/>
        <w:spacing w:after="0" w:line="257" w:lineRule="auto"/>
        <w:rPr>
          <w:sz w:val="20"/>
          <w:szCs w:val="20"/>
          <w:color w:val="auto"/>
        </w:rPr>
      </w:pPr>
      <w:r>
        <w:rPr>
          <w:rFonts w:ascii="Arial" w:cs="Arial" w:eastAsia="Arial" w:hAnsi="Arial"/>
          <w:sz w:val="18"/>
          <w:szCs w:val="18"/>
          <w:b w:val="1"/>
          <w:bCs w:val="1"/>
          <w:color w:val="auto"/>
        </w:rPr>
        <w:t>RYMAN HOSPITALITY PROPERTIES, INC. AND SUBSIDIARIES CONDENSED CONSOLIDATED STATEMENTS OF EQUITY (DEFICIT) AND NONCONTROLLING INTEREST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86"/>
              </w:rPr>
              <w:t>Noncontrolling</w:t>
            </w: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1"/>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0"/>
              </w:rPr>
              <w:t>Total</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auto"/>
                <w:w w:val="90"/>
              </w:rPr>
              <w:t>Interest in</w:t>
            </w:r>
          </w:p>
        </w:tc>
      </w:tr>
      <w:tr>
        <w:trPr>
          <w:trHeight w:val="135"/>
        </w:trPr>
        <w:tc>
          <w:tcPr>
            <w:tcW w:w="200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9"/>
              </w:rPr>
              <w:t>Paid-in</w:t>
            </w: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6"/>
              </w:rPr>
              <w:t>Treasury</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2"/>
                <w:szCs w:val="12"/>
                <w:b w:val="1"/>
                <w:bCs w:val="1"/>
                <w:color w:val="auto"/>
                <w:w w:val="90"/>
              </w:rPr>
              <w:t>Retained</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8"/>
              </w:rPr>
              <w:t>Stockholders'</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1"/>
              </w:rPr>
              <w:t>Operating</w:t>
            </w:r>
          </w:p>
        </w:tc>
        <w:tc>
          <w:tcPr>
            <w:tcW w:w="10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Total</w:t>
            </w: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r>
      <w:tr>
        <w:trPr>
          <w:trHeight w:val="143"/>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Capital</w:t>
            </w:r>
          </w:p>
        </w:tc>
        <w:tc>
          <w:tcPr>
            <w:tcW w:w="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9"/>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Equity</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Partnership</w:t>
            </w:r>
          </w:p>
        </w:tc>
        <w:tc>
          <w:tcPr>
            <w:tcW w:w="10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Joint Venture</w:t>
            </w:r>
          </w:p>
        </w:tc>
      </w:tr>
      <w:tr>
        <w:trPr>
          <w:trHeight w:val="129"/>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2019</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$ 1,185,168</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(17,315)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(495,514)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(28,159)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221,511</w:t>
            </w:r>
          </w:p>
        </w:tc>
      </w:tr>
      <w:tr>
        <w:trPr>
          <w:trHeight w:val="135"/>
        </w:trPr>
        <w:tc>
          <w:tcPr>
            <w:tcW w:w="200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(46,516)</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(46,516)</w:t>
            </w: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(46,516)</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(4,220)</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to redemption value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Transition adjustment related to</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adoption of ASU 2016-13</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(5,343)</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(3,185)</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(3,185)</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taxes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(37,437)</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(37,437)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(37,437)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w w:val="99"/>
              </w:rPr>
              <w:t>Payment of dividends ($0.95 per</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share)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147</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(557)</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(51,996)</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(52,406)</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(52,406)</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(1,660)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2,230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March 31, 2020</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$ 1,185,885</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(17,872)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(545,104)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(63,438)</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560,021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560,021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163,026</w:t>
            </w:r>
          </w:p>
        </w:tc>
      </w:tr>
      <w:tr>
        <w:trPr>
          <w:trHeight w:val="128"/>
        </w:trPr>
        <w:tc>
          <w:tcPr>
            <w:tcW w:w="2000" w:type="dxa"/>
            <w:vAlign w:val="bottom"/>
          </w:tcPr>
          <w:p>
            <w:pPr>
              <w:ind w:left="120"/>
              <w:spacing w:after="0" w:line="129" w:lineRule="exact"/>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(173,492)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(173,492)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w w:val="89"/>
              </w:rPr>
              <w:t>(173,492)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(14,167)</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to redemption value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income taxes</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(1,189)</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(1,189)</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(1,189)</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20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Payment of dividends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(595)</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Distribution from consolidated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5"/>
        </w:trPr>
        <w:tc>
          <w:tcPr>
            <w:tcW w:w="2000" w:type="dxa"/>
            <w:vAlign w:val="bottom"/>
          </w:tcPr>
          <w:p>
            <w:pPr>
              <w:ind w:left="120"/>
              <w:spacing w:after="0" w:line="135" w:lineRule="exact"/>
              <w:rPr>
                <w:sz w:val="20"/>
                <w:szCs w:val="20"/>
                <w:color w:val="auto"/>
              </w:rPr>
            </w:pPr>
            <w:r>
              <w:rPr>
                <w:rFonts w:ascii="Arial" w:cs="Arial" w:eastAsia="Arial" w:hAnsi="Arial"/>
                <w:sz w:val="13"/>
                <w:szCs w:val="13"/>
                <w:color w:val="auto"/>
              </w:rPr>
              <w:t>joint venture to noncontrolling</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interest partners</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(992)</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2,190</w:t>
            </w:r>
          </w:p>
        </w:tc>
        <w:tc>
          <w:tcPr>
            <w:tcW w:w="14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June 30, 2020</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$ 1,188,046</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(711,798)</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(64,627)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393,704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393,704</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141,693</w:t>
            </w:r>
          </w:p>
        </w:tc>
      </w:tr>
      <w:tr>
        <w:trPr>
          <w:trHeight w:val="128"/>
        </w:trPr>
        <w:tc>
          <w:tcPr>
            <w:tcW w:w="2000" w:type="dxa"/>
            <w:vAlign w:val="bottom"/>
          </w:tcPr>
          <w:p>
            <w:pPr>
              <w:ind w:left="120"/>
              <w:spacing w:after="0" w:line="129" w:lineRule="exact"/>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(117,659)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(117,659)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(325)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w w:val="89"/>
              </w:rPr>
              <w:t>(117,984)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(11,893)</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to redemption value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Issuance of partnership units in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Operating Partnership</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15,472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15,472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taxes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(4,425)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(4,425)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(4,425)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2000" w:type="dxa"/>
            <w:vAlign w:val="bottom"/>
          </w:tcPr>
          <w:p>
            <w:pPr>
              <w:ind w:left="120"/>
              <w:spacing w:after="0" w:line="135" w:lineRule="exact"/>
              <w:rPr>
                <w:sz w:val="20"/>
                <w:szCs w:val="20"/>
                <w:color w:val="auto"/>
              </w:rPr>
            </w:pPr>
            <w:r>
              <w:rPr>
                <w:rFonts w:ascii="Arial" w:cs="Arial" w:eastAsia="Arial" w:hAnsi="Arial"/>
                <w:sz w:val="13"/>
                <w:szCs w:val="13"/>
                <w:color w:val="auto"/>
              </w:rPr>
              <w:t>Payment of dividends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Redemption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(16,970)</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(76)</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2000" w:type="dxa"/>
            <w:vAlign w:val="bottom"/>
          </w:tcPr>
          <w:p>
            <w:pPr>
              <w:ind w:left="20"/>
              <w:spacing w:after="0" w:line="129" w:lineRule="exact"/>
              <w:rPr>
                <w:sz w:val="20"/>
                <w:szCs w:val="20"/>
                <w:color w:val="auto"/>
              </w:rPr>
            </w:pPr>
            <w:r>
              <w:rPr>
                <w:rFonts w:ascii="Arial" w:cs="Arial" w:eastAsia="Arial" w:hAnsi="Arial"/>
                <w:sz w:val="13"/>
                <w:szCs w:val="13"/>
                <w:color w:val="auto"/>
              </w:rPr>
              <w:t>BALANCE, September 30, 2020</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550</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$ 1,190,160</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(831,265)</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(69,052)</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271,926</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15,147</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287,073</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113,163</w:t>
            </w:r>
          </w:p>
        </w:tc>
      </w:tr>
      <w:tr>
        <w:trPr>
          <w:trHeight w:val="20"/>
        </w:trPr>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prior to May 2021 was owned by a joint venture (the “Gaylord Rockies joint venture”) in which the Company owned a 65% interest. The Company’s other owned hotel assets managed by Marriott include the Inn at Opryland, an overflow hotel adjacent to Gaylord Opryland, and the AC Hotel at National Harbor, Washington D.C. (“AC Hotel”), an overflow hotel adjacent to Gaylord National.</w:t>
      </w:r>
    </w:p>
    <w:p>
      <w:pPr>
        <w:spacing w:after="0" w:line="14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In April 2021, the Company entered into an agreement with RIDA Development Corporation to acquire the remaining 35% ownership interest in the Gaylord Rockies joint venture not previously owned by the Company for $188.0 million and approximately 130 acres of undeveloped, adjacent land for $22.0 million in cash (the “JV Purchase”). The JV Purchase closed in May 2021 and was funded through cash on hand and borrowings under the Company’s $700 million revolving credit facility. As discussed below, the Company consolidated the Gaylord Rockies joint venture both before and after the purchase in the accompanying condensed consolidated financial statements.</w:t>
      </w:r>
    </w:p>
    <w:p>
      <w:pPr>
        <w:spacing w:after="0" w:line="137" w:lineRule="exact"/>
        <w:rPr>
          <w:sz w:val="20"/>
          <w:szCs w:val="20"/>
          <w:color w:val="auto"/>
        </w:rPr>
      </w:pPr>
    </w:p>
    <w:p>
      <w:pPr>
        <w:ind w:left="60" w:right="159"/>
        <w:spacing w:after="0" w:line="290" w:lineRule="auto"/>
        <w:rPr>
          <w:sz w:val="20"/>
          <w:szCs w:val="20"/>
          <w:color w:val="auto"/>
        </w:rPr>
      </w:pPr>
      <w:r>
        <w:rPr>
          <w:rFonts w:ascii="Arial" w:cs="Arial" w:eastAsia="Arial" w:hAnsi="Arial"/>
          <w:sz w:val="16"/>
          <w:szCs w:val="16"/>
          <w:color w:val="auto"/>
        </w:rPr>
        <w:t>As further discussed in the Company’s Annual Report on Form 10-K for the year ended December 31, 2020, management concluded that the Company was the primary beneficiary of the Gaylord Rockies joint venture, which was a variable interest entity (“VIE”). As such, the Company consolidated the assets, liabilities and results of operations of the Gaylord Rockies joint venture in the accompanying condensed consolidated financial statements. The portion of the Gaylord Rockies joint venture that the Company did not previously own was recorded as noncontrolling interest in consolidated joint venture in the accompanying condensed consolidated balance sheet, and any previous adjustment necessary to reflect the noncontrolling interest at its redemption value is shown in the accompanying condensed consolidated statements of equity. As the Gaylord Rockies joint venture is now wholly-owned by the Company, it is no longer considered as a VIE.</w:t>
      </w:r>
    </w:p>
    <w:p>
      <w:pPr>
        <w:spacing w:after="0" w:line="138"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and three Nashville-based assets managed by Marriott – Gaylord Springs Golf Links (“Gaylord Springs”), the Wildhorse Saloon, and the General Jackson Showboat. The Company also owns a 50% interest in a joint venture to create and distribute a linear multicast and over-the-top channel dedicated to the country music lifestyle (“Circle”), which launched its broadcast network on January 1, 2020. See Note 13, “Commitments and Contingencies” to the condensed consolidated financial statements included herein for further disclosure.</w:t>
      </w:r>
    </w:p>
    <w:p>
      <w:pPr>
        <w:spacing w:after="0" w:line="125"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2020. In the opinion of management, all adjustments necessary for a fair statement of the results of operations for the interim periods have been included. All adjustments are of a normal,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recurring nature. The results of operations for such interim periods are not necessarily indicative of the results for the full year because of seasonal and short-term variations.</w:t>
      </w:r>
    </w:p>
    <w:p>
      <w:pPr>
        <w:spacing w:after="0" w:line="143"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Pandemic</w:t>
      </w:r>
    </w:p>
    <w:p>
      <w:pPr>
        <w:spacing w:after="0" w:line="185"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The novel coronavirus disease (COVID-19) pandemic has spread throughout the United States and continues to have an unprecedented impact on the U.S. economy. Due to the COVID-19 pandemic, the Company has experienced disruption of its business and in March 2020 temporarily suspended operations of most of its assets, as further described below. While the Company’s assets are now open and operating, there is significant uncertainty surrounding the full extent of the impact of the COVID-19 pandemic on the Company’s future results of operations and financial position.</w:t>
      </w:r>
    </w:p>
    <w:p>
      <w:pPr>
        <w:spacing w:after="0" w:line="134"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Company, in consultation with local governmental authorities, first determined to close its Nashville-based entertainment venues in mid-March 2020. As cancellations at the Gaylord Hotels properties began to increase, the Company and its hotel manager, Marriott, implemented a series of operational changes, culminating with the suspension of operations at the Gaylord Hotels properties in late March 2020. Gaylord Texan reopened June 8, 2020, and Gaylord Opryland, Gaylord Palms and Gaylord Rockies reopened June 25, 2020. Gaylord National reopened July 1, 2021.</w:t>
      </w:r>
    </w:p>
    <w:p>
      <w:pPr>
        <w:spacing w:after="0" w:line="121"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In the Company’s Entertainment segment, in addition to the temporary closure of its entertainment assets, the Company took steps to reduce operating costs in all areas. Many of the Company’s attractions reopened at reduced capacities in May and June 2020. The Grand Ole Opry and Ryman Auditorium began offering limited-capacity tours in June 2020, in September 2020, they reopened for limited-capacity publicly attended performances, and in May 2021, they reopened for full-capacity publicly attended performances. After the April 2021 reopening of the Wildhorse Saloon, which was closed through March 2021 subsequent to the December 2020 downtown Nashville bombing, all of the Company’s entertainment assets are open.</w:t>
      </w:r>
    </w:p>
    <w:p>
      <w:pPr>
        <w:spacing w:after="0" w:line="154"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amended its credit facility on April 23, 2020, and again on December 22, 2020, as described in Note 5, “Debt,” to the Company’s Annual Report on Form 10-K for the year ended December 31, 2020. The Company continues to pay all required debt service payments on its indebtedness, lease payments, taxes and other payables. Beginning in July 2020, Gaylord Rockies was in a cash sweep position pursuant to and as defined in the Gaylord Rockies $800 million term loan agreement, and such cash amounts are included in cash and cash equivalents – restricted in the accompanying condensed consolidated balance sheets. See Note 17, “Subsequent Events,” for further disclosure.</w:t>
      </w:r>
    </w:p>
    <w:p>
      <w:pPr>
        <w:spacing w:after="0" w:line="137"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At September 30, 2021, the Company had $519.7 million available for borrowing under its revolving credit facility and $53.2 million in unrestricted cash on hand. The Company’s quarterly dividend is currently suspended. The Company’s board of directors will consider a future dividend as permitted by the Company’s credit agreement. The Company’s credit agreement permits payment of dividends as necessary to maintain the Company’s REIT status and permits the Company to pay a dividend of $0.01 per share each quarter. Any future dividend is subject to the Company’s board of directors’ determinations as to the amount of distributions and timing thereof.</w:t>
      </w:r>
    </w:p>
    <w:p>
      <w:pPr>
        <w:spacing w:after="0" w:line="137"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With the exception of the Gaylord Palms expansion project and the renovation of the guest rooms at Gaylord National, the Company has deferred substantially all non-essential capital projects, in addition to delaying the Gaylord Rockies expansion project, which was scheduled to begin construction in second quarter 2020. The Gaylord Palms expansion project was completed in April 2021, and the Gaylord National rooms renovation was completed in June 2021.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Newly Issued Accounting Standards</w:t>
      </w:r>
    </w:p>
    <w:p>
      <w:pPr>
        <w:spacing w:after="0" w:line="198"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The Company adopted this ASU in the first quarter of 2021, and this adoption did not have a material impact on the Company’s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In March 2020, the FASB issued ASU No. 2020-04, “</w:t>
      </w:r>
      <w:r>
        <w:rPr>
          <w:rFonts w:ascii="Arial" w:cs="Arial" w:eastAsia="Arial" w:hAnsi="Arial"/>
          <w:sz w:val="16"/>
          <w:szCs w:val="16"/>
          <w:i w:val="1"/>
          <w:iCs w:val="1"/>
          <w:color w:val="auto"/>
        </w:rPr>
        <w:t>Reference Rate Reform – Facilitation of the Effects of 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on Financial Reporting</w:t>
      </w:r>
      <w:r>
        <w:rPr>
          <w:rFonts w:ascii="Arial" w:cs="Arial" w:eastAsia="Arial" w:hAnsi="Arial"/>
          <w:sz w:val="16"/>
          <w:szCs w:val="16"/>
          <w:color w:val="auto"/>
        </w:rPr>
        <w:t>,” which provides temporary optional expedients and exceptions to the existing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During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REVENUES:</w:t>
      </w:r>
    </w:p>
    <w:p>
      <w:pPr>
        <w:spacing w:after="0" w:line="189"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Hotel transient rooms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54,834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21,740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120,442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47,806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111,904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12,564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85,708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51,573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12,456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Entertainment produced content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gridSpan w:val="2"/>
          </w:tcPr>
          <w:p>
            <w:pPr>
              <w:ind w:left="900"/>
              <w:spacing w:after="0"/>
              <w:rPr>
                <w:sz w:val="20"/>
                <w:szCs w:val="20"/>
                <w:color w:val="auto"/>
              </w:rPr>
            </w:pPr>
            <w:r>
              <w:rPr>
                <w:rFonts w:ascii="Arial" w:cs="Arial" w:eastAsia="Arial" w:hAnsi="Arial"/>
                <w:sz w:val="18"/>
                <w:szCs w:val="18"/>
                <w:color w:val="auto"/>
              </w:rPr>
              <w:t>Total revenues</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306,906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70,249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561,942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397,960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740" w:type="dxa"/>
            <w:vAlign w:val="bottom"/>
            <w:gridSpan w:val="5"/>
          </w:tcPr>
          <w:p>
            <w:pPr>
              <w:jc w:val="right"/>
              <w:ind w:right="1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4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780" w:type="dxa"/>
            <w:vAlign w:val="bottom"/>
          </w:tcPr>
          <w:p>
            <w:pPr>
              <w:jc w:val="right"/>
              <w:ind w:right="16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$ 142,244</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Gaylord Palms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7,658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82,295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Gaylord National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36,008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39,576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AC Hotel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Inn at Opryland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09"/>
        </w:trPr>
        <w:tc>
          <w:tcPr>
            <w:tcW w:w="3080" w:type="dxa"/>
            <w:vAlign w:val="bottom"/>
            <w:gridSpan w:val="2"/>
          </w:tcPr>
          <w:p>
            <w:pPr>
              <w:spacing w:after="0"/>
              <w:rPr>
                <w:sz w:val="20"/>
                <w:szCs w:val="20"/>
                <w:color w:val="auto"/>
              </w:rPr>
            </w:pPr>
            <w:r>
              <w:rPr>
                <w:rFonts w:ascii="Arial" w:cs="Arial" w:eastAsia="Arial" w:hAnsi="Arial"/>
                <w:sz w:val="18"/>
                <w:szCs w:val="18"/>
                <w:color w:val="auto"/>
              </w:rPr>
              <w:t>Total Hospitality segment revenues</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257,853</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$ 57,978</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$ 463,343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353,954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majority of the Company’s Entertainment segment revenues are concentrated in Tennessee.</w:t>
      </w:r>
    </w:p>
    <w:p>
      <w:pPr>
        <w:spacing w:after="0" w:line="185" w:lineRule="exact"/>
        <w:rPr>
          <w:sz w:val="20"/>
          <w:szCs w:val="20"/>
          <w:color w:val="auto"/>
        </w:rPr>
      </w:pPr>
    </w:p>
    <w:p>
      <w:pPr>
        <w:ind w:left="60" w:right="299"/>
        <w:spacing w:after="0" w:line="273" w:lineRule="auto"/>
        <w:rPr>
          <w:sz w:val="20"/>
          <w:szCs w:val="20"/>
          <w:color w:val="auto"/>
        </w:rPr>
      </w:pPr>
      <w:r>
        <w:rPr>
          <w:rFonts w:ascii="Arial" w:cs="Arial" w:eastAsia="Arial" w:hAnsi="Arial"/>
          <w:sz w:val="17"/>
          <w:szCs w:val="17"/>
          <w:color w:val="auto"/>
        </w:rPr>
        <w:t>The Company records deferred revenues when cash payments are received in advance of its performance obligations, primarily related to advanced deposits on hotel rooms in its Hospitality segment and advanced ticketing in its Entertainment segment. At September 30, 2021 and December 31, 2020, the Company had $118.6 million and $70.4 million, respectively, in deferred revenues, which are included in accounts payable and accrued liabilities in the accompanying condensed consolidated balance sheets. Of the amount outstanding at December 31, 2020, approximately $12.4 million was recognized in revenue during the nine months ended September 30, 2021.</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INCOME (LOSS) PER SHARE: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4420" w:type="dxa"/>
            <w:vAlign w:val="bottom"/>
          </w:tcPr>
          <w:p>
            <w:pPr>
              <w:spacing w:after="0"/>
              <w:rPr>
                <w:sz w:val="14"/>
                <w:szCs w:val="14"/>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4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55,065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54,980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55,040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54,955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55,065</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54,980</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55,040</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54,955</w:t>
            </w:r>
          </w:p>
        </w:tc>
      </w:tr>
      <w:tr>
        <w:trPr>
          <w:trHeight w:val="20"/>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For the three months and nine months ended September 30, 2021, the effect of dilutive stock-based compensation was the equivalent of 0.2 million shares of common stock outstanding. For the three months and nine months ended September 30, 2020, the effect of dilutive stock-based compensation was the equivalent of 0.1 million shares of common stock outstanding. Because the Company had a loss available to common stockholders in the three months and nine months ended September 30, 2021 and 2020, these incremental shares were excluded from the computation of dilutive earnings per share as the effect of their inclusion would have been anti-dilutive.</w:t>
      </w:r>
    </w:p>
    <w:p>
      <w:pPr>
        <w:spacing w:after="0" w:line="137"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As more fully discussed in Note 4, “Investment in Gaylord Rockies Joint Venture,” to the Company’s Annual Report on Form 10-K for the year ended December 31, 2020, certain affiliates of Ares Management, L.P. each had a put right to require the Company to purchase their joint venture interests in the Gaylord Rockies joint venture in consideration of cash or operating partnership units (“OP Units”) of RHP Hotel Properties, LP (the “Operating Partnership”). These put rights were exercised during 2020 and are excluded from the computation of dilutive earnings per share for the three months and nine months ended September 30, 2020 as the effect of their inclusion would have been anti-dilutive due to the Company’s loss available to common stockholders in that period. The OP Units held by the noncontrolling interest holders have been excluded from the denominator of the diluted loss per share calculation for the three months and nine months ended September 30, 2021 and 2020 as there would be no effect on the calculation of diluted loss per share because the loss attributable to the OP Units held by the noncontrolling interest holders would also be subtracted to derive net loss available to common stockholders.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202"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The Company’s balance in accumulated other comprehensive loss is comprised of amounts related to the Company’s minimum pension liability discussed in Note 11, “Pension Plans,” interest rate derivatives designated as cash flow hedges related to the Company’s outstanding debt as discussed in Note 7, “Debt,” and amounts related to an other-than-temporary impairment of a held-to-maturity investment that existed prior to 2020 with respect to the notes receivable discussed in Note 6, “Notes Receivable,” to the condensed consolidated financial statements included herein. Changes in accumulated other comprehensive loss by component for the nine months ended September 30, 2021 and 2020 consisted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Gains (losses)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7,954</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13,423</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21,377</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September 30, 2021</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(17,333)</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(36,574)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(28,159)</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Losses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(11,167)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(39,965)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(51,132)</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8,081</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 (loss)</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(33,486)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(43,051)</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Transition adjustment related to adoption of ASU 2016-13</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6"/>
                <w:szCs w:val="16"/>
                <w:color w:val="auto"/>
              </w:rPr>
              <w:t>Balance, September 30, 2020</w:t>
            </w: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(33,639)</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(3,561)</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(31,852)</w:t>
            </w:r>
          </w:p>
        </w:tc>
        <w:tc>
          <w:tcPr>
            <w:tcW w:w="160" w:type="dxa"/>
            <w:vAlign w:val="bottom"/>
            <w:gridSpan w:val="2"/>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(69,052)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AND EQUIPMENT:</w:t>
      </w:r>
    </w:p>
    <w:p>
      <w:pPr>
        <w:spacing w:after="0" w:line="189"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color w:val="auto"/>
        </w:rPr>
        <w:t>Property and equipment, including right-of-use finance lease assets, at September 30, 2021 and December 31, 2020 is recorded at cost (except for right-of-use finance lease assets) and summarized as follows (in thousands):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351,618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3,599,111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3,462,218</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960,666</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166,084</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4,974,838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4,942,199</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(1,908,503)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(1,824,952)</w:t>
            </w: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3,066,335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3,117,247</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NOTES RECEIVABLE:</w:t>
      </w:r>
    </w:p>
    <w:p>
      <w:pPr>
        <w:spacing w:after="0" w:line="202"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As further discussed in the Company’s Annual Report on Form 10-K for the year ended December 31, 2020, in connection with the development of Gaylord National, the Company holds two issuances of governmental bonds (“Series A bond” and “Series B bond”) with a total carrying value and approximate fair value of $69.8 million and $71.9 million at September 30, 2021 and December 31, 2020, respectively, net of credit loss reserve of $38.0 million at each of September 30, 2021 and December 31, 2020. The Company receives debt service and principal payments thereon, payable from property tax increments, hotel taxes and special hotel rental taxes generated from Gaylord National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through the maturity dates of July 1, 2034 and September 1, 2037, respectively. The Company records interest income over the life of the notes using the effective interest method.</w:t>
      </w:r>
    </w:p>
    <w:p>
      <w:pPr>
        <w:spacing w:after="0" w:line="143"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remaining life of the bonds, the Company increased its credit loss reserve by $7.8 million and $32.8 million in the three months and nine months ended September 30, 2020, respectively. As a result of additional credit loss reserves recorded in the year ended December 31, 2020, at September 30, 2021, the Series B bond is fully reserved. The Series A bond is of higher priority than other tranches which fall between the Company’s two issuances.</w:t>
      </w:r>
    </w:p>
    <w:p>
      <w:pPr>
        <w:spacing w:after="0" w:line="151"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During the three months ended September 30, 2021 and 2020, the Company recorded interest income of $1.4 million and $1.5 million, respectively, on these bonds. During the nine months ended September 30, 2021 and 2020, the Company recorded interest income of $4.1 million and $4.7 million, respectively, on these bonds. The Company received payments of $6.4 million and $8.8 million during the nine months ended September 30, 2021 and 2020, respectively, relating to these bonds. At September 30, 2021 and December 31, 2020, before consideration of the credit loss reserve, the Company had accrued interest receivable related to these bonds of $39.5 million and $40.9 million, respectively.</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DEBT:</w:t>
      </w:r>
    </w:p>
    <w:p>
      <w:pPr>
        <w:spacing w:after="0" w:line="202"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color w:val="auto"/>
        </w:rPr>
        <w:t>The Company’s debt and finance lease obligations at September 30, 2021 and December 31, 2020 consisted of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40" w:type="dxa"/>
            <w:vAlign w:val="bottom"/>
            <w:tcBorders>
              <w:bottom w:val="single" w:sz="8" w:color="CCEEFF"/>
            </w:tcBorders>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r>
      <w:tr>
        <w:trPr>
          <w:trHeight w:val="21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shd w:val="clear" w:color="auto" w:fill="CCEEFF"/>
              </w:rPr>
              <w:t>$700M Revolving Credit Facility, interest at LIBOR plus 2.25%, maturing March 31, 2024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180,000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106,000</w:t>
            </w: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$300M Term Loan A, interest at LIBOR plus 2.25%, maturing March 31, 2025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$500M Term Loan B, interest at LIBOR plus 2.00%, maturing May 11, 2024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381,250</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$400M</w:t>
            </w:r>
          </w:p>
        </w:tc>
        <w:tc>
          <w:tcPr>
            <w:tcW w:w="6340" w:type="dxa"/>
            <w:vAlign w:val="bottom"/>
          </w:tcPr>
          <w:p>
            <w:pPr>
              <w:ind w:left="20"/>
              <w:spacing w:after="0"/>
              <w:rPr>
                <w:sz w:val="20"/>
                <w:szCs w:val="20"/>
                <w:color w:val="auto"/>
              </w:rPr>
            </w:pPr>
            <w:r>
              <w:rPr>
                <w:rFonts w:ascii="Arial" w:cs="Arial" w:eastAsia="Arial" w:hAnsi="Arial"/>
                <w:sz w:val="18"/>
                <w:szCs w:val="18"/>
                <w:color w:val="auto"/>
              </w:rPr>
              <w:t>Senior Notes, interest at 5.0%, original maturity April 15, 2023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$600M</w:t>
            </w:r>
          </w:p>
        </w:tc>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interest at 4.50%, maturing February 15, 2029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4"/>
              </w:rPr>
              <w:t>$700M</w:t>
            </w:r>
          </w:p>
        </w:tc>
        <w:tc>
          <w:tcPr>
            <w:tcW w:w="6340" w:type="dxa"/>
            <w:vAlign w:val="bottom"/>
          </w:tcPr>
          <w:p>
            <w:pPr>
              <w:ind w:left="20"/>
              <w:spacing w:after="0"/>
              <w:rPr>
                <w:sz w:val="20"/>
                <w:szCs w:val="20"/>
                <w:color w:val="auto"/>
              </w:rPr>
            </w:pPr>
            <w:r>
              <w:rPr>
                <w:rFonts w:ascii="Arial" w:cs="Arial" w:eastAsia="Arial" w:hAnsi="Arial"/>
                <w:sz w:val="18"/>
                <w:szCs w:val="18"/>
                <w:color w:val="auto"/>
              </w:rPr>
              <w:t>Senior Notes, interest at 4.75%, maturing October 15, 2027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700,000</w:t>
            </w: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$800M</w:t>
            </w:r>
          </w:p>
        </w:tc>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Gaylord Rockies Term Loan, interest at LIBOR plus 2.50%, maturing July 2, 2023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(32,504)</w:t>
            </w:r>
          </w:p>
        </w:tc>
      </w:tr>
      <w:tr>
        <w:trPr>
          <w:trHeight w:val="216"/>
        </w:trPr>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premium</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r>
      <w:tr>
        <w:trPr>
          <w:trHeight w:val="210"/>
        </w:trPr>
        <w:tc>
          <w:tcPr>
            <w:tcW w:w="68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2,925,968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2,658,008</w:t>
            </w:r>
          </w:p>
        </w:tc>
      </w:tr>
      <w:tr>
        <w:trPr>
          <w:trHeight w:val="20"/>
        </w:trPr>
        <w:tc>
          <w:tcPr>
            <w:tcW w:w="5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Amounts due within one year consist of the amortization payments for the $500 million term loan B of 1.0% of the original principal balance, as described in the Company’s Annual Report on Form 10-K for the year ended December 31, 2020.</w:t>
      </w:r>
    </w:p>
    <w:p>
      <w:pPr>
        <w:spacing w:after="0" w:line="83" w:lineRule="exact"/>
        <w:rPr>
          <w:sz w:val="20"/>
          <w:szCs w:val="20"/>
          <w:color w:val="auto"/>
        </w:rPr>
      </w:pPr>
    </w:p>
    <w:p>
      <w:pPr>
        <w:jc w:val="both"/>
        <w:ind w:left="60" w:right="99"/>
        <w:spacing w:after="0" w:line="277" w:lineRule="auto"/>
        <w:rPr>
          <w:sz w:val="20"/>
          <w:szCs w:val="20"/>
          <w:color w:val="auto"/>
        </w:rPr>
      </w:pPr>
      <w:r>
        <w:rPr>
          <w:rFonts w:ascii="Arial" w:cs="Arial" w:eastAsia="Arial" w:hAnsi="Arial"/>
          <w:sz w:val="18"/>
          <w:szCs w:val="18"/>
          <w:color w:val="auto"/>
        </w:rPr>
        <w:t>At September 30, 2021, there were no defaults under the covenants related to the Company’s outstanding debt based on the amended terms of the Company’s credit agreement.</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 and Redemption of $400 Million 5% Senior Notes Due 2023</w:t>
      </w:r>
    </w:p>
    <w:p>
      <w:pPr>
        <w:spacing w:after="0" w:line="198"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On February 9, 2021, the Company commenced a cash tender offer for any and all outstanding $400 million 5% senior notes due 2023 (the “$400 Million 5% Senior Notes”) at a redemption price of $1,005.00 per $1,000 principal amount. Pursuant to the tender offer, $161.9 million aggregate principal amount of the $400 Million 5% Senior Notes were validly tendered. The Company used a portion of the proceeds from the issuance of the $600 million 4.50% senior notes discussed below to fund the tender offer.</w:t>
      </w:r>
    </w:p>
    <w:p>
      <w:pPr>
        <w:spacing w:after="0" w:line="147"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In accordance with the indenture governing the $400 Million 5% Senior Notes, subsequent to expiration of the tender offer, in February 2021 the Company gave irrevocable notice of the redemption of all remaining $400 Million 5% Senior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Notes not tendered in the tender offer. The redemption and cancellation of the remaining $400 Million 5% Senior Notes was completed on April 15, 2021. The Company used a portion of the proceeds from the issuance of the $600 million 4.50% senior notes discussed below to fund the redemption.</w:t>
      </w:r>
    </w:p>
    <w:p>
      <w:pPr>
        <w:spacing w:after="0" w:line="157"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As a result of the Company’s purchase of tendered $400 Million 5% Senior Notes and the redemption of all untendered $400 Million 5% Senior Notes, the Company recognized a loss on extinguishment of debt of $2.9 million in the nine months ended September 30,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$600 Million 4.50% Senior Notes Due 2029</w:t>
      </w:r>
    </w:p>
    <w:p>
      <w:pPr>
        <w:spacing w:after="0" w:line="185" w:lineRule="exact"/>
        <w:rPr>
          <w:sz w:val="20"/>
          <w:szCs w:val="20"/>
          <w:color w:val="auto"/>
        </w:rPr>
      </w:pPr>
    </w:p>
    <w:p>
      <w:pPr>
        <w:ind w:left="60" w:right="259"/>
        <w:spacing w:after="0" w:line="284" w:lineRule="auto"/>
        <w:rPr>
          <w:sz w:val="20"/>
          <w:szCs w:val="20"/>
          <w:color w:val="auto"/>
        </w:rPr>
      </w:pPr>
      <w:r>
        <w:rPr>
          <w:rFonts w:ascii="Arial" w:cs="Arial" w:eastAsia="Arial" w:hAnsi="Arial"/>
          <w:sz w:val="16"/>
          <w:szCs w:val="16"/>
          <w:color w:val="auto"/>
        </w:rPr>
        <w:t>On February 17, 2021, the Operating Partnership and RHP Finance Corporation, a Delaware corporation (“Finco”) completed the private placement of $600.0 million in aggregate principal amount of 4.50% senior notes due 2029 (the “$600 Million 4.50% Senior Notes”), which are guaranteed by the Company and its subsidiaries that guarantee the Company’s credit agreement. The $600 Million 4.50% Senior Notes and guarantees were issued pursuant to an indenture by and among the issuing subsidiaries, the guarantors and U.S. Bank National Association, as trustee. The $600 Million 4.50% Senior Notes have a maturity date of February 15, 2029 and bear interest at 4.50% per annum, payable semi-annually in cash in arrears on February 15 and August 15 each year, beginning on August 15, 2021. The $600 Million</w:t>
      </w:r>
    </w:p>
    <w:p>
      <w:pPr>
        <w:spacing w:after="0" w:line="2" w:lineRule="exact"/>
        <w:rPr>
          <w:sz w:val="20"/>
          <w:szCs w:val="20"/>
          <w:color w:val="auto"/>
        </w:rPr>
      </w:pPr>
    </w:p>
    <w:p>
      <w:pPr>
        <w:ind w:left="60" w:right="139"/>
        <w:spacing w:after="0" w:line="268" w:lineRule="auto"/>
        <w:rPr>
          <w:sz w:val="20"/>
          <w:szCs w:val="20"/>
          <w:color w:val="auto"/>
        </w:rPr>
      </w:pPr>
      <w:r>
        <w:rPr>
          <w:rFonts w:ascii="Arial" w:cs="Arial" w:eastAsia="Arial" w:hAnsi="Arial"/>
          <w:sz w:val="17"/>
          <w:szCs w:val="17"/>
          <w:color w:val="auto"/>
        </w:rPr>
        <w:t>4.50% Senior Notes are general unsecured and unsubordinated obligations of the issuing subsidiaries and rank equal in right of payment with such subsidiaries’ existing and future senior unsecured indebtedness, including the Company’s $700 million 4.75% senior notes due 2027,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38"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 net proceeds from the issuance of the $600 Million 4.50% Senior Notes totaled approximately $591 million, after deducting the initial purchasers’ discounts, commissions and offering expenses. The Company used a significant portion of these proceeds to tender and redeem the previous $400 Million 5% Senior Notes, as discussed above, and to repay all of the amounts outstanding under the Company’s revolving credit facility. The Company used the remaining net proceeds for general corporate purposes.</w:t>
      </w:r>
    </w:p>
    <w:p>
      <w:pPr>
        <w:spacing w:after="0" w:line="161"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Derivatives</w:t>
      </w:r>
    </w:p>
    <w:p>
      <w:pPr>
        <w:spacing w:after="0" w:line="185"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The Company has entered into interest rate swaps to manage interest rate risk associated with the Company’s $500 million term loan B and the Gaylord Rockies $800 million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49"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$14.2 million will be reclassified from accumulated other comprehensive loss to interest expense in the next twelve months.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estimated fair value of the Company’s derivative financial instruments at September 30, 2021 and December 31, 2020 is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Strike</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4"/>
                <w:szCs w:val="14"/>
                <w:color w:val="auto"/>
              </w:rPr>
            </w:pPr>
          </w:p>
        </w:tc>
        <w:tc>
          <w:tcPr>
            <w:tcW w:w="17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Asset (Liability) Balance</w:t>
            </w:r>
          </w:p>
        </w:tc>
        <w:tc>
          <w:tcPr>
            <w:tcW w:w="0" w:type="dxa"/>
            <w:vAlign w:val="bottom"/>
          </w:tcPr>
          <w:p>
            <w:pPr>
              <w:spacing w:after="0"/>
              <w:rPr>
                <w:sz w:val="1"/>
                <w:szCs w:val="1"/>
                <w:color w:val="auto"/>
              </w:rPr>
            </w:pPr>
          </w:p>
        </w:tc>
      </w:tr>
      <w:tr>
        <w:trPr>
          <w:trHeight w:val="119"/>
        </w:trPr>
        <w:tc>
          <w:tcPr>
            <w:tcW w:w="20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Hedged Debt</w:t>
            </w:r>
          </w:p>
        </w:tc>
        <w:tc>
          <w:tcPr>
            <w:tcW w:w="12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Type</w:t>
            </w:r>
          </w:p>
        </w:tc>
        <w:tc>
          <w:tcPr>
            <w:tcW w:w="68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Index</w:t>
            </w: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9"/>
              </w:rPr>
              <w:t>Maturity Date</w:t>
            </w:r>
          </w:p>
        </w:tc>
        <w:tc>
          <w:tcPr>
            <w:tcW w:w="900" w:type="dxa"/>
            <w:vAlign w:val="bottom"/>
            <w:gridSpan w:val="2"/>
            <w:vMerge w:val="continue"/>
          </w:tcPr>
          <w:p>
            <w:pPr>
              <w:spacing w:after="0"/>
              <w:rPr>
                <w:sz w:val="10"/>
                <w:szCs w:val="10"/>
                <w:color w:val="auto"/>
              </w:rPr>
            </w:pPr>
          </w:p>
        </w:tc>
        <w:tc>
          <w:tcPr>
            <w:tcW w:w="10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Rate</w:t>
            </w:r>
          </w:p>
        </w:tc>
        <w:tc>
          <w:tcPr>
            <w:tcW w:w="10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Term Loan B</w:t>
            </w:r>
          </w:p>
        </w:tc>
        <w:tc>
          <w:tcPr>
            <w:tcW w:w="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1.2235%</w:t>
            </w: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1-month LIBOR</w:t>
            </w:r>
          </w:p>
        </w:tc>
        <w:tc>
          <w:tcPr>
            <w:tcW w:w="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$ 87,500</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6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May 11, 2023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(1,399)</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4"/>
              </w:rPr>
              <w:t>May 11, 2023</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1.2315%</w:t>
            </w:r>
          </w:p>
        </w:tc>
        <w:tc>
          <w:tcPr>
            <w:tcW w:w="6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May 11, 2023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(1,410)</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Gaylord Rockies Term Loan</w:t>
            </w:r>
          </w:p>
        </w:tc>
        <w:tc>
          <w:tcPr>
            <w:tcW w:w="12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1.6500%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3"/>
              </w:rPr>
              <w:t>August 1, 2022</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$ 800,000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(10,283)</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(15,890)</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(27,819)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83"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effect of the Company’s derivative financial instruments on the accompanying condensed consolidated statements of operations for the respective periods is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Amount of Gain (Loss)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21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on Derivative</w:t>
            </w: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156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3"/>
          </w:tcPr>
          <w:p>
            <w:pPr>
              <w:jc w:val="center"/>
              <w:ind w:right="4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Pr>
          <w:p>
            <w:pPr>
              <w:spacing w:after="0"/>
              <w:rPr>
                <w:sz w:val="14"/>
                <w:szCs w:val="14"/>
                <w:color w:val="auto"/>
              </w:rPr>
            </w:pPr>
          </w:p>
        </w:tc>
        <w:tc>
          <w:tcPr>
            <w:tcW w:w="1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2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5"/>
                <w:szCs w:val="15"/>
                <w:color w:val="auto"/>
              </w:rPr>
              <w:t>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183</w:t>
            </w:r>
          </w:p>
        </w:tc>
        <w:tc>
          <w:tcPr>
            <w:tcW w:w="1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(4,187)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(3,989)</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Total derivatives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(546)</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183</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(4,187)</w:t>
            </w:r>
          </w:p>
        </w:tc>
        <w:tc>
          <w:tcPr>
            <w:tcW w:w="220" w:type="dxa"/>
            <w:vAlign w:val="bottom"/>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(3,989)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580" w:type="dxa"/>
            <w:vAlign w:val="bottom"/>
          </w:tcPr>
          <w:p>
            <w:pPr>
              <w:spacing w:after="0"/>
              <w:rPr>
                <w:sz w:val="24"/>
                <w:szCs w:val="2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Amount of Gain (Loss)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21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5"/>
              <w:spacing w:after="0" w:line="119"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0"/>
                <w:szCs w:val="10"/>
                <w:color w:val="auto"/>
              </w:rPr>
            </w:pPr>
          </w:p>
        </w:tc>
        <w:tc>
          <w:tcPr>
            <w:tcW w:w="15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3"/>
          </w:tcPr>
          <w:p>
            <w:pPr>
              <w:jc w:val="center"/>
              <w:ind w:right="45"/>
              <w:spacing w:after="0" w:line="119"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Pr>
          <w:p>
            <w:pPr>
              <w:spacing w:after="0"/>
              <w:rPr>
                <w:sz w:val="14"/>
                <w:szCs w:val="14"/>
                <w:color w:val="auto"/>
              </w:rPr>
            </w:pPr>
          </w:p>
        </w:tc>
        <w:tc>
          <w:tcPr>
            <w:tcW w:w="1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2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5"/>
                <w:szCs w:val="15"/>
                <w:color w:val="auto"/>
              </w:rPr>
              <w:t>Interest rate swaps</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(370)</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(39,965)</w:t>
            </w:r>
          </w:p>
        </w:tc>
        <w:tc>
          <w:tcPr>
            <w:tcW w:w="156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w w:val="90"/>
              </w:rPr>
              <w:t>Interest expense</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(12,298)</w:t>
            </w:r>
          </w:p>
        </w:tc>
        <w:tc>
          <w:tcPr>
            <w:tcW w:w="220" w:type="dxa"/>
            <w:vAlign w:val="bottom"/>
          </w:tcPr>
          <w:p>
            <w:pPr>
              <w:jc w:val="right"/>
              <w:ind w:right="64"/>
              <w:spacing w:after="0" w:line="162"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(6,479)</w:t>
            </w:r>
          </w:p>
        </w:tc>
        <w:tc>
          <w:tcPr>
            <w:tcW w:w="0" w:type="dxa"/>
            <w:vAlign w:val="bottom"/>
          </w:tcPr>
          <w:p>
            <w:pPr>
              <w:spacing w:after="0"/>
              <w:rPr>
                <w:sz w:val="1"/>
                <w:szCs w:val="1"/>
                <w:color w:val="auto"/>
              </w:rPr>
            </w:pPr>
          </w:p>
        </w:tc>
      </w:tr>
      <w:tr>
        <w:trPr>
          <w:trHeight w:val="155"/>
        </w:trPr>
        <w:tc>
          <w:tcPr>
            <w:tcW w:w="358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(370)</w:t>
            </w: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(39,965)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(12,298)</w:t>
            </w:r>
          </w:p>
        </w:tc>
        <w:tc>
          <w:tcPr>
            <w:tcW w:w="220" w:type="dxa"/>
            <w:vAlign w:val="bottom"/>
            <w:tcBorders>
              <w:top w:val="single" w:sz="8" w:color="auto"/>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(6,479)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the three months ended September 30, 2021 and 2020 was $32.4 million and $28.1 million, respectively, and for the nine months ended September 30, 2021 and 2020 was $93.1 million and $87.5 million, respectively.</w:t>
      </w:r>
    </w:p>
    <w:p>
      <w:pPr>
        <w:spacing w:after="0" w:line="160"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At September 30, 2021, the fair value of derivatives in a net liability position including accrued interest but excluding any adjustment for nonperformance risk related to these agreements was $17.1 million. As of September 30, 2021,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$17.1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189"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The Company is a lessee of a 65.3 acre site in Osceola County, Florida on which Gaylord Palms is located, building or land leases for Ole Red Gatlinburg, Ole Red Orlando and Ole Red Tishomingo,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Extension options are not considered reasonably assured and as a result are not included in the Company’s calculation of its right-of-use assets and lease liabilities.</w:t>
      </w:r>
    </w:p>
    <w:p>
      <w:pPr>
        <w:spacing w:after="0" w:line="164"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4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1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Company’s lease costs for the three months and nine months ended September 30, 2021 and 2020 are as follows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340" w:type="dxa"/>
            <w:vAlign w:val="bottom"/>
            <w:gridSpan w:val="5"/>
          </w:tcPr>
          <w:p>
            <w:pPr>
              <w:jc w:val="center"/>
              <w:ind w:right="11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1"/>
        </w:trPr>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7"/>
                <w:szCs w:val="17"/>
                <w:color w:val="auto"/>
              </w:rPr>
            </w:pPr>
          </w:p>
        </w:tc>
        <w:tc>
          <w:tcPr>
            <w:tcW w:w="2340" w:type="dxa"/>
            <w:vAlign w:val="bottom"/>
            <w:gridSpan w:val="5"/>
          </w:tcPr>
          <w:p>
            <w:pPr>
              <w:jc w:val="center"/>
              <w:ind w:right="1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0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9,009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Finance lease cost: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right-of-use assets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9,158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Future minimum lease payments under non-cancelable leases at September 30, 2021 are as follows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Leases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565,067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(485,827)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present value of minimum payments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w w:val="91"/>
              </w:rPr>
              <w:t>The remaining lease term and discount rate for the Company’s leases are as follows:</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CCEEFF"/>
            </w:tcBorders>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ind w:left="20"/>
              <w:spacing w:after="0"/>
              <w:rPr>
                <w:sz w:val="20"/>
                <w:szCs w:val="20"/>
                <w:color w:val="auto"/>
              </w:rPr>
            </w:pPr>
            <w:r>
              <w:rPr>
                <w:rFonts w:ascii="Arial" w:cs="Arial" w:eastAsia="Arial" w:hAnsi="Arial"/>
                <w:sz w:val="18"/>
                <w:szCs w:val="18"/>
                <w:color w:val="auto"/>
                <w:w w:val="90"/>
              </w:rPr>
              <w:t>49.2 years</w:t>
            </w:r>
          </w:p>
        </w:tc>
        <w:tc>
          <w:tcPr>
            <w:tcW w:w="0" w:type="dxa"/>
            <w:vAlign w:val="bottom"/>
          </w:tcPr>
          <w:p>
            <w:pPr>
              <w:spacing w:after="0"/>
              <w:rPr>
                <w:sz w:val="1"/>
                <w:szCs w:val="1"/>
                <w:color w:val="auto"/>
              </w:rPr>
            </w:pPr>
          </w:p>
        </w:tc>
      </w:tr>
      <w:tr>
        <w:trPr>
          <w:trHeight w:val="216"/>
        </w:trPr>
        <w:tc>
          <w:tcPr>
            <w:tcW w:w="1020" w:type="dxa"/>
            <w:vAlign w:val="bottom"/>
            <w:tcBorders>
              <w:right w:val="single" w:sz="8" w:color="CCEEFF"/>
            </w:tcBorders>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0"/>
              </w:rPr>
              <w:t>10.4 years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CCEEFF"/>
            </w:tcBorders>
          </w:tcPr>
          <w:p>
            <w:pPr>
              <w:spacing w:after="0"/>
              <w:rPr>
                <w:sz w:val="18"/>
                <w:szCs w:val="18"/>
                <w:color w:val="auto"/>
              </w:rPr>
            </w:pP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6.8 %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200" w:type="dxa"/>
            <w:vAlign w:val="bottom"/>
          </w:tcPr>
          <w:p>
            <w:pPr>
              <w:ind w:left="80"/>
              <w:spacing w:after="0"/>
              <w:rPr>
                <w:sz w:val="20"/>
                <w:szCs w:val="20"/>
                <w:color w:val="auto"/>
              </w:rPr>
            </w:pPr>
            <w:r>
              <w:rPr>
                <w:rFonts w:ascii="Arial" w:cs="Arial" w:eastAsia="Arial" w:hAnsi="Arial"/>
                <w:sz w:val="18"/>
                <w:szCs w:val="18"/>
                <w:color w:val="auto"/>
              </w:rPr>
              <w:t>Finance leases</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ind w:left="120"/>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 PLANS:</w:t>
      </w:r>
    </w:p>
    <w:p>
      <w:pPr>
        <w:spacing w:after="0" w:line="202"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color w:val="auto"/>
        </w:rPr>
        <w:t>During the nine months ended September 30, 2021, the Company granted 0.3 million restricted stock units with a weighted-average grant date fair value of $73.71 per unit. There were 0.5 million and 0.4 million restricted stock units outstanding at September 30, 2021 and December 31, 2020, respectively.</w:t>
      </w:r>
    </w:p>
    <w:p>
      <w:pPr>
        <w:spacing w:after="0" w:line="143"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Compensation expense for the Company’s stock-based compensation plans was $3.3 million and $2.2 million for the three months ended September 30, 2021 and 2020, respectively, and $8.9 million and $6.6 million for the nine months ended September 30, 2021 and 2020, respectively.</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PENSION PLANS:</w:t>
      </w:r>
    </w:p>
    <w:p>
      <w:pPr>
        <w:spacing w:after="0" w:line="202" w:lineRule="exact"/>
        <w:rPr>
          <w:sz w:val="20"/>
          <w:szCs w:val="20"/>
          <w:color w:val="auto"/>
        </w:rPr>
      </w:pPr>
    </w:p>
    <w:p>
      <w:pPr>
        <w:ind w:left="60" w:right="639"/>
        <w:spacing w:after="0" w:line="342" w:lineRule="auto"/>
        <w:rPr>
          <w:sz w:val="20"/>
          <w:szCs w:val="20"/>
          <w:color w:val="auto"/>
        </w:rPr>
      </w:pPr>
      <w:r>
        <w:rPr>
          <w:rFonts w:ascii="Arial" w:cs="Arial" w:eastAsia="Arial" w:hAnsi="Arial"/>
          <w:sz w:val="16"/>
          <w:szCs w:val="16"/>
          <w:color w:val="auto"/>
        </w:rPr>
        <w:t>Net periodic pension expense reflected in other gains and (losses), net in the accompanying condensed consolidated statements of operations included the following components for the respective periods (in thousands):</w:t>
      </w:r>
    </w:p>
    <w:p>
      <w:pPr>
        <w:spacing w:after="0" w:line="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(3,150)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(3,071)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settlement loss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1,343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4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pension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As a result of increased lump-sum distributions from the Company’s qualified retirement plan during 2021 and 2020, net settlement losses of $1.0 million and $1.3 million, respectively, were recognized in the nine months ended September 30, 2021 and 2020.</w:t>
      </w:r>
    </w:p>
    <w:p>
      <w:pPr>
        <w:spacing w:after="0" w:line="184" w:lineRule="exact"/>
        <w:rPr>
          <w:sz w:val="20"/>
          <w:szCs w:val="20"/>
          <w:color w:val="auto"/>
        </w:rPr>
      </w:pPr>
    </w:p>
    <w:p>
      <w:pPr>
        <w:jc w:val="both"/>
        <w:ind w:left="60" w:right="199"/>
        <w:spacing w:after="0" w:line="286" w:lineRule="auto"/>
        <w:rPr>
          <w:sz w:val="20"/>
          <w:szCs w:val="20"/>
          <w:color w:val="auto"/>
        </w:rPr>
      </w:pPr>
      <w:r>
        <w:rPr>
          <w:rFonts w:ascii="Arial" w:cs="Arial" w:eastAsia="Arial" w:hAnsi="Arial"/>
          <w:sz w:val="17"/>
          <w:szCs w:val="17"/>
          <w:color w:val="auto"/>
        </w:rPr>
        <w:t>In addition, the increase in lump-sum distributions required the Company to re-measure its liability under its pension plan as of June 30, 2021. As a result of the re-measurement, as well as an increase in the pension plan’s assumed discount rate from 1.95% at December 31, 2020 to 2.31% at June 30, 2021, the Company recorded a $6.9 million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decrease to its liability under the pension plan and a corresponding decrease in accumulated other comprehensive loss in the accompanying condensed consolidated balance sheet as of September 30,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 (“TRSs”).</w:t>
      </w:r>
    </w:p>
    <w:p>
      <w:pPr>
        <w:spacing w:after="0" w:line="147"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For the three months ended September 30, 2021 and 2020, the Company recorded an income tax provision of $1.1 million and $0.1 million, respectively. For the nine months ended September 30, 2021 and 2020, the Company recorded an income tax provision of $6.6 million and $27.0 million, respectively. The income tax provision for the nine months ended September 30, 2021 and 2020 included the recording of a valuation allowance of $3.6 million and $26.7 million, respectively, as further described below. Additionally, in the nine months ended September 30, 2021 and 2020, the Company recorded an income tax provision of $3.0 million and $0.3 million, respectively, inclusive of valuation allowance, related to the current period operations of the Company.</w:t>
      </w:r>
    </w:p>
    <w:p>
      <w:pPr>
        <w:spacing w:after="0" w:line="137"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Due to the financial statement impact of the COVID-19 pandemic, in connection with the preparation of the condensed consolidated financial statements included herein, the Company reassessed the realizability of net deferred tax assets during 2020, and as a result, the Company included a valuation allowance of $26.7 million in its income tax provision for the nine months ended September 30, 2020 on the net deferred tax assets of its TRSs. The Company recorded an additional valuation allowance related to its deferred tax assets of $3.6 million, which is included in the income tax provision for the nine months ended September 30,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September 30, 2021 and December 31, 2020, the Company had no unrecognized tax benefits.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 has entered into limited repayment and carry guaranties related to the Gaylord Rockies Loan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a property expansion is pursued, and (iii) customary non-recourse carve-outs.</w:t>
      </w:r>
    </w:p>
    <w:p>
      <w:pPr>
        <w:spacing w:after="0" w:line="134"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In April 2019, a subsidiary of the Company entered into a joint venture with Gray Television, Inc. to create and distribute a linear multicast and over-the-top channel dedicated to the country music lifestyle, Circle. The Company acquired a 50% equity interest in this joint venture and has made capital contributions of $19.5 million. In addition, the Company intends to contribute up to an additional $1.5 million through December 31, 2021. The Company accounts for its investment in this joint venture under the equity method of accounting.</w:t>
      </w:r>
    </w:p>
    <w:p>
      <w:pPr>
        <w:spacing w:after="0" w:line="14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0"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EQUITY: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Due to the COVID-19 pandemic, the Company has suspended its regular quarterly dividend payments. The Company’s board of directors will consider a future dividend as permitted by the Company’s credit agreement. The Company’s credit agreement permits payment of dividends as necessary to maintain the Company’s REIT status and permits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Company to pay a dividend of $0.01 per share each quarter. Any future dividend is subject to the Company’s board of directors’ determination as to the amount of distributions and the timing thereof.</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 in the Operating Partnership</w:t>
      </w:r>
    </w:p>
    <w:p>
      <w:pPr>
        <w:spacing w:after="0" w:line="18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September 30, 2021, 0.4 million outstanding OP Units, or less than 1% of the outstanding OP Units, were held by the noncontrolling limited partners and are included as a component of equity in the accompanying condensed consolidated balance sheet. The Company owns, directly or indirectly, the remaining 99.3% of the outstanding OP Units.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(“ATM”) Equity Distribution Agreement</w:t>
      </w:r>
    </w:p>
    <w:p>
      <w:pPr>
        <w:spacing w:after="0" w:line="198" w:lineRule="exact"/>
        <w:rPr>
          <w:sz w:val="20"/>
          <w:szCs w:val="20"/>
          <w:color w:val="auto"/>
        </w:rPr>
      </w:pPr>
    </w:p>
    <w:p>
      <w:pPr>
        <w:ind w:left="60" w:right="439"/>
        <w:spacing w:after="0" w:line="275" w:lineRule="auto"/>
        <w:rPr>
          <w:sz w:val="20"/>
          <w:szCs w:val="20"/>
          <w:color w:val="auto"/>
        </w:rPr>
      </w:pPr>
      <w:r>
        <w:rPr>
          <w:rFonts w:ascii="Arial" w:cs="Arial" w:eastAsia="Arial" w:hAnsi="Arial"/>
          <w:sz w:val="17"/>
          <w:szCs w:val="17"/>
          <w:color w:val="auto"/>
        </w:rPr>
        <w:t>On May 27, 2021, the Company entered into an ATM equity distribution agreement (the “ATM Agreement”) with a consortium of banks (each a “Sales Agent” and collectively, the “Sales Agents”), pursuant to which the Company may offer and sell to or through the Sales Agents (the “ATM Offering”), from time to time, up to 4.0 million shares (the “Shares”) of the Company’s common stock in such share amounts as the Company may specify by notice to the Sales Agents, in accordance with the terms and conditions set forth in the ATM Agreement.</w:t>
      </w:r>
    </w:p>
    <w:p>
      <w:pPr>
        <w:spacing w:after="0" w:line="136"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Under the ATM Agreement, the Company will set the parameters for the sale of the Shares, including the number of the Shares to be issued, the time period during which sales are requested to be made, limitation on the number of the Shares that may be sold in any one trading day and any minimum price below which sales may not be made. Each Sales Agent will use its commercially reasonable efforts, consistent with its normal trading and sales practices, to sell such Shares up to the amount specified, and otherwise in accordance with mutually agreed terms between the Sales Agent and the Company. Neither the Company nor any of the Sales Agents are obligated to sell any specific number or dollar amount of Shares under the ATM Agreement. The Sales Agents will be paid a commission of up to 2.0% of the gross sales price from the sale of any Shares. The Company intends to use the net proceeds from any sale of Shares for the repayment of outstanding indebtedness, which may include the repayment of amounts outstanding under the Company’s credit agreement governing the Company’s revolving credit facility. Net proceeds which are not used for the repayment of outstanding indebtedness (to the extent then permitted by the Company’s credit agreement) may be used for general corporate purposes.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 shares were issued under the ATM Agreement during the three months and nine months ended September 30, 2021.</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FAIR VALUE MEASUREMENTS:</w:t>
      </w:r>
    </w:p>
    <w:p>
      <w:pPr>
        <w:spacing w:after="0" w:line="18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1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60"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143" w:lineRule="exact"/>
        <w:rPr>
          <w:sz w:val="20"/>
          <w:szCs w:val="20"/>
          <w:color w:val="auto"/>
        </w:rPr>
      </w:pPr>
    </w:p>
    <w:p>
      <w:pPr>
        <w:ind w:left="60" w:right="219"/>
        <w:spacing w:after="0" w:line="258" w:lineRule="auto"/>
        <w:rPr>
          <w:sz w:val="20"/>
          <w:szCs w:val="20"/>
          <w:color w:val="auto"/>
        </w:rPr>
      </w:pPr>
      <w:r>
        <w:rPr>
          <w:rFonts w:ascii="Arial" w:cs="Arial" w:eastAsia="Arial" w:hAnsi="Arial"/>
          <w:sz w:val="18"/>
          <w:szCs w:val="18"/>
          <w:color w:val="auto"/>
        </w:rPr>
        <w:t>The Company’s assets and liabilities measured at fair value on a recurring basis at September 30, 2021 and December 31, 2020, were as follows (in thousands):</w:t>
      </w:r>
    </w:p>
    <w:tbl>
      <w:tblPr>
        <w:tblLayout w:type="fixed"/>
        <w:tblInd w:w="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5"/>
            <w:vMerge w:val="restart"/>
          </w:tcPr>
          <w:p>
            <w:pPr>
              <w:ind w:left="92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2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30,709</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30,709</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12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15,890</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15,890</w:t>
            </w:r>
          </w:p>
        </w:tc>
        <w:tc>
          <w:tcPr>
            <w:tcW w:w="20" w:type="dxa"/>
            <w:vAlign w:val="bottom"/>
          </w:tcPr>
          <w:p>
            <w:pPr>
              <w:spacing w:after="0"/>
              <w:rPr>
                <w:sz w:val="18"/>
                <w:szCs w:val="18"/>
                <w:color w:val="auto"/>
              </w:rPr>
            </w:pP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4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12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27,819</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27,819</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The remainder of the assets and liabilities held by the Company at September 30, 2021 are not required to be recorded at fair value, and the carrying value of these assets and liabilities approximates fair value, except as described below.</w:t>
      </w:r>
    </w:p>
    <w:p>
      <w:pPr>
        <w:spacing w:after="0" w:line="83"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The Company has outstanding $600.0 million in aggregate principal amount of $600 million 4.50% senior notes. The carrying value of these notes at September 30, 2021 was $590.3 million, net of unamortized deferred financing costs (“DFCs”). The fair value of these notes, based upon quoted market prices (Level 1), was $607.2 million at September 30, 2021.</w:t>
      </w:r>
    </w:p>
    <w:p>
      <w:pPr>
        <w:spacing w:after="0" w:line="146"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The Company has outstanding $700.0 million in aggregate principal amount of $700 million 4.75% senior notes. The carrying value of these notes at September 30, 2021 was $692.3 million, net of unamortized DFCs and premiums. The fair value of these notes, based upon quoted market prices (Level 1), was $727.9 million at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FINANCIAL REPORTING BY BUSINESS SEGMENTS: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85"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the Gaylord Hotels properties, the Inn at Opryland and the AC Hotel;</w:t>
      </w:r>
    </w:p>
    <w:p>
      <w:pPr>
        <w:spacing w:after="0" w:line="23" w:lineRule="exact"/>
        <w:rPr>
          <w:rFonts w:ascii="Arial" w:cs="Arial" w:eastAsia="Arial" w:hAnsi="Arial"/>
          <w:sz w:val="18"/>
          <w:szCs w:val="18"/>
          <w:color w:val="auto"/>
        </w:rPr>
      </w:pPr>
    </w:p>
    <w:p>
      <w:pPr>
        <w:ind w:left="720" w:right="13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Grand Ole Opry, the Ryman Auditorium, WSM-AM, Ole Red,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investment in Circle, and the Company’s Nashville-based attractions; and</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170"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257,853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57,978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463,343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353,954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306,906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49,310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151,655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148,667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164,081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161,232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24,716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(78,322)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(65,846)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(154,633)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Preopening costs (1)</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Gain on sale of assets (2)</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Credit loss on held-to-maturity securities (3)</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operating income (loss)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(103,166)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(84,809)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(239,151)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(32,413)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(93,056)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(87,527)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Loss on extinguishment of debt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from unconsolidated joint ventures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gains and (losses), net</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(129,791)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(182,137)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(341,226)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20" w:right="259" w:hanging="319"/>
        <w:spacing w:after="0" w:line="25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Preopening costs for the nine months ended September 30, 2021 relate to the Hospitality segment. Preopening costs for the three months ended September 30, 2020 relate to the Hospitality segment. Preopening costs for the nine months ended September 30, 2020 include $0.2 million and $1.4 million for the Hospitality and Entertainment segments, respectively.</w:t>
      </w:r>
    </w:p>
    <w:p>
      <w:pPr>
        <w:spacing w:after="0" w:line="2"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Gain on sale of assets for the nine months ended September 30, 2021 and 2020 relates to the Hospitality segment.</w:t>
      </w:r>
    </w:p>
    <w:p>
      <w:pPr>
        <w:spacing w:after="0" w:line="32" w:lineRule="exact"/>
        <w:rPr>
          <w:rFonts w:ascii="Arial" w:cs="Arial" w:eastAsia="Arial" w:hAnsi="Arial"/>
          <w:sz w:val="16"/>
          <w:szCs w:val="16"/>
          <w:color w:val="auto"/>
        </w:rPr>
      </w:pPr>
    </w:p>
    <w:p>
      <w:pPr>
        <w:ind w:left="720" w:right="13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loss on held-to-maturity securities for the three months and nine months ended September 30, 2020 relates to the Hospitality segment.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In October 2021, the Company entered into an agreement to purchase Block 21, a mixed-use entertainment, lodging, office, and retail complex located in Austin, Texas, for $260 million, which includes the assumption of approximately $138 million of existing mortgage debt. In addition, the Company will receive approximately $11 million of existing cash reserves attributable to the assets. Block 21 is the home of the Austin City Limits Live at The Moody Theater (“ACL Live”), a 2,750-seat entertainment venue that serves as the filming location for the Austin City Limits television series. The Block 21 complex also includes the 251-room W Austin Hotel, the 3TEN at ACL Live club and approximately 53,000 square feet of other Class A commercial space. The acquisition is expected to close near the end of the fourth quarter 2021, subject to customary closing conditions including, but not limited to, consent to the Company’s assumption of the existing mortgage loan by the loan servicer and the consent of the hotel property manager, an affiliate of Marriott, to the Company’s assignment and assumption of the existing hotel management agreement. The Company has the capacity to finance the transaction under its revolving credit facility and may use cash on hand, including from any sales of stock under its ATM program, and will make a determination of funding sources prior to closing.</w:t>
      </w:r>
    </w:p>
    <w:p>
      <w:pPr>
        <w:spacing w:after="0" w:line="168"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 October 2021, the Company also entered into Amendment No. 4 to the Company’s credit facility, which allows the Company to complete an acquisition during the credit agreement’s restricted period using borrowings under its revolving credit facility, so long as the aggregate amount outstanding under the revolving credit facility is equal to or less than $400.0 million, and an associated assumption of indebtedness,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owned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2020, included in our Annual Report on Form 10-K that was filed with the SEC on February 26, 2021.</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98" w:lineRule="exact"/>
        <w:rPr>
          <w:sz w:val="20"/>
          <w:szCs w:val="20"/>
          <w:color w:val="auto"/>
        </w:rPr>
      </w:pPr>
    </w:p>
    <w:p>
      <w:pPr>
        <w:ind w:left="60" w:right="59"/>
        <w:spacing w:after="0" w:line="283" w:lineRule="auto"/>
        <w:rPr>
          <w:sz w:val="20"/>
          <w:szCs w:val="20"/>
          <w:color w:val="auto"/>
        </w:rPr>
      </w:pPr>
      <w:r>
        <w:rPr>
          <w:rFonts w:ascii="Arial" w:cs="Arial" w:eastAsia="Arial" w:hAnsi="Arial"/>
          <w:sz w:val="16"/>
          <w:szCs w:val="16"/>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future travel, transient and group demand, the anticipated impact of the novel coronavirus disease (COVID-19) pandemic on our results of operations and liquidity, the expected effects of cost containment efforts, and efforts to rebook customers for later dates in 2021 and later years; (ii) the effect of our election to be taxed as a REIT and maintain REIT status for federal income tax purposes; (iii) the holding of our non-qualifying REIT assets in one or more taxable REIT subsidiaries (“TRSs”); (iv) the suspension of our dividend and our dividend policy, including the frequency and amount of any dividend we may pay;</w:t>
      </w:r>
    </w:p>
    <w:p>
      <w:pPr>
        <w:spacing w:after="0" w:line="1" w:lineRule="exact"/>
        <w:rPr>
          <w:sz w:val="20"/>
          <w:szCs w:val="20"/>
          <w:color w:val="auto"/>
        </w:rPr>
      </w:pPr>
    </w:p>
    <w:p>
      <w:pPr>
        <w:ind w:left="60" w:right="159" w:hanging="10"/>
        <w:spacing w:after="0" w:line="286" w:lineRule="auto"/>
        <w:tabs>
          <w:tab w:leader="none" w:pos="315"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use of cash during the remainder of 2021; (x) our ability to borrow available funds under our credit facility; (xi) our expectations about successfully amending the agreements governing our indebtedness should the need arise; (xii) our pending acquisition of the Block 21 complex in Austin, Texas (“Block 21”); and (xiii) any other business or operational matters. We have based these forward-looking statements on our current expectations and projections about future events.</w:t>
      </w:r>
    </w:p>
    <w:p>
      <w:pPr>
        <w:spacing w:after="0" w:line="13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COVID-19 pandemic, including the effects of the COVID-19 pandemic on us and the hospitality and entertainment industries generally, the effects of the COVID-19 pandemic on the demand for travel, transient and group business (including government-</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imposed restrictions or guidelines), levels of consumer confidence in the safety of travel and group gatherings as a result of COVID-19, the length and severity of the COVID-19 pandemic in the United States and the pace of recovery following the COVID-19 pandemic, the duration and severity of the COVID-19 pandemic in the markets where our assets are located, the economic conditions affecting the hospitality business generally, the geographic concentration of our hotel properties, business levels at our hotels,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including future changes from the London Inter-Bank Offered Rate (“LIBOR”) to a different base rate, and those factors described elsewhere in this Quarterly Report on Form 10-Q, including in Item 1A, “Risk Factors,” and our Annual Report on Form 10-K for the year ended December 31, 2020 or described from time to time in our other reports filed with the SEC.</w:t>
      </w:r>
    </w:p>
    <w:p>
      <w:pPr>
        <w:spacing w:after="0" w:line="152"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(“Gaylord Rockies”), which was previously owned by a joint venture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and the AC Hotel at National Harbor, Washington D.C. (“AC Hotel”), an overflow hotel adjacent to Gaylord National.</w:t>
      </w:r>
    </w:p>
    <w:p>
      <w:pPr>
        <w:spacing w:after="0" w:line="14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96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We also own a 50% interest in a joint venture to create and distribute a linear multicast and over-the-top channel dedicated to the country music lifestyle (“Circle”).</w:t>
      </w:r>
    </w:p>
    <w:p>
      <w:pPr>
        <w:spacing w:after="0" w:line="154"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7"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2020 for important information regarding forward-looking statements made in this report and risks and uncertainties we face.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185"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The novel coronavirus disease (COVID-19) pandemic has spread throughout the United States and continues to have an unprecedented impact on the U.S. economy. As discussed more fully in our Annual Report on Form 10-K for the year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ended December 31, 2020, due to the COVID-19 pandemic, we have experienced disruption of our business. While all of our assets have reopened and are operating, there is significant uncertainty surrounding the full extent of the impact of the COVID-19 pandemic on our future results of operations and financial position.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continue taking steps to preserve liquidity in order to weather the COVID-19 pandemic and continue to pay all required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debt service payments on our indebtedness, lease payments, taxes and other payables. At September 30, 2021, we had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$519.7 million available for borrowing under our revolving credit facility and $53.2 million in unrestricted cash on hand.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Within our Hospitality segment, we, along with Marriott, have implemented various actions in order to contain costs in all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areas. We have implemented similar cost containment initiatives in our Entertainment and Corporate segments.</w:t>
      </w:r>
    </w:p>
    <w:p>
      <w:pPr>
        <w:spacing w:after="0" w:line="170"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As previously disclosed in 2020, we have suspended our regular quarterly dividend payments to stockholders. Our board of directors will consider a future dividend as permitted by our credit agreement and subject to our board of directors’ determinations as to the amount of distributions and the timing thereof. With the exception of the Gaylord Palms expansion project and the renovation of the rooms at Gaylord National, we have deferred all non-essential capital projects. With respect to our properties that are operated under management agreements with Marriott, we are obligated to maintain an FF&amp;E reserve account for future planned and emergency-related capital expenditures at these properties; however, Marriott has suspended this obligation through December 2021, although we have made voluntary contributions to fund various maintenance capital expenditures, including the rooms renovation at Gaylord National.</w:t>
      </w:r>
    </w:p>
    <w:p>
      <w:pPr>
        <w:spacing w:after="0" w:line="125" w:lineRule="exact"/>
        <w:rPr>
          <w:sz w:val="20"/>
          <w:szCs w:val="20"/>
          <w:color w:val="auto"/>
        </w:rPr>
      </w:pPr>
    </w:p>
    <w:p>
      <w:pPr>
        <w:ind w:left="60" w:right="239"/>
        <w:spacing w:after="0" w:line="287" w:lineRule="auto"/>
        <w:rPr>
          <w:sz w:val="20"/>
          <w:szCs w:val="20"/>
          <w:color w:val="auto"/>
        </w:rPr>
      </w:pPr>
      <w:r>
        <w:rPr>
          <w:rFonts w:ascii="Arial" w:cs="Arial" w:eastAsia="Arial" w:hAnsi="Arial"/>
          <w:sz w:val="16"/>
          <w:szCs w:val="16"/>
          <w:color w:val="auto"/>
        </w:rPr>
        <w:t>As previously disclosed in 2020, we entered into certain amendments to the credit agreement governing our $700 million revolving credit facility (of which $180.0 million was outstanding at September 30, 2021), $300 million term loan A facility and the original $500 million term loan B facility (of which $377.5 million was outstanding at September 30,</w:t>
      </w:r>
    </w:p>
    <w:p>
      <w:pPr>
        <w:spacing w:after="0" w:line="2"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2021). Together, the amendments provided for a temporary waiver of financial covenants in the credit facility through March 31, 2022 (unless terminated early by us at our option) and confirm our continued ability to borrow the remaining amounts available under the revolving credit facility (subject to a minimum liquidity covenant). Additionally, we further amended the credit agreement in October 2021 to permit an acquisition during the credit agreement’s restricted period, and an associated assumption of indebtedness, subject to certain conditions.</w:t>
      </w:r>
    </w:p>
    <w:p>
      <w:pPr>
        <w:spacing w:after="0" w:line="151"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As previously disclosed in 2020, the Gaylord Rockies joint venture completed an amendment to its $800 million term loan that provided the ability to use cash for certain purposes, even during a Cash Sweep Period (as defined in the loan agreement). Beginning in July 2020, the Gaylord Rockies joint venture was in a Cash Sweep Period pursuant to the loan agreement. For additional discussion of this amendment and other amendments to our credit agreement, see “Principal Debt Agreements” below.</w:t>
      </w:r>
    </w:p>
    <w:p>
      <w:pPr>
        <w:spacing w:after="0" w:line="147"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i w:val="1"/>
          <w:iCs w:val="1"/>
          <w:color w:val="auto"/>
        </w:rPr>
        <w:t>Impact on Operations</w:t>
      </w:r>
      <w:r>
        <w:rPr>
          <w:rFonts w:ascii="Arial" w:cs="Arial" w:eastAsia="Arial" w:hAnsi="Arial"/>
          <w:sz w:val="18"/>
          <w:szCs w:val="18"/>
          <w:color w:val="auto"/>
        </w:rPr>
        <w:t>. Except for Gaylord National, which reopened in July 2021, and the Wildhorse Saloon, which closed</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to the December 2020 downtown Nashville bombing and reopened in April 2021, our hotels and entertainment venues reopened in the second and third quarters of 2020.</w:t>
      </w:r>
    </w:p>
    <w:p>
      <w:pPr>
        <w:spacing w:after="0" w:line="143"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We and Marriott’s sales teams have been working closely with our customers to rebook previously cancelled business and, through September 30, 2021, we have rebooked approximately 65% of total room nights cancelled as a result of the COVID-19 pandemic. Cancelled room nights in the nine months ended September 30, 2021 decreased 61% from the nine months ended December 31, 2020. Group attrition as a percentage of contracted block decreased in each sequential quarter since the onset of the COVID-19 pandemic through June 30, 2021. Primarily as a result of the latest COVID-19 variant, attrition increased in the three months ended September 30, 2021, as compared to the three months ended June 30, 2021; however, this attrition was still below the three months ended March 31, 2021. Occupancy within our Hospitality segment (including Gaylord National for the period it was closed) has increased each sequential quarter in 2021, from 16.4% in the first quarter of 2021 to 54.5% in the third quarter of 2021. Average daily rate (“ADR”) in the three months ended September 30, 2021 was $216.79, which is an increase of 15.2% when compared to the three months ended September 30, 2019 (pre-pandemic). In addition, organic group bookings (defined as bookings unrelated to a COVID-19 pandemic rebooking) made up 83% of group room nights booked in the three months ended September 30, 2021, compared to 56% in the three months ended June 30, 2021, 44% in the three months ended March 31, 2021, 26% in the three months ended December 31, 2020 and 23% in the three months ended September 30,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The aforementioned rebooking efforts have resulted in contracted business for 2022 that approaches or exceeds pre-pandemic levels based on the pacing of bookings in 2018 for 2019. Our group ADR on-the-books for the next five years exceeds group ADR on-the-books in 2018 for comparable future periods, and this combined impact yields projected group rooms revenue on-the-books for future years that we estimate will be at or above pre-pandemic levels.</w:t>
      </w:r>
    </w:p>
    <w:p>
      <w:pPr>
        <w:spacing w:after="0" w:line="130"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For additional discussion of the impact of the COVID-19 pandemic on our business, see “Risk Factors” under Part I, Item 1A of our Annual Report on Form 10-K for the year ended December 31, 2020.</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185"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In May 2021, we purchased the remaining 35% ownership interest in the Gaylord Rockies joint venture. Prior to May 2021, we had a 65% ownership interest in the Gaylord Rockies joint venture, and our management concluded that the Company was the primary beneficiary of this previous variable interest entity (“VIE”). The financial position and results of operations of this previous VIE have been consolidated in the accompanying condensed consolidated financial statements included herein. We also purchased 130 acres of undeveloped land, adjacent to Gaylord Rockies in May 2021.</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185"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In 2018, we began construction of a $158 million expansion of Gaylord Palms, which includes an additional 302 guest rooms and 96,000 square feet of meeting space, an expanded resort pool and events lawn, and a new multi-level parking structure. The expansion was completed in April 2021.</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Circle</w:t>
      </w:r>
    </w:p>
    <w:p>
      <w:pPr>
        <w:spacing w:after="0" w:line="198"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In 2019, we acquired a 50% equity interest in Circle, and we have made $19.5 million in capital contributions through September 30, 2021. In addition, we intend to contribute up to an additional $1.5 million in fourth quarter 2021. Circle launched its broadcast network on January 1, 2020, with sixteen original shows and two major distribution partnerships. As of October 2021, Circle is available to more than 70% of U.S. television households via over-the-air and cable television and is available through multiple online streaming services covering over 164 million monthly average users.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Note Refinancing</w:t>
      </w:r>
    </w:p>
    <w:p>
      <w:pPr>
        <w:spacing w:after="0" w:line="18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On February 9, 2021, we commenced a cash tender offer for any and all outstanding $400 million 5% senior notes due 2023 (the “$400 Million 5% Senior Notes”) at a redemption price of $1,005.00 per $1,000 principal amount. Pursuant to the tender offer, $161.9 million aggregate principal amount of the $400 Million 5% Senior Notes were validly tendered. The Company used a portion of the proceeds from the issuance of the $600 million 4.50% senior notes discussed below to fund the tender offer.</w:t>
      </w:r>
    </w:p>
    <w:p>
      <w:pPr>
        <w:spacing w:after="0" w:line="161"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 accordance with the indenture governing the $400 Million 5% Senior Notes, subsequent to expiration of the tender offer, in February 2021 we gave irrevocable notice of the redemption of all remaining $400 Million 5% Senior Notes not tendered in the tender offer. The redemption and cancellation of the remaining $400 Million 5% Senior Notes was completed April 15, 2021. We used a portion of the proceeds from the issuance of the $600 million 4.50% senior notes discussed below to fund the redemption.</w:t>
      </w:r>
    </w:p>
    <w:p>
      <w:pPr>
        <w:spacing w:after="0" w:line="147"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As a result of the Company’s purchase of tendered $400 Million 5% Senior Notes and the redemption of all untendered $400 Million Senior Notes, we recognized a loss on extinguishment of debt of $2.9 million in the nine months ended September 30, 2021.</w:t>
      </w:r>
    </w:p>
    <w:p>
      <w:pPr>
        <w:spacing w:after="0" w:line="184"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On February 17, 2021, the Operating Partnership and Finco (collectively, the “Issuers”) completed the private placement of $600 million in aggregate principal amount of 4.50% senior notes due 2029 (the “$600 Million 4.50% Senior Notes”). The aggregate net proceeds from the issuance of the $600 Million 4.50% Senior Notes totaled approximately $591 million, after deducting the initial purchasers’ discounts, commissions and offering expenses. After using a significant portion of these net proceeds to tender and redeem the $400 Million 5% Senior Notes, we used the net proceeds to repay all of the amounts outstanding under our $700 million revolving credit facility and for general corporate purposes.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Potential Acquisition of Block 21</w:t>
      </w:r>
    </w:p>
    <w:p>
      <w:pPr>
        <w:spacing w:after="0" w:line="198"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In October 2021, we entered into an agreement to purchase Block 21, a mixed-use entertainment, lodging, office, and retail complex located in Austin, Texas, for $260 million, which includes the assumption of approximately $138 million of existing mortgage debt. In addition, we will receive approximately $11 million of existing cash reserves attributable to the assets. Block 21 is the home of the Austin City Limits Live at The Moody Theater (“ACL Live”), a 2,750-seat entertainment venue that serves as the filming location for the Austin City Limits television series. The Block 21 complex also includes the 251-room W Austin Hotel, the 3TEN at ACL Live club and approximately 53,000 square feet of other Class A commercial space. The acquisition is expected to close near the end of the fourth quarter 2021, subject to customary closing conditions including, but not limited to, consent to our assumption of the existing mortgage loan by the loan servicer and the consent of the hotel property manager, an affiliate of Marriott, to our assignment and assumption of the existing hotel management agreement. We have the capacity to finance the transaction under our revolving credit facility and may use cash on hand, including from any sales of stock under our at-the-market (“ATM”) equity distribution agreement (the “ATM Agreement”), and will make a determination of funding sources prior to closing.</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Long-Term Strategic Plan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goal is to be the nation’s premier hospitality REIT for group-oriented meeting hotel assets in urban and resort markets.</w:t>
      </w:r>
    </w:p>
    <w:p>
      <w:pPr>
        <w:spacing w:after="0" w:line="221"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i w:val="1"/>
          <w:iCs w:val="1"/>
          <w:color w:val="auto"/>
        </w:rPr>
        <w:t>Existing Hotel Property Design</w:t>
      </w:r>
      <w:r>
        <w:rPr>
          <w:rFonts w:ascii="Arial" w:cs="Arial" w:eastAsia="Arial" w:hAnsi="Arial"/>
          <w:sz w:val="17"/>
          <w:szCs w:val="17"/>
          <w:color w:val="auto"/>
        </w:rPr>
        <w:t>. Our Gaylord Hotels properties focus on the large group meetings market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36"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i w:val="1"/>
          <w:iCs w:val="1"/>
          <w:color w:val="auto"/>
        </w:rPr>
        <w:t>Expansion of Hotel Asset Portfolio</w:t>
      </w:r>
      <w:r>
        <w:rPr>
          <w:rFonts w:ascii="Arial" w:cs="Arial" w:eastAsia="Arial" w:hAnsi="Arial"/>
          <w:sz w:val="16"/>
          <w:szCs w:val="16"/>
          <w:color w:val="auto"/>
        </w:rPr>
        <w:t>. Part of our long-term growth strategy includes acquisitions of other hotels, particularly</w:t>
      </w:r>
      <w:r>
        <w:rPr>
          <w:rFonts w:ascii="Arial" w:cs="Arial" w:eastAsia="Arial" w:hAnsi="Arial"/>
          <w:sz w:val="16"/>
          <w:szCs w:val="16"/>
          <w:i w:val="1"/>
          <w:iCs w:val="1"/>
          <w:color w:val="auto"/>
        </w:rPr>
        <w:t xml:space="preserve"> </w:t>
      </w:r>
      <w:r>
        <w:rPr>
          <w:rFonts w:ascii="Arial" w:cs="Arial" w:eastAsia="Arial" w:hAnsi="Arial"/>
          <w:sz w:val="16"/>
          <w:szCs w:val="16"/>
          <w:color w:val="auto"/>
        </w:rPr>
        <w:t>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do not view independent, large-scale development of resort and convention hotels as a part of our long-term growth strategy.</w:t>
      </w:r>
    </w:p>
    <w:p>
      <w:pPr>
        <w:spacing w:after="0" w:line="126"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i w:val="1"/>
          <w:iCs w:val="1"/>
          <w:color w:val="auto"/>
        </w:rPr>
        <w:t>Leverage Brand Name Awareness</w:t>
      </w:r>
      <w:r>
        <w:rPr>
          <w:rFonts w:ascii="Arial" w:cs="Arial" w:eastAsia="Arial" w:hAnsi="Arial"/>
          <w:sz w:val="17"/>
          <w:szCs w:val="17"/>
          <w:color w:val="auto"/>
        </w:rPr>
        <w:t>. We believe the Grand Ole Opry is one of the most recognized entertainment brands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Ole Red locations, as well as Circle.</w:t>
      </w:r>
    </w:p>
    <w:p>
      <w:pPr>
        <w:spacing w:after="0" w:line="151" w:lineRule="exact"/>
        <w:rPr>
          <w:sz w:val="20"/>
          <w:szCs w:val="20"/>
          <w:color w:val="auto"/>
        </w:rPr>
      </w:pPr>
    </w:p>
    <w:p>
      <w:pPr>
        <w:ind w:left="60" w:right="339"/>
        <w:spacing w:after="0" w:line="273" w:lineRule="auto"/>
        <w:rPr>
          <w:sz w:val="20"/>
          <w:szCs w:val="20"/>
          <w:color w:val="auto"/>
        </w:rPr>
      </w:pPr>
      <w:r>
        <w:rPr>
          <w:rFonts w:ascii="Arial" w:cs="Arial" w:eastAsia="Arial" w:hAnsi="Arial"/>
          <w:sz w:val="17"/>
          <w:szCs w:val="17"/>
          <w:i w:val="1"/>
          <w:iCs w:val="1"/>
          <w:color w:val="auto"/>
        </w:rPr>
        <w:t>Short-Term Capital Allocation</w:t>
      </w:r>
      <w:r>
        <w:rPr>
          <w:rFonts w:ascii="Arial" w:cs="Arial" w:eastAsia="Arial" w:hAnsi="Arial"/>
          <w:sz w:val="17"/>
          <w:szCs w:val="17"/>
          <w:color w:val="auto"/>
        </w:rPr>
        <w:t>. Prior to the COVID-19 pandemic, our short-term capital allocation strategy focused on</w:t>
      </w:r>
      <w:r>
        <w:rPr>
          <w:rFonts w:ascii="Arial" w:cs="Arial" w:eastAsia="Arial" w:hAnsi="Arial"/>
          <w:sz w:val="17"/>
          <w:szCs w:val="17"/>
          <w:i w:val="1"/>
          <w:iCs w:val="1"/>
          <w:color w:val="auto"/>
        </w:rPr>
        <w:t xml:space="preserve"> </w:t>
      </w:r>
      <w:r>
        <w:rPr>
          <w:rFonts w:ascii="Arial" w:cs="Arial" w:eastAsia="Arial" w:hAnsi="Arial"/>
          <w:sz w:val="17"/>
          <w:szCs w:val="17"/>
          <w:color w:val="auto"/>
        </w:rPr>
        <w:t>returning capital to stockholders through the payment of dividends, in addition to investing in our assets and operations. However, in March 2020, we suspended our regular quarterly dividend payments. Our board of directors will consider a future dividend as permitted by our credit agreement. Any future dividend is subject to our board of directors’ determinations as to the amount and timing thereof. We are currently focused on managing our business through the COVID-19 pandemic and are limiting our non-essential capital expenditures.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85"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and the AC Hotel.</w:t>
      </w:r>
    </w:p>
    <w:p>
      <w:pPr>
        <w:spacing w:after="0" w:line="184" w:lineRule="exact"/>
        <w:rPr>
          <w:rFonts w:ascii="Arial" w:cs="Arial" w:eastAsia="Arial" w:hAnsi="Arial"/>
          <w:sz w:val="18"/>
          <w:szCs w:val="18"/>
          <w:color w:val="auto"/>
        </w:rPr>
      </w:pPr>
    </w:p>
    <w:p>
      <w:pPr>
        <w:ind w:left="720" w:right="65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our equity investment in Circle, and our other Nashville-based attractions.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18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For the three months and nine months ended September 30, 2021 and 2020, our total revenues were divided among these business segments as follows:</w:t>
      </w:r>
    </w:p>
    <w:p>
      <w:pPr>
        <w:spacing w:after="0" w:line="1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w w:val="95"/>
              </w:rPr>
              <w:t>Three Months Ended</w:t>
            </w:r>
          </w:p>
        </w:tc>
        <w:tc>
          <w:tcPr>
            <w:tcW w:w="166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176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7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17 %</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18 %</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8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As described above, our hotels and entertainment assets were closed for a period of time in 2020 and Gaylord National reopened on July 1, 2021. While facilities were closed, we recorded negligible revenue, and we incurred expenses as described below under “Operating Results – Detailed Segment Financial Information.” Our short-term strategy is to safely operate our businesses through the COVID-19 pandemic, work with Marriot to rebook business in our hotels, and pursue cost containment strategies. While all of our assets have reopened and are operating, there is significant uncertainty surrounding the full extent of the impact of the COVID-19 pandemic on our future results of operations and financial position.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98"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47"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hotel occupancy – a volume indicator calculated by dividing total rooms sold by total rooms available;</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21" w:lineRule="exact"/>
        <w:rPr>
          <w:rFonts w:ascii="Arial" w:cs="Arial" w:eastAsia="Arial" w:hAnsi="Arial"/>
          <w:sz w:val="16"/>
          <w:szCs w:val="16"/>
          <w:color w:val="auto"/>
        </w:rPr>
      </w:pPr>
    </w:p>
    <w:p>
      <w:pPr>
        <w:ind w:left="720" w:right="5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129" w:lineRule="exact"/>
        <w:rPr>
          <w:rFonts w:ascii="Arial" w:cs="Arial" w:eastAsia="Arial" w:hAnsi="Arial"/>
          <w:sz w:val="18"/>
          <w:szCs w:val="18"/>
          <w:color w:val="auto"/>
        </w:rPr>
      </w:pPr>
    </w:p>
    <w:p>
      <w:pPr>
        <w:ind w:left="720" w:right="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43" w:lineRule="exact"/>
        <w:rPr>
          <w:rFonts w:ascii="Arial" w:cs="Arial" w:eastAsia="Arial" w:hAnsi="Arial"/>
          <w:sz w:val="18"/>
          <w:szCs w:val="18"/>
          <w:color w:val="auto"/>
        </w:rPr>
      </w:pPr>
    </w:p>
    <w:p>
      <w:pPr>
        <w:ind w:left="720" w:right="25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definite group room nights booked – a volume indicator which represents the total number of definite group bookings for future room nights at our hotels confirmed during the applicable period, net of cancellations.</w:t>
      </w:r>
    </w:p>
    <w:p>
      <w:pPr>
        <w:spacing w:after="0" w:line="97" w:lineRule="exact"/>
        <w:rPr>
          <w:sz w:val="20"/>
          <w:szCs w:val="20"/>
          <w:color w:val="auto"/>
        </w:rPr>
      </w:pPr>
    </w:p>
    <w:p>
      <w:pPr>
        <w:ind w:left="60" w:right="279"/>
        <w:spacing w:after="0" w:line="286" w:lineRule="auto"/>
        <w:rPr>
          <w:sz w:val="20"/>
          <w:szCs w:val="20"/>
          <w:color w:val="auto"/>
        </w:rPr>
      </w:pPr>
      <w:r>
        <w:rPr>
          <w:rFonts w:ascii="Arial" w:cs="Arial" w:eastAsia="Arial" w:hAnsi="Arial"/>
          <w:sz w:val="17"/>
          <w:szCs w:val="17"/>
          <w:color w:val="auto"/>
        </w:rPr>
        <w:t>For the three months and nine months ended September 30, 2021 and 2020, the method of calculation of these indicators has not been changed as a result of the COVID-19 pandemic and the resulting hotel closures and is consistent with historical periods. As such, performance metrics include closed hotel room nights available.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97" w:lineRule="exact"/>
        <w:rPr>
          <w:sz w:val="20"/>
          <w:szCs w:val="20"/>
          <w:color w:val="auto"/>
        </w:rPr>
      </w:pPr>
    </w:p>
    <w:p>
      <w:pPr>
        <w:jc w:val="both"/>
        <w:ind w:left="720" w:right="15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Before Interest Expense, Income Taxes, Depreciation and Amortization for Real Estate (“EBITDA</w:t>
      </w:r>
      <w:r>
        <w:rPr>
          <w:rFonts w:ascii="Arial" w:cs="Arial" w:eastAsia="Arial" w:hAnsi="Arial"/>
          <w:sz w:val="18"/>
          <w:szCs w:val="18"/>
          <w:i w:val="1"/>
          <w:iCs w:val="1"/>
          <w:color w:val="auto"/>
        </w:rPr>
        <w:t>re</w:t>
      </w:r>
      <w:r>
        <w:rPr>
          <w:rFonts w:ascii="Arial" w:cs="Arial" w:eastAsia="Arial" w:hAnsi="Arial"/>
          <w:sz w:val="18"/>
          <w:szCs w:val="18"/>
          <w:color w:val="auto"/>
        </w:rPr>
        <w: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 and</w:t>
      </w:r>
    </w:p>
    <w:p>
      <w:pPr>
        <w:spacing w:after="0" w:line="143"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Funds From Operations (“FFO”) available to common shareholders and unit holders and Adjusted FFO available to common shareholders and unitholders.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“Non-GAAP Financial Measures” below for further discussion.</w:t>
      </w:r>
    </w:p>
    <w:p>
      <w:pPr>
        <w:spacing w:after="0" w:line="198"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The closure, limited reopening and pandemic-constrained business levels of our Gaylord Hotels properties have resulted in the significant decrease in performance reflected in these key performance indicators and non-GAAP financial measures for the three months and nine months ended September 30, 2021 and 2020, as compared to historical periods.</w:t>
      </w:r>
    </w:p>
    <w:p>
      <w:pPr>
        <w:spacing w:after="0" w:line="108"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98" w:lineRule="exact"/>
        <w:rPr>
          <w:sz w:val="20"/>
          <w:szCs w:val="20"/>
          <w:color w:val="auto"/>
        </w:rPr>
      </w:pPr>
    </w:p>
    <w:p>
      <w:pPr>
        <w:ind w:left="60" w:right="299"/>
        <w:spacing w:after="0" w:line="286" w:lineRule="auto"/>
        <w:rPr>
          <w:sz w:val="20"/>
          <w:szCs w:val="20"/>
          <w:color w:val="auto"/>
        </w:rPr>
      </w:pPr>
      <w:r>
        <w:rPr>
          <w:rFonts w:ascii="Arial" w:cs="Arial" w:eastAsia="Arial" w:hAnsi="Arial"/>
          <w:sz w:val="17"/>
          <w:szCs w:val="17"/>
          <w:color w:val="auto"/>
        </w:rPr>
        <w:t>The following table contains our unaudited selected summary financial data for the three months and nine months ended September 30, 2021 and 2020. The table also shows the percentage relationships to total revenues and, in the case of segment operating income, its relationship to segment revenues (in thousands,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6"/>
          </w:tcPr>
          <w:p>
            <w:pPr>
              <w:jc w:val="right"/>
              <w:ind w:right="348"/>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6"/>
          </w:tcPr>
          <w:p>
            <w:pPr>
              <w:jc w:val="right"/>
              <w:ind w:right="368"/>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right"/>
              <w:ind w:right="148"/>
              <w:spacing w:after="0"/>
              <w:rPr>
                <w:sz w:val="20"/>
                <w:szCs w:val="20"/>
                <w:color w:val="auto"/>
              </w:rPr>
            </w:pPr>
            <w:r>
              <w:rPr>
                <w:rFonts w:ascii="Arial" w:cs="Arial" w:eastAsia="Arial" w:hAnsi="Arial"/>
                <w:sz w:val="14"/>
                <w:szCs w:val="14"/>
                <w:b w:val="1"/>
                <w:bCs w:val="1"/>
                <w:color w:val="auto"/>
                <w:w w:val="98"/>
              </w:rPr>
              <w:t>Three Months Ended September 30,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0"/>
          </w:tcPr>
          <w:p>
            <w:pPr>
              <w:jc w:val="right"/>
              <w:ind w:right="168"/>
              <w:spacing w:after="0"/>
              <w:rPr>
                <w:sz w:val="20"/>
                <w:szCs w:val="20"/>
                <w:color w:val="auto"/>
              </w:rPr>
            </w:pPr>
            <w:r>
              <w:rPr>
                <w:rFonts w:ascii="Arial" w:cs="Arial" w:eastAsia="Arial" w:hAnsi="Arial"/>
                <w:sz w:val="14"/>
                <w:szCs w:val="14"/>
                <w:b w:val="1"/>
                <w:bCs w:val="1"/>
                <w:color w:val="auto"/>
                <w:w w:val="98"/>
              </w:rPr>
              <w:t>Nine Months Ended September 30,</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gridSpan w:val="2"/>
          </w:tcPr>
          <w:p>
            <w:pPr>
              <w:jc w:val="center"/>
              <w:ind w:left="10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gridSpan w:val="2"/>
          </w:tcPr>
          <w:p>
            <w:pPr>
              <w:jc w:val="center"/>
              <w:ind w:left="12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gridSpan w:val="2"/>
          </w:tcPr>
          <w:p>
            <w:pPr>
              <w:jc w:val="center"/>
              <w:ind w:left="12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gridSpan w:val="2"/>
          </w:tcPr>
          <w:p>
            <w:pPr>
              <w:jc w:val="center"/>
              <w:ind w:left="10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2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62"/>
        </w:trPr>
        <w:tc>
          <w:tcPr>
            <w:tcW w:w="40" w:type="dxa"/>
            <w:vAlign w:val="bottom"/>
          </w:tcPr>
          <w:p>
            <w:pPr>
              <w:spacing w:after="0"/>
              <w:rPr>
                <w:sz w:val="14"/>
                <w:szCs w:val="14"/>
                <w:color w:val="auto"/>
              </w:rPr>
            </w:pPr>
          </w:p>
        </w:tc>
        <w:tc>
          <w:tcPr>
            <w:tcW w:w="3180" w:type="dxa"/>
            <w:vAlign w:val="bottom"/>
            <w:gridSpan w:val="2"/>
          </w:tcPr>
          <w:p>
            <w:pPr>
              <w:ind w:left="80"/>
              <w:spacing w:after="0"/>
              <w:rPr>
                <w:sz w:val="20"/>
                <w:szCs w:val="20"/>
                <w:color w:val="auto"/>
              </w:rPr>
            </w:pPr>
            <w:r>
              <w:rPr>
                <w:rFonts w:ascii="Arial" w:cs="Arial" w:eastAsia="Arial" w:hAnsi="Arial"/>
                <w:sz w:val="14"/>
                <w:szCs w:val="14"/>
                <w:color w:val="auto"/>
              </w:rPr>
              <w:t>Rooms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113,192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36.9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24,487</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34.9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203,391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36.2</w:t>
            </w:r>
          </w:p>
        </w:tc>
        <w:tc>
          <w:tcPr>
            <w:tcW w:w="280" w:type="dxa"/>
            <w:vAlign w:val="bottom"/>
            <w:gridSpan w:val="4"/>
          </w:tcPr>
          <w:p>
            <w:pPr>
              <w:jc w:val="right"/>
              <w:spacing w:after="0"/>
              <w:rPr>
                <w:sz w:val="20"/>
                <w:szCs w:val="20"/>
                <w:color w:val="auto"/>
              </w:rPr>
            </w:pPr>
            <w:r>
              <w:rPr>
                <w:rFonts w:ascii="Arial" w:cs="Arial" w:eastAsia="Arial" w:hAnsi="Arial"/>
                <w:sz w:val="14"/>
                <w:szCs w:val="14"/>
                <w:color w:val="auto"/>
                <w:w w:val="99"/>
              </w:rPr>
              <w:t>% $</w:t>
            </w:r>
          </w:p>
        </w:tc>
        <w:tc>
          <w:tcPr>
            <w:tcW w:w="600" w:type="dxa"/>
            <w:vAlign w:val="bottom"/>
          </w:tcPr>
          <w:p>
            <w:pPr>
              <w:jc w:val="right"/>
              <w:spacing w:after="0"/>
              <w:rPr>
                <w:sz w:val="20"/>
                <w:szCs w:val="20"/>
                <w:color w:val="auto"/>
              </w:rPr>
            </w:pPr>
            <w:r>
              <w:rPr>
                <w:rFonts w:ascii="Arial" w:cs="Arial" w:eastAsia="Arial" w:hAnsi="Arial"/>
                <w:sz w:val="14"/>
                <w:szCs w:val="14"/>
                <w:color w:val="auto"/>
              </w:rPr>
              <w:t>133,417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33.5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Food and beverage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105,803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169,597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tcPr>
          <w:p>
            <w:pPr>
              <w:spacing w:after="0"/>
              <w:rPr>
                <w:sz w:val="14"/>
                <w:szCs w:val="14"/>
                <w:color w:val="auto"/>
              </w:rPr>
            </w:pPr>
          </w:p>
        </w:tc>
        <w:tc>
          <w:tcPr>
            <w:tcW w:w="3180" w:type="dxa"/>
            <w:vAlign w:val="bottom"/>
            <w:gridSpan w:val="2"/>
          </w:tcPr>
          <w:p>
            <w:pPr>
              <w:ind w:left="80"/>
              <w:spacing w:after="0"/>
              <w:rPr>
                <w:sz w:val="20"/>
                <w:szCs w:val="20"/>
                <w:color w:val="auto"/>
              </w:rPr>
            </w:pPr>
            <w:r>
              <w:rPr>
                <w:rFonts w:ascii="Arial" w:cs="Arial" w:eastAsia="Arial" w:hAnsi="Arial"/>
                <w:sz w:val="14"/>
                <w:szCs w:val="14"/>
                <w:color w:val="auto"/>
              </w:rPr>
              <w:t>Other hotel revenue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38,858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17,274</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24.6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90,355</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57,060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Entertainment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98,599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2"/>
        </w:trPr>
        <w:tc>
          <w:tcPr>
            <w:tcW w:w="4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gridSpan w:val="2"/>
          </w:tcPr>
          <w:p>
            <w:pPr>
              <w:ind w:left="180"/>
              <w:spacing w:after="0" w:line="142" w:lineRule="exact"/>
              <w:rPr>
                <w:sz w:val="20"/>
                <w:szCs w:val="20"/>
                <w:color w:val="auto"/>
              </w:rPr>
            </w:pPr>
            <w:r>
              <w:rPr>
                <w:rFonts w:ascii="Arial" w:cs="Arial" w:eastAsia="Arial" w:hAnsi="Arial"/>
                <w:sz w:val="14"/>
                <w:szCs w:val="14"/>
                <w:color w:val="auto"/>
              </w:rPr>
              <w:t>Total revenues</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306,906</w:t>
            </w:r>
          </w:p>
        </w:tc>
        <w:tc>
          <w:tcPr>
            <w:tcW w:w="1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70,249</w:t>
            </w:r>
          </w:p>
        </w:tc>
        <w:tc>
          <w:tcPr>
            <w:tcW w:w="1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561,942</w:t>
            </w:r>
          </w:p>
        </w:tc>
        <w:tc>
          <w:tcPr>
            <w:tcW w:w="1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397,960</w:t>
            </w:r>
          </w:p>
        </w:tc>
        <w:tc>
          <w:tcPr>
            <w:tcW w:w="1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32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40" w:type="dxa"/>
            <w:vAlign w:val="bottom"/>
          </w:tcPr>
          <w:p>
            <w:pPr>
              <w:spacing w:after="0"/>
              <w:rPr>
                <w:sz w:val="14"/>
                <w:szCs w:val="14"/>
                <w:color w:val="auto"/>
              </w:rPr>
            </w:pPr>
          </w:p>
        </w:tc>
        <w:tc>
          <w:tcPr>
            <w:tcW w:w="3180" w:type="dxa"/>
            <w:vAlign w:val="bottom"/>
            <w:gridSpan w:val="2"/>
          </w:tcPr>
          <w:p>
            <w:pPr>
              <w:ind w:left="80"/>
              <w:spacing w:after="0"/>
              <w:rPr>
                <w:sz w:val="20"/>
                <w:szCs w:val="20"/>
                <w:color w:val="auto"/>
              </w:rPr>
            </w:pPr>
            <w:r>
              <w:rPr>
                <w:rFonts w:ascii="Arial" w:cs="Arial" w:eastAsia="Arial" w:hAnsi="Arial"/>
                <w:sz w:val="14"/>
                <w:szCs w:val="14"/>
                <w:color w:val="auto"/>
              </w:rPr>
              <w:t>Rooms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30,802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10,280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14.6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55,318</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47,060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11.8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Food and beverage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118,282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114,935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tcPr>
          <w:p>
            <w:pPr>
              <w:spacing w:after="0"/>
              <w:rPr>
                <w:sz w:val="14"/>
                <w:szCs w:val="14"/>
                <w:color w:val="auto"/>
              </w:rPr>
            </w:pPr>
          </w:p>
        </w:tc>
        <w:tc>
          <w:tcPr>
            <w:tcW w:w="3180" w:type="dxa"/>
            <w:vAlign w:val="bottom"/>
            <w:gridSpan w:val="2"/>
          </w:tcPr>
          <w:p>
            <w:pPr>
              <w:ind w:left="80"/>
              <w:spacing w:after="0"/>
              <w:rPr>
                <w:sz w:val="20"/>
                <w:szCs w:val="20"/>
                <w:color w:val="auto"/>
              </w:rPr>
            </w:pPr>
            <w:r>
              <w:rPr>
                <w:rFonts w:ascii="Arial" w:cs="Arial" w:eastAsia="Arial" w:hAnsi="Arial"/>
                <w:sz w:val="14"/>
                <w:szCs w:val="14"/>
                <w:color w:val="auto"/>
              </w:rPr>
              <w:t>Other hotel expenses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80,203</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56,961</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81.1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196,125</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34.9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192,480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48.4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Hotel management fees, net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tcPr>
          <w:p>
            <w:pPr>
              <w:spacing w:after="0"/>
              <w:rPr>
                <w:sz w:val="14"/>
                <w:szCs w:val="14"/>
                <w:color w:val="auto"/>
              </w:rPr>
            </w:pPr>
          </w:p>
        </w:tc>
        <w:tc>
          <w:tcPr>
            <w:tcW w:w="3180" w:type="dxa"/>
            <w:vAlign w:val="bottom"/>
            <w:gridSpan w:val="2"/>
          </w:tcPr>
          <w:p>
            <w:pPr>
              <w:ind w:left="80"/>
              <w:spacing w:after="0"/>
              <w:rPr>
                <w:sz w:val="20"/>
                <w:szCs w:val="20"/>
                <w:color w:val="auto"/>
              </w:rPr>
            </w:pPr>
            <w:r>
              <w:rPr>
                <w:rFonts w:ascii="Arial" w:cs="Arial" w:eastAsia="Arial" w:hAnsi="Arial"/>
                <w:sz w:val="14"/>
                <w:szCs w:val="14"/>
                <w:color w:val="auto"/>
              </w:rPr>
              <w:t>Entertainment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33,467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10.9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17,343</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24.7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77,797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13.8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60,146</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15.1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Corporate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26,922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tcPr>
          <w:p>
            <w:pPr>
              <w:spacing w:after="0"/>
              <w:rPr>
                <w:sz w:val="14"/>
                <w:szCs w:val="14"/>
                <w:color w:val="auto"/>
              </w:rPr>
            </w:pPr>
          </w:p>
        </w:tc>
        <w:tc>
          <w:tcPr>
            <w:tcW w:w="3180" w:type="dxa"/>
            <w:vAlign w:val="bottom"/>
            <w:gridSpan w:val="2"/>
          </w:tcPr>
          <w:p>
            <w:pPr>
              <w:ind w:left="80"/>
              <w:spacing w:after="0"/>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734</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1,597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Gain on sale of assets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62"/>
        </w:trPr>
        <w:tc>
          <w:tcPr>
            <w:tcW w:w="40" w:type="dxa"/>
            <w:vAlign w:val="bottom"/>
          </w:tcPr>
          <w:p>
            <w:pPr>
              <w:spacing w:after="0"/>
              <w:rPr>
                <w:sz w:val="14"/>
                <w:szCs w:val="14"/>
                <w:color w:val="auto"/>
              </w:rPr>
            </w:pPr>
          </w:p>
        </w:tc>
        <w:tc>
          <w:tcPr>
            <w:tcW w:w="3180" w:type="dxa"/>
            <w:vAlign w:val="bottom"/>
            <w:gridSpan w:val="2"/>
          </w:tcPr>
          <w:p>
            <w:pPr>
              <w:ind w:left="80"/>
              <w:spacing w:after="0"/>
              <w:rPr>
                <w:sz w:val="20"/>
                <w:szCs w:val="20"/>
                <w:color w:val="auto"/>
              </w:rPr>
            </w:pPr>
            <w:r>
              <w:rPr>
                <w:rFonts w:ascii="Arial" w:cs="Arial" w:eastAsia="Arial" w:hAnsi="Arial"/>
                <w:sz w:val="14"/>
                <w:szCs w:val="14"/>
                <w:color w:val="auto"/>
              </w:rPr>
              <w:t>Credit loss on held-to-maturity securities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7,811</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11.1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5"/>
          </w:tcPr>
          <w:p>
            <w:pPr>
              <w:jc w:val="right"/>
              <w:ind w:right="69"/>
              <w:spacing w:after="0"/>
              <w:rPr>
                <w:sz w:val="20"/>
                <w:szCs w:val="20"/>
                <w:color w:val="auto"/>
              </w:rPr>
            </w:pPr>
            <w:r>
              <w:rPr>
                <w:rFonts w:ascii="Arial" w:cs="Arial" w:eastAsia="Arial" w:hAnsi="Arial"/>
                <w:sz w:val="14"/>
                <w:szCs w:val="14"/>
                <w:color w:val="auto"/>
              </w:rPr>
              <w:t>— %</w:t>
            </w:r>
          </w:p>
        </w:tc>
        <w:tc>
          <w:tcPr>
            <w:tcW w:w="600" w:type="dxa"/>
            <w:vAlign w:val="bottom"/>
          </w:tcPr>
          <w:p>
            <w:pPr>
              <w:jc w:val="right"/>
              <w:spacing w:after="0"/>
              <w:rPr>
                <w:sz w:val="20"/>
                <w:szCs w:val="20"/>
                <w:color w:val="auto"/>
              </w:rPr>
            </w:pPr>
            <w:r>
              <w:rPr>
                <w:rFonts w:ascii="Arial" w:cs="Arial" w:eastAsia="Arial" w:hAnsi="Arial"/>
                <w:sz w:val="14"/>
                <w:szCs w:val="14"/>
                <w:color w:val="auto"/>
              </w:rPr>
              <w:t>32,784</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40" w:type="dxa"/>
            <w:vAlign w:val="bottom"/>
            <w:shd w:val="clear" w:color="auto" w:fill="CCEEFF"/>
          </w:tcPr>
          <w:p>
            <w:pPr>
              <w:spacing w:after="0"/>
              <w:rPr>
                <w:sz w:val="12"/>
                <w:szCs w:val="12"/>
                <w:color w:val="auto"/>
              </w:rPr>
            </w:pPr>
          </w:p>
        </w:tc>
        <w:tc>
          <w:tcPr>
            <w:tcW w:w="3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40" w:type="dxa"/>
            <w:vAlign w:val="bottom"/>
          </w:tcPr>
          <w:p>
            <w:pPr>
              <w:spacing w:after="0"/>
              <w:rPr>
                <w:sz w:val="14"/>
                <w:szCs w:val="14"/>
                <w:color w:val="auto"/>
              </w:rPr>
            </w:pPr>
          </w:p>
        </w:tc>
        <w:tc>
          <w:tcPr>
            <w:tcW w:w="3180" w:type="dxa"/>
            <w:vAlign w:val="bottom"/>
            <w:gridSpan w:val="2"/>
          </w:tcPr>
          <w:p>
            <w:pPr>
              <w:ind w:left="180"/>
              <w:spacing w:after="0"/>
              <w:rPr>
                <w:sz w:val="20"/>
                <w:szCs w:val="20"/>
                <w:color w:val="auto"/>
              </w:rPr>
            </w:pPr>
            <w:r>
              <w:rPr>
                <w:rFonts w:ascii="Arial" w:cs="Arial" w:eastAsia="Arial" w:hAnsi="Arial"/>
                <w:sz w:val="14"/>
                <w:szCs w:val="14"/>
                <w:color w:val="auto"/>
              </w:rPr>
              <w:t>Hospitality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52,020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16.9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49,310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70.2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151,655</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27.0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148,667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37.4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Entertainment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Corporate and Other</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0.2</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1,698</w:t>
            </w:r>
          </w:p>
        </w:tc>
        <w:tc>
          <w:tcPr>
            <w:tcW w:w="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0.3</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2,073</w:t>
            </w: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r>
      <w:tr>
        <w:trPr>
          <w:trHeight w:val="142"/>
        </w:trPr>
        <w:tc>
          <w:tcPr>
            <w:tcW w:w="40" w:type="dxa"/>
            <w:vAlign w:val="bottom"/>
            <w:shd w:val="clear" w:color="auto" w:fill="CCEEFF"/>
          </w:tcPr>
          <w:p>
            <w:pPr>
              <w:spacing w:after="0"/>
              <w:rPr>
                <w:sz w:val="12"/>
                <w:szCs w:val="12"/>
                <w:color w:val="auto"/>
              </w:rPr>
            </w:pPr>
          </w:p>
        </w:tc>
        <w:tc>
          <w:tcPr>
            <w:tcW w:w="318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depreciation and amortization</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56,093</w:t>
            </w: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18.3</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53,876</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76.7</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164,081</w:t>
            </w:r>
          </w:p>
        </w:tc>
        <w:tc>
          <w:tcPr>
            <w:tcW w:w="5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29.2</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161,232</w:t>
            </w: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40.5</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2"/>
        </w:trPr>
        <w:tc>
          <w:tcPr>
            <w:tcW w:w="4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gridSpan w:val="2"/>
          </w:tcPr>
          <w:p>
            <w:pPr>
              <w:ind w:left="180"/>
              <w:spacing w:after="0" w:line="142" w:lineRule="exact"/>
              <w:rPr>
                <w:sz w:val="20"/>
                <w:szCs w:val="20"/>
                <w:color w:val="auto"/>
              </w:rPr>
            </w:pPr>
            <w:r>
              <w:rPr>
                <w:rFonts w:ascii="Arial" w:cs="Arial" w:eastAsia="Arial" w:hAnsi="Arial"/>
                <w:sz w:val="14"/>
                <w:szCs w:val="14"/>
                <w:color w:val="auto"/>
              </w:rPr>
              <w:t>Total operating expenses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281,211</w:t>
            </w:r>
          </w:p>
        </w:tc>
        <w:tc>
          <w:tcPr>
            <w:tcW w:w="52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91.6</w:t>
            </w:r>
          </w:p>
        </w:tc>
        <w:tc>
          <w:tcPr>
            <w:tcW w:w="20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173,415</w:t>
            </w:r>
          </w:p>
        </w:tc>
        <w:tc>
          <w:tcPr>
            <w:tcW w:w="58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246.9</w:t>
            </w:r>
          </w:p>
        </w:tc>
        <w:tc>
          <w:tcPr>
            <w:tcW w:w="20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646,751</w:t>
            </w:r>
          </w:p>
        </w:tc>
        <w:tc>
          <w:tcPr>
            <w:tcW w:w="54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115.1</w:t>
            </w:r>
          </w:p>
        </w:tc>
        <w:tc>
          <w:tcPr>
            <w:tcW w:w="18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637,111</w:t>
            </w:r>
          </w:p>
        </w:tc>
        <w:tc>
          <w:tcPr>
            <w:tcW w:w="52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160.1</w:t>
            </w:r>
          </w:p>
        </w:tc>
        <w:tc>
          <w:tcPr>
            <w:tcW w:w="16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rPr>
              <w:t>%</w:t>
            </w:r>
          </w:p>
        </w:tc>
      </w:tr>
      <w:tr>
        <w:trPr>
          <w:trHeight w:val="142"/>
        </w:trPr>
        <w:tc>
          <w:tcPr>
            <w:tcW w:w="32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40" w:type="dxa"/>
            <w:vAlign w:val="bottom"/>
          </w:tcPr>
          <w:p>
            <w:pPr>
              <w:spacing w:after="0"/>
              <w:rPr>
                <w:sz w:val="14"/>
                <w:szCs w:val="14"/>
                <w:color w:val="auto"/>
              </w:rPr>
            </w:pPr>
          </w:p>
        </w:tc>
        <w:tc>
          <w:tcPr>
            <w:tcW w:w="3180" w:type="dxa"/>
            <w:vAlign w:val="bottom"/>
            <w:gridSpan w:val="2"/>
          </w:tcPr>
          <w:p>
            <w:pPr>
              <w:ind w:left="80"/>
              <w:spacing w:after="0"/>
              <w:rPr>
                <w:sz w:val="20"/>
                <w:szCs w:val="20"/>
                <w:color w:val="auto"/>
              </w:rPr>
            </w:pPr>
            <w:r>
              <w:rPr>
                <w:rFonts w:ascii="Arial" w:cs="Arial" w:eastAsia="Arial" w:hAnsi="Arial"/>
                <w:sz w:val="14"/>
                <w:szCs w:val="14"/>
                <w:color w:val="auto"/>
              </w:rPr>
              <w:t>Hospitality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24,716</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(78,322)</w:t>
            </w: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(135.1)%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(65,846)</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(154,633)</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(43.7)%</w:t>
            </w:r>
          </w:p>
        </w:tc>
      </w:tr>
      <w:tr>
        <w:trPr>
          <w:trHeight w:val="162"/>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Entertainment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(9,057)</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(26,632)</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(60.5)%</w:t>
            </w:r>
          </w:p>
        </w:tc>
      </w:tr>
      <w:tr>
        <w:trPr>
          <w:trHeight w:val="149"/>
        </w:trPr>
        <w:tc>
          <w:tcPr>
            <w:tcW w:w="40" w:type="dxa"/>
            <w:vAlign w:val="bottom"/>
          </w:tcPr>
          <w:p>
            <w:pPr>
              <w:spacing w:after="0"/>
              <w:rPr>
                <w:sz w:val="12"/>
                <w:szCs w:val="12"/>
                <w:color w:val="auto"/>
              </w:rPr>
            </w:pPr>
          </w:p>
        </w:tc>
        <w:tc>
          <w:tcPr>
            <w:tcW w:w="3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Corporate and 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9"/>
              </w:rPr>
              <w:t>(10,983)</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(7,880)</w:t>
            </w:r>
          </w:p>
        </w:tc>
        <w:tc>
          <w:tcPr>
            <w:tcW w:w="1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(28,620)</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(24,766)</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Preopening costs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62"/>
        </w:trPr>
        <w:tc>
          <w:tcPr>
            <w:tcW w:w="40" w:type="dxa"/>
            <w:vAlign w:val="bottom"/>
          </w:tcPr>
          <w:p>
            <w:pPr>
              <w:spacing w:after="0"/>
              <w:rPr>
                <w:sz w:val="14"/>
                <w:szCs w:val="14"/>
                <w:color w:val="auto"/>
              </w:rPr>
            </w:pPr>
          </w:p>
        </w:tc>
        <w:tc>
          <w:tcPr>
            <w:tcW w:w="3180" w:type="dxa"/>
            <w:vAlign w:val="bottom"/>
            <w:gridSpan w:val="2"/>
          </w:tcPr>
          <w:p>
            <w:pPr>
              <w:ind w:left="80"/>
              <w:spacing w:after="0"/>
              <w:rPr>
                <w:sz w:val="20"/>
                <w:szCs w:val="20"/>
                <w:color w:val="auto"/>
              </w:rPr>
            </w:pPr>
            <w:r>
              <w:rPr>
                <w:rFonts w:ascii="Arial" w:cs="Arial" w:eastAsia="Arial" w:hAnsi="Arial"/>
                <w:sz w:val="14"/>
                <w:szCs w:val="14"/>
                <w:color w:val="auto"/>
              </w:rPr>
              <w:t>Gain on sale of assets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317</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0.1 %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1,261</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0.3 %</w:t>
            </w:r>
          </w:p>
        </w:tc>
      </w:tr>
      <w:tr>
        <w:trPr>
          <w:trHeight w:val="162"/>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Credit loss on held-to-maturity securities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(7,811)</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5"/>
            <w:shd w:val="clear" w:color="auto" w:fill="CCEEFF"/>
          </w:tcPr>
          <w:p>
            <w:pPr>
              <w:jc w:val="right"/>
              <w:ind w:right="69"/>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(32,784)</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42"/>
        </w:trPr>
        <w:tc>
          <w:tcPr>
            <w:tcW w:w="40" w:type="dxa"/>
            <w:vAlign w:val="bottom"/>
          </w:tcPr>
          <w:p>
            <w:pPr>
              <w:spacing w:after="0"/>
              <w:rPr>
                <w:sz w:val="12"/>
                <w:szCs w:val="12"/>
                <w:color w:val="auto"/>
              </w:rPr>
            </w:pPr>
          </w:p>
        </w:tc>
        <w:tc>
          <w:tcPr>
            <w:tcW w:w="318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Total operating income (loss)</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25,695</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8.4</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(103,166)</w:t>
            </w:r>
          </w:p>
        </w:tc>
        <w:tc>
          <w:tcPr>
            <w:tcW w:w="78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(146.9)%</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(84,809)</w:t>
            </w:r>
          </w:p>
        </w:tc>
        <w:tc>
          <w:tcPr>
            <w:tcW w:w="72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(15.1)%</w:t>
            </w: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(239,151)</w:t>
            </w:r>
          </w:p>
        </w:tc>
        <w:tc>
          <w:tcPr>
            <w:tcW w:w="68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(60.1)%</w:t>
            </w:r>
          </w:p>
        </w:tc>
      </w:tr>
      <w:tr>
        <w:trPr>
          <w:trHeight w:val="148"/>
        </w:trPr>
        <w:tc>
          <w:tcPr>
            <w:tcW w:w="3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(32,413)</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(93,056)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(87,527)</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20" w:type="dxa"/>
            <w:vAlign w:val="bottom"/>
            <w:gridSpan w:val="3"/>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1,433</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1,540</w:t>
            </w:r>
          </w:p>
        </w:tc>
        <w:tc>
          <w:tcPr>
            <w:tcW w:w="1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4,254</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5,765</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 on extinguishment of debt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20" w:type="dxa"/>
            <w:vAlign w:val="bottom"/>
            <w:gridSpan w:val="3"/>
          </w:tcPr>
          <w:p>
            <w:pPr>
              <w:spacing w:after="0" w:line="149" w:lineRule="exact"/>
              <w:rPr>
                <w:sz w:val="20"/>
                <w:szCs w:val="20"/>
                <w:color w:val="auto"/>
              </w:rPr>
            </w:pPr>
            <w:r>
              <w:rPr>
                <w:rFonts w:ascii="Arial" w:cs="Arial" w:eastAsia="Arial" w:hAnsi="Arial"/>
                <w:sz w:val="14"/>
                <w:szCs w:val="14"/>
                <w:color w:val="auto"/>
              </w:rPr>
              <w:t>Loss from unconsolidated joint ventures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(2,312)</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(1,767)</w:t>
            </w:r>
          </w:p>
        </w:tc>
        <w:tc>
          <w:tcPr>
            <w:tcW w:w="1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(5,831)</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(5,482)</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gains and (losses),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1,729</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(14,831)</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220" w:type="dxa"/>
            <w:vAlign w:val="bottom"/>
            <w:tcBorders>
              <w:bottom w:val="single" w:sz="8" w:color="CCEEFF"/>
            </w:tcBorders>
            <w:gridSpan w:val="3"/>
          </w:tcPr>
          <w:p>
            <w:pPr>
              <w:spacing w:after="0" w:line="149" w:lineRule="exact"/>
              <w:rPr>
                <w:sz w:val="20"/>
                <w:szCs w:val="20"/>
                <w:color w:val="auto"/>
              </w:rPr>
            </w:pPr>
            <w:r>
              <w:rPr>
                <w:rFonts w:ascii="Arial" w:cs="Arial" w:eastAsia="Arial" w:hAnsi="Arial"/>
                <w:sz w:val="14"/>
                <w:szCs w:val="14"/>
                <w:color w:val="auto"/>
              </w:rPr>
              <w:t>Provision for income taxes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(1,063)</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(6,640)</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(27,046)</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rPr>
              <w:t>(A)</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42"/>
        </w:trPr>
        <w:tc>
          <w:tcPr>
            <w:tcW w:w="32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(8,607)</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(129,877)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(188,777)</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(368,272)</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0"/>
        </w:trPr>
        <w:tc>
          <w:tcPr>
            <w:tcW w:w="40" w:type="dxa"/>
            <w:vAlign w:val="bottom"/>
          </w:tcPr>
          <w:p>
            <w:pPr>
              <w:spacing w:after="0"/>
              <w:rPr>
                <w:sz w:val="11"/>
                <w:szCs w:val="11"/>
                <w:color w:val="auto"/>
              </w:rPr>
            </w:pPr>
          </w:p>
        </w:tc>
        <w:tc>
          <w:tcPr>
            <w:tcW w:w="3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Net loss attributable to noncontrolling interest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0" w:type="dxa"/>
            <w:vAlign w:val="bottom"/>
          </w:tcPr>
          <w:p>
            <w:pPr>
              <w:spacing w:after="0"/>
              <w:rPr>
                <w:sz w:val="14"/>
                <w:szCs w:val="14"/>
                <w:color w:val="auto"/>
              </w:rPr>
            </w:pPr>
          </w:p>
        </w:tc>
        <w:tc>
          <w:tcPr>
            <w:tcW w:w="3180" w:type="dxa"/>
            <w:vAlign w:val="bottom"/>
            <w:gridSpan w:val="2"/>
          </w:tcPr>
          <w:p>
            <w:pPr>
              <w:ind w:left="80"/>
              <w:spacing w:after="0"/>
              <w:rPr>
                <w:sz w:val="20"/>
                <w:szCs w:val="20"/>
                <w:color w:val="auto"/>
              </w:rPr>
            </w:pPr>
            <w:r>
              <w:rPr>
                <w:rFonts w:ascii="Arial" w:cs="Arial" w:eastAsia="Arial" w:hAnsi="Arial"/>
                <w:sz w:val="14"/>
                <w:szCs w:val="14"/>
                <w:color w:val="auto"/>
              </w:rPr>
              <w:t>consolidated joint venture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(A)</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11,893</w:t>
            </w:r>
          </w:p>
        </w:tc>
        <w:tc>
          <w:tcPr>
            <w:tcW w:w="1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rPr>
              <w:t>(A)</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16,501</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(A)</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30,280</w:t>
            </w:r>
          </w:p>
        </w:tc>
        <w:tc>
          <w:tcPr>
            <w:tcW w:w="1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(A)</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0"/>
        </w:trPr>
        <w:tc>
          <w:tcPr>
            <w:tcW w:w="4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Net loss attributable to noncontrolling interest in the</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4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Operating Partnership</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2"/>
        </w:trPr>
        <w:tc>
          <w:tcPr>
            <w:tcW w:w="40" w:type="dxa"/>
            <w:vAlign w:val="bottom"/>
          </w:tcPr>
          <w:p>
            <w:pPr>
              <w:spacing w:after="0"/>
              <w:rPr>
                <w:sz w:val="12"/>
                <w:szCs w:val="12"/>
                <w:color w:val="auto"/>
              </w:rPr>
            </w:pPr>
          </w:p>
        </w:tc>
        <w:tc>
          <w:tcPr>
            <w:tcW w:w="318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Net loss available to common stockholders</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(8,546)</w:t>
            </w:r>
          </w:p>
        </w:tc>
        <w:tc>
          <w:tcPr>
            <w:tcW w:w="14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w w:val="93"/>
              </w:rPr>
              <w:t>(117,659)</w:t>
            </w:r>
          </w:p>
        </w:tc>
        <w:tc>
          <w:tcPr>
            <w:tcW w:w="16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w w:val="93"/>
              </w:rPr>
              <w:t>(170,986)</w:t>
            </w:r>
          </w:p>
        </w:tc>
        <w:tc>
          <w:tcPr>
            <w:tcW w:w="16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w w:val="93"/>
              </w:rPr>
              <w:t>(337,667)</w:t>
            </w:r>
          </w:p>
        </w:tc>
        <w:tc>
          <w:tcPr>
            <w:tcW w:w="14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80" w:lineRule="exact"/>
        <w:rPr>
          <w:sz w:val="20"/>
          <w:szCs w:val="20"/>
          <w:color w:val="auto"/>
        </w:rPr>
      </w:pPr>
    </w:p>
    <w:p>
      <w:pPr>
        <w:jc w:val="center"/>
        <w:ind w:left="4420" w:right="739" w:hanging="4370"/>
        <w:spacing w:after="0" w:line="778"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amounts have not been shown as a percentage of revenue because they have no relationship to revenue.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summarizes our financial results for the three months and nine months ended September 30, 2021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 (in thousands, except percentages and per share data):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3"/>
              </w:rPr>
              <w:t>Nine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Borders>
              <w:bottom w:val="single" w:sz="8" w:color="auto"/>
            </w:tcBorders>
            <w:gridSpan w:val="4"/>
          </w:tcPr>
          <w:p>
            <w:pPr>
              <w:jc w:val="center"/>
              <w:ind w:left="388"/>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Borders>
              <w:bottom w:val="single" w:sz="8" w:color="auto"/>
            </w:tcBorders>
            <w:gridSpan w:val="4"/>
          </w:tcPr>
          <w:p>
            <w:pPr>
              <w:jc w:val="center"/>
              <w:ind w:left="368"/>
              <w:spacing w:after="0"/>
              <w:rPr>
                <w:sz w:val="20"/>
                <w:szCs w:val="20"/>
                <w:color w:val="auto"/>
              </w:rPr>
            </w:pPr>
            <w:r>
              <w:rPr>
                <w:rFonts w:ascii="Arial" w:cs="Arial" w:eastAsia="Arial" w:hAnsi="Arial"/>
                <w:sz w:val="14"/>
                <w:szCs w:val="14"/>
                <w:b w:val="1"/>
                <w:bCs w:val="1"/>
                <w:color w:val="auto"/>
                <w:w w:val="89"/>
              </w:rPr>
              <w:t>September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40" w:type="dxa"/>
            <w:vAlign w:val="bottom"/>
            <w:vMerge w:val="restart"/>
          </w:tcPr>
          <w:p>
            <w:pPr>
              <w:spacing w:after="0"/>
              <w:rPr>
                <w:sz w:val="10"/>
                <w:szCs w:val="10"/>
                <w:color w:val="auto"/>
              </w:rPr>
            </w:pPr>
          </w:p>
        </w:tc>
        <w:tc>
          <w:tcPr>
            <w:tcW w:w="8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40" w:type="dxa"/>
            <w:vAlign w:val="bottom"/>
            <w:vMerge w:val="restart"/>
          </w:tcPr>
          <w:p>
            <w:pPr>
              <w:spacing w:after="0"/>
              <w:rPr>
                <w:sz w:val="10"/>
                <w:szCs w:val="10"/>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$ 306,906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70,249</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336.9 %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561,942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397,960</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281,211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173,415</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62.2 %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646,751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637,111</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432"/>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(103,166)</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124.9 %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(239,151)</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(129,877)</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93.4 %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(188,777)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(368,272)</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48.7 %</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2"/>
              </w:rPr>
              <w:t>Net loss available to common stockholders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(117,659)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(337,667)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49.4 %</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2"/>
              </w:rPr>
              <w:t>Net loss available to common stockholders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per share - diluted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92.5 %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49.3 %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Revenues</w:t>
      </w:r>
    </w:p>
    <w:p>
      <w:pPr>
        <w:spacing w:after="0" w:line="19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increase in our total revenues for the three months ended September 30, 2021, as compared to the same period in 2020, is attributable to increases in our Hospitality segment and Entertainment segment of $199.9 million and $36.8 million, respectively. The increase in our total revenues for the nine months ended September 30, 2021, as compared to the same period in 2020, is attributable to increases in our Hospitality segment and Entertainment segment of $109.4 million and $54.6 million, respectively.</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Operating Expenses</w:t>
      </w:r>
    </w:p>
    <w:p>
      <w:pPr>
        <w:spacing w:after="0" w:line="185"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The increase in our total operating expenses for the three months ended September 30, 2021, as compared to the same period in 2020, is primarily the result of increases in our Hospitality segment and Entertainment segment of $94.1 million and $16.1 million, respectively, partially offset by a credit loss on held-to-maturity investments in the 2020 period that did not occur in the 2021 period of $7.8 million. The increase in our total operating expenses for the nine months ended September 30, 2021, as compared to the same period in 2020, is primarily the result of increases in our Hospitality segment and Entertainment segment of $17.6 million and $17.7 million, respectively, partially offset by a credit loss on held-to-maturity investments in the 2020 period that did not occur in the 2021 period of $32.8 million.</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net loss of $8.6 million for the three months ended September 30, 2021, as compared to a net loss of $129.9 million for the same period in 2020, was primarily due to the changes in our revenues and operating expenses reflected above, and the following factors, each as described more fully below:</w:t>
      </w:r>
    </w:p>
    <w:p>
      <w:pPr>
        <w:spacing w:after="0" w:line="143"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$4.3 million increase in interest expense in the 2021 period.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$1.7 million decrease in other gains and (losses), net in the 2021 period.</w:t>
      </w:r>
    </w:p>
    <w:p>
      <w:pPr>
        <w:spacing w:after="0" w:line="185"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Our net loss of $188.8 million for the nine months ended September 30, 2021, as compared to a net loss of $368.3 million for the same period in 2020, was primarily due to the changes in our revenues and operating expenses reflected above, and the following factors, each as described more fully below:</w:t>
      </w:r>
    </w:p>
    <w:p>
      <w:pPr>
        <w:spacing w:after="0" w:line="143"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$20.4 million decrease in in the provision for income taxes in the 2021 period.</w:t>
      </w:r>
    </w:p>
    <w:p>
      <w:pPr>
        <w:spacing w:after="0" w:line="198" w:lineRule="exact"/>
        <w:rPr>
          <w:rFonts w:ascii="Arial" w:cs="Arial" w:eastAsia="Arial" w:hAnsi="Arial"/>
          <w:sz w:val="18"/>
          <w:szCs w:val="18"/>
          <w:color w:val="auto"/>
        </w:rPr>
      </w:pPr>
    </w:p>
    <w:p>
      <w:pPr>
        <w:ind w:left="720" w:right="35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$15.0 million loss related to the forfeiture of the earnest deposit associated with the previously terminated potential acquisition of Block 21 in the 2020 period.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$5.5 million increase in interest expense in the 2021 period.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$2.9 million loss on extinguishment of debt in the 2021 period that did not occur in the 2020 period.</w:t>
      </w:r>
    </w:p>
    <w:p>
      <w:pPr>
        <w:spacing w:after="0" w:line="185" w:lineRule="exact"/>
        <w:rPr>
          <w:sz w:val="20"/>
          <w:szCs w:val="20"/>
          <w:color w:val="auto"/>
        </w:rPr>
      </w:pPr>
    </w:p>
    <w:p>
      <w:pPr>
        <w:ind w:left="60" w:right="4419"/>
        <w:spacing w:after="0" w:line="461" w:lineRule="auto"/>
        <w:rPr>
          <w:sz w:val="20"/>
          <w:szCs w:val="20"/>
          <w:color w:val="auto"/>
        </w:rPr>
      </w:pPr>
      <w:r>
        <w:rPr>
          <w:rFonts w:ascii="Arial" w:cs="Arial" w:eastAsia="Arial" w:hAnsi="Arial"/>
          <w:sz w:val="18"/>
          <w:szCs w:val="18"/>
          <w:b w:val="1"/>
          <w:bCs w:val="1"/>
          <w:i w:val="1"/>
          <w:iCs w:val="1"/>
          <w:color w:val="auto"/>
        </w:rPr>
        <w:t>Operating Results – Detailed Segment Financial Information Hospitality Segment</w:t>
      </w:r>
    </w:p>
    <w:p>
      <w:pPr>
        <w:spacing w:after="0" w:line="1"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The following presents the financial results of our Hospitality segment for the three months and</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2021 and 2020 (in thousands, except percentages and performance metrics):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10"/>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4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Change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Rooms</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113,192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24,487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362.3</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0"/>
              </w:rPr>
              <w:t>203,391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133,417</w:t>
            </w: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52.4</w:t>
            </w:r>
          </w:p>
        </w:tc>
        <w:tc>
          <w:tcPr>
            <w:tcW w:w="3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105,803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552.4</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169,597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163,477</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4"/>
                <w:szCs w:val="14"/>
                <w:color w:val="auto"/>
              </w:rPr>
              <w:t>Other hotel revenue</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38,858</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17,274</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9" w:lineRule="exact"/>
              <w:rPr>
                <w:sz w:val="20"/>
                <w:szCs w:val="20"/>
                <w:color w:val="auto"/>
              </w:rPr>
            </w:pPr>
            <w:r>
              <w:rPr>
                <w:rFonts w:ascii="Arial" w:cs="Arial" w:eastAsia="Arial" w:hAnsi="Arial"/>
                <w:sz w:val="14"/>
                <w:szCs w:val="14"/>
                <w:color w:val="auto"/>
              </w:rPr>
              <w:t>125.0</w:t>
            </w:r>
          </w:p>
        </w:tc>
        <w:tc>
          <w:tcPr>
            <w:tcW w:w="2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90,355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57,060</w:t>
            </w: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gridSpan w:val="2"/>
          </w:tcPr>
          <w:p>
            <w:pPr>
              <w:jc w:val="right"/>
              <w:ind w:right="40"/>
              <w:spacing w:after="0" w:line="149" w:lineRule="exact"/>
              <w:rPr>
                <w:sz w:val="20"/>
                <w:szCs w:val="20"/>
                <w:color w:val="auto"/>
              </w:rPr>
            </w:pPr>
            <w:r>
              <w:rPr>
                <w:rFonts w:ascii="Arial" w:cs="Arial" w:eastAsia="Arial" w:hAnsi="Arial"/>
                <w:sz w:val="14"/>
                <w:szCs w:val="14"/>
                <w:color w:val="auto"/>
              </w:rPr>
              <w:t>58.4</w:t>
            </w:r>
          </w:p>
        </w:tc>
        <w:tc>
          <w:tcPr>
            <w:tcW w:w="34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hospitality revenue</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257,853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57,978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344.7</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463,343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353,954</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30.9</w:t>
            </w:r>
          </w:p>
        </w:tc>
        <w:tc>
          <w:tcPr>
            <w:tcW w:w="3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Hospitality operating expenses: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Rooms</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30,802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47,060</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w:t>
            </w: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65,205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19,233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239.0</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0"/>
              </w:rPr>
              <w:t>118,282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114,935</w:t>
            </w: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3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hotel expenses</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80,203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56,961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40.8</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196,125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192,480</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Management fees, net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4,907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851.0</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7,809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5,445</w:t>
            </w: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43.4</w:t>
            </w:r>
          </w:p>
        </w:tc>
        <w:tc>
          <w:tcPr>
            <w:tcW w:w="3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5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52,020</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49,310</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151,655</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148,667</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bottom w:val="single" w:sz="8" w:color="CCEEFF"/>
            </w:tcBorders>
            <w:gridSpan w:val="2"/>
          </w:tcPr>
          <w:p>
            <w:pPr>
              <w:ind w:left="220"/>
              <w:spacing w:after="0" w:line="142" w:lineRule="exact"/>
              <w:rPr>
                <w:sz w:val="20"/>
                <w:szCs w:val="20"/>
                <w:color w:val="auto"/>
              </w:rPr>
            </w:pPr>
            <w:r>
              <w:rPr>
                <w:rFonts w:ascii="Arial" w:cs="Arial" w:eastAsia="Arial" w:hAnsi="Arial"/>
                <w:sz w:val="14"/>
                <w:szCs w:val="14"/>
                <w:color w:val="auto"/>
              </w:rPr>
              <w:t>Total Hospitality operating expenses</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233,137</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136,300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2" w:lineRule="exact"/>
              <w:rPr>
                <w:sz w:val="20"/>
                <w:szCs w:val="20"/>
                <w:color w:val="auto"/>
              </w:rPr>
            </w:pPr>
            <w:r>
              <w:rPr>
                <w:rFonts w:ascii="Arial" w:cs="Arial" w:eastAsia="Arial" w:hAnsi="Arial"/>
                <w:sz w:val="14"/>
                <w:szCs w:val="14"/>
                <w:color w:val="auto"/>
              </w:rPr>
              <w:t>71.0</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529,189</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508,587</w:t>
            </w: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gridSpan w:val="2"/>
          </w:tcPr>
          <w:p>
            <w:pPr>
              <w:jc w:val="right"/>
              <w:ind w:right="40"/>
              <w:spacing w:after="0" w:line="142" w:lineRule="exact"/>
              <w:rPr>
                <w:sz w:val="20"/>
                <w:szCs w:val="20"/>
                <w:color w:val="auto"/>
              </w:rPr>
            </w:pPr>
            <w:r>
              <w:rPr>
                <w:rFonts w:ascii="Arial" w:cs="Arial" w:eastAsia="Arial" w:hAnsi="Arial"/>
                <w:sz w:val="14"/>
                <w:szCs w:val="14"/>
                <w:color w:val="auto"/>
              </w:rPr>
              <w:t>4.1</w:t>
            </w:r>
          </w:p>
        </w:tc>
        <w:tc>
          <w:tcPr>
            <w:tcW w:w="3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Hospitality operating income (loss) (1)(2)</w:t>
            </w: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24,716</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(78,322)</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131.6</w:t>
            </w:r>
          </w:p>
        </w:tc>
        <w:tc>
          <w:tcPr>
            <w:tcW w:w="2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(65,846)</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(154,633)</w:t>
            </w:r>
          </w:p>
        </w:tc>
        <w:tc>
          <w:tcPr>
            <w:tcW w:w="1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57.4</w:t>
            </w:r>
          </w:p>
        </w:tc>
        <w:tc>
          <w:tcPr>
            <w:tcW w:w="34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gridSpan w:val="3"/>
            <w:vMerge w:val="restart"/>
          </w:tcPr>
          <w:p>
            <w:pPr>
              <w:ind w:left="20"/>
              <w:spacing w:after="0"/>
              <w:rPr>
                <w:sz w:val="20"/>
                <w:szCs w:val="20"/>
                <w:color w:val="auto"/>
              </w:rPr>
            </w:pPr>
            <w:r>
              <w:rPr>
                <w:rFonts w:ascii="Arial" w:cs="Arial" w:eastAsia="Arial" w:hAnsi="Arial"/>
                <w:sz w:val="14"/>
                <w:szCs w:val="14"/>
                <w:color w:val="auto"/>
              </w:rPr>
              <w:t>Hospitality performance metrics:</w:t>
            </w: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0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Occupancy</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9"/>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w:t>
            </w: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ADR</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216.79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180.89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19.8</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208.02</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197.38</w:t>
            </w: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3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RevPAR (3)</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118.17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348.8</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48.16</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50.9</w:t>
            </w: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RevPAR (4)</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269.19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62.33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331.9</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165.51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127.77</w:t>
            </w:r>
          </w:p>
        </w:tc>
        <w:tc>
          <w:tcPr>
            <w:tcW w:w="1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29.5</w:t>
            </w:r>
          </w:p>
        </w:tc>
        <w:tc>
          <w:tcPr>
            <w:tcW w:w="3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Net Definite Group Room Nights Booked (5)</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134,717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(70,572)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290.9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472,548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(692,844)</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168.2</w:t>
            </w: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Hospitality segment operating income (loss) does not include preopening costs of $0.1 million in each of the</w:t>
      </w:r>
    </w:p>
    <w:p>
      <w:pPr>
        <w:spacing w:after="0" w:line="23" w:lineRule="exact"/>
        <w:rPr>
          <w:rFonts w:ascii="Arial" w:cs="Arial" w:eastAsia="Arial" w:hAnsi="Arial"/>
          <w:sz w:val="18"/>
          <w:szCs w:val="18"/>
          <w:color w:val="auto"/>
        </w:rPr>
      </w:pPr>
    </w:p>
    <w:p>
      <w:pPr>
        <w:ind w:left="380" w:right="179"/>
        <w:spacing w:after="0" w:line="271" w:lineRule="auto"/>
        <w:rPr>
          <w:rFonts w:ascii="Arial" w:cs="Arial" w:eastAsia="Arial" w:hAnsi="Arial"/>
          <w:sz w:val="18"/>
          <w:szCs w:val="18"/>
          <w:color w:val="auto"/>
        </w:rPr>
      </w:pPr>
      <w:r>
        <w:rPr>
          <w:rFonts w:ascii="Arial" w:cs="Arial" w:eastAsia="Arial" w:hAnsi="Arial"/>
          <w:sz w:val="17"/>
          <w:szCs w:val="17"/>
          <w:color w:val="auto"/>
        </w:rPr>
        <w:t>three months ended September 30, 2021 and 2020, respectively, and $0.7 million and $0.2 million in the nine months ended September 30, 2021 and 2020, respectively. Hospitality segment operating loss also does not include gain on sale of assets of $0.3 million and $1.3 million in the nine months ended September 30, 2021 and 2020, respectively, and credit losses on held-to-maturity securities of $7.8 million and $32.8 million in the three months and nine months ended September 30, 2020, respectively. See discussion of these items below.</w:t>
      </w:r>
    </w:p>
    <w:p>
      <w:pPr>
        <w:spacing w:after="0" w:line="137" w:lineRule="exact"/>
        <w:rPr>
          <w:rFonts w:ascii="Arial" w:cs="Arial" w:eastAsia="Arial" w:hAnsi="Arial"/>
          <w:sz w:val="18"/>
          <w:szCs w:val="18"/>
          <w:color w:val="auto"/>
        </w:rPr>
      </w:pPr>
    </w:p>
    <w:p>
      <w:pPr>
        <w:ind w:left="380" w:right="119" w:hanging="330"/>
        <w:spacing w:after="0" w:line="293"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Hospitality segment operating loss for the three months and nine months ended September 30, 2020 includes approximately $14.4 million and $34.9 million, respectively, in expenses directly related to the COVID-19 pandemic, which are primarily employment costs. Hospitality segment operating income (loss) for the three months and nine months ended September 30, 2021, includes approximately $0.3 million in expense and $2.7 million in credits directly related to the COVID-19 pandemic, respectively, which are net of $0.1 million and $3.9 million of payroll tax credits afforded under the 2020 Coronavirus Aid, Relief, and Economic Security Act (the “CARES Act”).</w:t>
      </w:r>
    </w:p>
    <w:p>
      <w:pPr>
        <w:spacing w:after="0" w:line="137" w:lineRule="exact"/>
        <w:rPr>
          <w:rFonts w:ascii="Arial" w:cs="Arial" w:eastAsia="Arial" w:hAnsi="Arial"/>
          <w:sz w:val="16"/>
          <w:szCs w:val="16"/>
          <w:color w:val="auto"/>
        </w:rPr>
      </w:pPr>
    </w:p>
    <w:p>
      <w:pPr>
        <w:ind w:left="380" w:right="99" w:hanging="330"/>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Room nights available to guests include nights the hotels are closed. Hospitality RevPAR is not comparable to similarly titled measures such as revenues.</w:t>
      </w:r>
    </w:p>
    <w:p>
      <w:pPr>
        <w:spacing w:after="0" w:line="143" w:lineRule="exact"/>
        <w:rPr>
          <w:rFonts w:ascii="Arial" w:cs="Arial" w:eastAsia="Arial" w:hAnsi="Arial"/>
          <w:sz w:val="18"/>
          <w:szCs w:val="18"/>
          <w:color w:val="auto"/>
        </w:rPr>
      </w:pPr>
    </w:p>
    <w:p>
      <w:pPr>
        <w:ind w:left="380" w:right="159" w:hanging="330"/>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the hotels are closed. Hospitality Total RevPAR is not comparable to similarly titled measures such as revenues.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159" w:hanging="330"/>
        <w:spacing w:after="0" w:line="286"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definite group room nights booked includes approximately 207,000 and 555,000 group room cancellations in the three months ended September 30, 2021 and 2020, respectively, and 696,000 and 1,886,000 group room cancellations in the nine months ended September 30, 2021 and 2020, respectively.</w:t>
      </w:r>
    </w:p>
    <w:p>
      <w:pPr>
        <w:spacing w:after="0" w:line="138"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Total Hospitality segment revenues in the three months and nine months ended September 30, 2021 include $10.2 million and $27.9 million, respectively, in attrition and cancellation fee revenue, an increase of $3.2 million and $11.1 million, respectively, from the 2020 periods. Since the beginning of 2020, we have recorded $60.8 million in attrition and cancellation fee revenue.</w:t>
      </w:r>
    </w:p>
    <w:p>
      <w:pPr>
        <w:spacing w:after="0" w:line="14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4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3"/>
              </w:rPr>
              <w:t>Three Months Ended</w:t>
            </w:r>
          </w:p>
        </w:tc>
        <w:tc>
          <w:tcPr>
            <w:tcW w:w="168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4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56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Transient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41 %</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87 %</w:t>
            </w:r>
          </w:p>
        </w:tc>
        <w:tc>
          <w:tcPr>
            <w:tcW w:w="860" w:type="dxa"/>
            <w:vAlign w:val="bottom"/>
            <w:gridSpan w:val="3"/>
          </w:tcPr>
          <w:p>
            <w:pPr>
              <w:jc w:val="right"/>
              <w:ind w:right="10"/>
              <w:spacing w:after="0"/>
              <w:rPr>
                <w:sz w:val="20"/>
                <w:szCs w:val="20"/>
                <w:color w:val="auto"/>
              </w:rPr>
            </w:pPr>
            <w:r>
              <w:rPr>
                <w:rFonts w:ascii="Arial" w:cs="Arial" w:eastAsia="Arial" w:hAnsi="Arial"/>
                <w:sz w:val="18"/>
                <w:szCs w:val="18"/>
                <w:color w:val="auto"/>
              </w:rPr>
              <w:t>54 %</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36 %</w:t>
            </w:r>
          </w:p>
        </w:tc>
      </w:tr>
    </w:tbl>
    <w:p>
      <w:pPr>
        <w:spacing w:after="0" w:line="187"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Other hotel expenses for the three months and nine months ended September 30, 2021 and 2020 consist of the following (in thousands):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40" w:type="dxa"/>
            <w:vAlign w:val="bottom"/>
            <w:gridSpan w:val="6"/>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60" w:type="dxa"/>
            <w:vAlign w:val="bottom"/>
            <w:gridSpan w:val="5"/>
          </w:tcPr>
          <w:p>
            <w:pPr>
              <w:jc w:val="center"/>
              <w:ind w:left="297"/>
              <w:spacing w:after="0"/>
              <w:rPr>
                <w:sz w:val="20"/>
                <w:szCs w:val="20"/>
                <w:color w:val="auto"/>
              </w:rPr>
            </w:pPr>
            <w:r>
              <w:rPr>
                <w:rFonts w:ascii="Arial" w:cs="Arial" w:eastAsia="Arial" w:hAnsi="Arial"/>
                <w:sz w:val="14"/>
                <w:szCs w:val="14"/>
                <w:b w:val="1"/>
                <w:bCs w:val="1"/>
                <w:color w:val="auto"/>
                <w:w w:val="93"/>
              </w:rPr>
              <w:t>Nine Months Ended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ind w:left="257"/>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640" w:type="dxa"/>
            <w:vAlign w:val="bottom"/>
            <w:vMerge w:val="restart"/>
          </w:tcPr>
          <w:p>
            <w:pPr>
              <w:spacing w:after="0"/>
              <w:rPr>
                <w:sz w:val="10"/>
                <w:szCs w:val="10"/>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60" w:type="dxa"/>
            <w:vAlign w:val="bottom"/>
            <w:vMerge w:val="restart"/>
          </w:tcPr>
          <w:p>
            <w:pPr>
              <w:spacing w:after="0"/>
              <w:rPr>
                <w:sz w:val="10"/>
                <w:szCs w:val="10"/>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62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48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2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6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$ 29,991</w:t>
            </w:r>
          </w:p>
        </w:tc>
        <w:tc>
          <w:tcPr>
            <w:tcW w:w="1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$ 19,071</w:t>
            </w:r>
          </w:p>
        </w:tc>
        <w:tc>
          <w:tcPr>
            <w:tcW w:w="16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66,370</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(13.4)%</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Utilities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7,884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6,284</w:t>
            </w: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17,712</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10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33,511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22,162</w:t>
            </w: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51.2 %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83,724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70,545</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hotel expenses</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$ 80,203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$ 56,961</w:t>
            </w:r>
          </w:p>
        </w:tc>
        <w:tc>
          <w:tcPr>
            <w:tcW w:w="1020" w:type="dxa"/>
            <w:vAlign w:val="bottom"/>
            <w:tcBorders>
              <w:top w:val="single" w:sz="8" w:color="CCEEFF"/>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40.8 %</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196,125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192,480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ended September 30, 2021, as compared to the same period in 2020, primarily due to an increase at Gaylord National due to its July 1, 2021 reopening after not being open during the 2020 period, as well as slight increases at each of our other Gaylord Hotels properties. Administrative employment costs decreased during the nine months ended September 30, 2021, as compared to the same period in 2020, primarily due to cost containment efforts at each of our Gaylord Hotels properties, including as a result of lower volumes, as well as Gaylord National remaining closed through June 30, 2021. Utility costs increased during the three months and nine months ended September 30, 2021, as compared to the same periods in 2020, primarily due to increases at Gaylord Palms and Gaylord Opryland due to increased usage. Property taxes decreased during the three months and nine months ended September 30, 2021, as compared to the 2020 periods, primarily due to a decrease at Gaylord Texan due to a reduction in assessed value driven by the impact of the COVID-19 pandemic. Other expenses, which include supplies, advertising, maintenance costs and consulting costs, increased during the three months ended September 30, 2021, as compared to the same period in 2020, primarily as a result of various increases at Gaylord Opryland, Gaylord National, Gaylord Palms and Gaylord Texan. Other expenses increased in the nine months ended September 30, 2021, as compared to the same period in 2020, primarily due to increased levels of operations at each of our Gaylord Hotels properties.</w:t>
      </w:r>
    </w:p>
    <w:p>
      <w:pPr>
        <w:spacing w:after="0" w:line="136"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Each of our management agreements with Marriott for our Gaylord Hotels properties, excluding Gaylord Rockies, requires us to pay Marriott a base management fee of approximately 2% of gross revenues from the applicable property for each fiscal year or portion thereof. Additionally, an incentive management fee is based on the profitability of our Gaylord Hotels properties, excluding Gaylord Rockies, calculated on a pooled basis. The Gaylord Rockies’s management agreement with Marriott requires Gaylord Rockies to pay a base management fee of 3% of gross revenues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for each fiscal year or portion thereof, as well as an incentive management fee based on the profitability of the hotel. In the three months ended September 30, 2021 and 2020, we incurred $5.7 million and $1.3 million, respectively, and in the nine months ended September 30, 2021 and 2020, we incurred $10.1 million and $7.8 million, respectively, related to base management fees for our Hospitality segment. In the three months and nine months ended September 30, 2021 and 2020, we incurred $0 related to incentive management fees for our Hospitality segment. Management fees are presented throughout this Quarterly Report on Form 10-Q net of the amortization of the deferred management rights proceeds discussed in Note 8, “Deferred Management Rights Proceeds,” to the accompanying condensed consolidated financial statements included herein.</w:t>
      </w:r>
    </w:p>
    <w:p>
      <w:pPr>
        <w:spacing w:after="0" w:line="16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Total Hospitality segment depreciation and amortization expense increased slightly in the three months and nine months ended September 30, 2021, as compared to the same period in 2020.</w:t>
      </w:r>
    </w:p>
    <w:p>
      <w:pPr>
        <w:spacing w:after="0" w:line="130"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i w:val="1"/>
          <w:iCs w:val="1"/>
          <w:color w:val="auto"/>
        </w:rPr>
        <w:t xml:space="preserve">Property-Level Results. </w:t>
      </w:r>
      <w:r>
        <w:rPr>
          <w:rFonts w:ascii="Arial" w:cs="Arial" w:eastAsia="Arial" w:hAnsi="Arial"/>
          <w:sz w:val="16"/>
          <w:szCs w:val="16"/>
          <w:color w:val="auto"/>
        </w:rPr>
        <w:t>The following presents the property-level financial results of our Hospitality segment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and nine months ended September 30, 2021 and 2020. The Gaylord Hotels properties experienced higher levels of attrition and cancellations and lower occupancy levels, which are directly related to the COVID-19 pandemic, in the three months and nine months ended September 30, 2021 and 2020, and experienced heavily transient business in the three months and nine months ended September 30, 2021 and 2020. In addition, property-level financial results for the three months and nine months ended September 30, 2021 are not comparable to the three months and nine months ended September 30, 2020 due to the temporary property closures that began in late March 2020, which were directly related to the COVID-19 pandemic. Therefore, the property-level financial results for the three months and nine months ended September 30, 2021 and 2020 are not comparable to historical periods. Total revenue at each of our Gaylord Hotels properties was lower than that of historical periods for the three months and nine months ended September 30, 2021 and 2020 due to the COVID-19 pandemic. Operating costs at each of our Gaylord Hotels properties were lower for the three months and nine months ended September 30, 2021 and 2020 as a result of cost containment initiatives and lower variable costs due to lower occupancies and, for the three months and nine months ended September 30, 2020, the temporary property closures that began in late March 2020 due to the COVID-19 pandemic.</w:t>
      </w:r>
    </w:p>
    <w:p>
      <w:pPr>
        <w:spacing w:after="0" w:line="171"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are as follows (in thousands, except percentages and performance metrics):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2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7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0"/>
                <w:szCs w:val="10"/>
                <w:color w:val="auto"/>
              </w:rPr>
            </w:pPr>
          </w:p>
        </w:tc>
        <w:tc>
          <w:tcPr>
            <w:tcW w:w="58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48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ind w:left="120"/>
              <w:spacing w:after="0"/>
              <w:rPr>
                <w:sz w:val="20"/>
                <w:szCs w:val="20"/>
                <w:color w:val="auto"/>
              </w:rPr>
            </w:pPr>
            <w:r>
              <w:rPr>
                <w:rFonts w:ascii="Arial" w:cs="Arial" w:eastAsia="Arial" w:hAnsi="Arial"/>
                <w:sz w:val="16"/>
                <w:szCs w:val="16"/>
                <w:color w:val="auto"/>
              </w:rPr>
              <w:t>Rooms</w:t>
            </w:r>
          </w:p>
        </w:tc>
        <w:tc>
          <w:tcPr>
            <w:tcW w:w="620" w:type="dxa"/>
            <w:vAlign w:val="bottom"/>
          </w:tcPr>
          <w:p>
            <w:pPr>
              <w:jc w:val="right"/>
              <w:spacing w:after="0"/>
              <w:rPr>
                <w:sz w:val="20"/>
                <w:szCs w:val="20"/>
                <w:color w:val="auto"/>
              </w:rPr>
            </w:pPr>
            <w:r>
              <w:rPr>
                <w:rFonts w:ascii="Arial" w:cs="Arial" w:eastAsia="Arial" w:hAnsi="Arial"/>
                <w:sz w:val="16"/>
                <w:szCs w:val="16"/>
                <w:color w:val="auto"/>
                <w:w w:val="86"/>
              </w:rPr>
              <w:t>$ 34,767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7,109</w:t>
            </w: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389.1 %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67,573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38,386</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76.0 %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615.7 %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40,130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hotel revenue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6,529</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98.7 %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29,023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16,445</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76.5 %</w:t>
            </w: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75,483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17,514</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331.0 %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142,244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94,961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49.8 %</w:t>
            </w:r>
          </w:p>
        </w:tc>
        <w:tc>
          <w:tcPr>
            <w:tcW w:w="0" w:type="dxa"/>
            <w:vAlign w:val="bottom"/>
          </w:tcPr>
          <w:p>
            <w:pPr>
              <w:spacing w:after="0"/>
              <w:rPr>
                <w:sz w:val="1"/>
                <w:szCs w:val="1"/>
                <w:color w:val="auto"/>
              </w:rPr>
            </w:pPr>
          </w:p>
        </w:tc>
      </w:tr>
      <w:tr>
        <w:trPr>
          <w:trHeight w:val="203"/>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229.6 %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42.8 %</w:t>
            </w:r>
          </w:p>
        </w:tc>
        <w:tc>
          <w:tcPr>
            <w:tcW w:w="0" w:type="dxa"/>
            <w:vAlign w:val="bottom"/>
          </w:tcPr>
          <w:p>
            <w:pPr>
              <w:spacing w:after="0"/>
              <w:rPr>
                <w:sz w:val="1"/>
                <w:szCs w:val="1"/>
                <w:color w:val="auto"/>
              </w:rPr>
            </w:pPr>
          </w:p>
        </w:tc>
      </w:tr>
      <w:tr>
        <w:trPr>
          <w:trHeight w:val="203"/>
        </w:trPr>
        <w:tc>
          <w:tcPr>
            <w:tcW w:w="358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620" w:type="dxa"/>
            <w:vAlign w:val="bottom"/>
          </w:tcPr>
          <w:p>
            <w:pPr>
              <w:jc w:val="right"/>
              <w:spacing w:after="0"/>
              <w:rPr>
                <w:sz w:val="20"/>
                <w:szCs w:val="20"/>
                <w:color w:val="auto"/>
              </w:rPr>
            </w:pPr>
            <w:r>
              <w:rPr>
                <w:rFonts w:ascii="Arial" w:cs="Arial" w:eastAsia="Arial" w:hAnsi="Arial"/>
                <w:sz w:val="16"/>
                <w:szCs w:val="16"/>
                <w:color w:val="auto"/>
              </w:rPr>
              <w:t>14,777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4,553</w:t>
            </w: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224.6 %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29,372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28,045</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16,841</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57,642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53,211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03"/>
        </w:trPr>
        <w:tc>
          <w:tcPr>
            <w:tcW w:w="3580" w:type="dxa"/>
            <w:vAlign w:val="bottom"/>
            <w:gridSpan w:val="2"/>
          </w:tcPr>
          <w:p>
            <w:pPr>
              <w:ind w:left="120"/>
              <w:spacing w:after="0"/>
              <w:rPr>
                <w:sz w:val="20"/>
                <w:szCs w:val="20"/>
                <w:color w:val="auto"/>
              </w:rPr>
            </w:pPr>
            <w:r>
              <w:rPr>
                <w:rFonts w:ascii="Arial" w:cs="Arial" w:eastAsia="Arial" w:hAnsi="Arial"/>
                <w:sz w:val="16"/>
                <w:szCs w:val="16"/>
                <w:color w:val="auto"/>
              </w:rPr>
              <w:t>Management fees, net</w:t>
            </w:r>
          </w:p>
        </w:tc>
        <w:tc>
          <w:tcPr>
            <w:tcW w:w="620" w:type="dxa"/>
            <w:vAlign w:val="bottom"/>
          </w:tcPr>
          <w:p>
            <w:pPr>
              <w:jc w:val="right"/>
              <w:spacing w:after="0"/>
              <w:rPr>
                <w:sz w:val="20"/>
                <w:szCs w:val="20"/>
                <w:color w:val="auto"/>
              </w:rPr>
            </w:pPr>
            <w:r>
              <w:rPr>
                <w:rFonts w:ascii="Arial" w:cs="Arial" w:eastAsia="Arial" w:hAnsi="Arial"/>
                <w:sz w:val="16"/>
                <w:szCs w:val="16"/>
                <w:color w:val="auto"/>
              </w:rPr>
              <w:t>1,251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109</w:t>
            </w: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1,047.7 %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2,093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1,162</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80.1 %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25,644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6"/>
        </w:trPr>
        <w:tc>
          <w:tcPr>
            <w:tcW w:w="358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620" w:type="dxa"/>
            <w:vAlign w:val="bottom"/>
          </w:tcPr>
          <w:p>
            <w:pPr>
              <w:jc w:val="right"/>
              <w:spacing w:after="0"/>
              <w:rPr>
                <w:sz w:val="20"/>
                <w:szCs w:val="20"/>
                <w:color w:val="auto"/>
              </w:rPr>
            </w:pPr>
            <w:r>
              <w:rPr>
                <w:rFonts w:ascii="Arial" w:cs="Arial" w:eastAsia="Arial" w:hAnsi="Arial"/>
                <w:sz w:val="16"/>
                <w:szCs w:val="16"/>
                <w:color w:val="auto"/>
              </w:rPr>
              <w:t>55,969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32,917</w:t>
            </w: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70.0 %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131,596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120,624</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ind w:left="120"/>
              <w:spacing w:after="0"/>
              <w:rPr>
                <w:sz w:val="20"/>
                <w:szCs w:val="20"/>
                <w:color w:val="auto"/>
              </w:rPr>
            </w:pPr>
            <w:r>
              <w:rPr>
                <w:rFonts w:ascii="Arial" w:cs="Arial" w:eastAsia="Arial" w:hAnsi="Arial"/>
                <w:sz w:val="16"/>
                <w:szCs w:val="16"/>
                <w:color w:val="auto"/>
              </w:rPr>
              <w:t>Occupancy</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56.3 %</w:t>
            </w: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13.8 %</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42.5 pts</w:t>
            </w: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38.4 %</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25.0 %</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13.4 pts</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$ 232.49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193.58</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20.1 %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03"/>
        </w:trPr>
        <w:tc>
          <w:tcPr>
            <w:tcW w:w="3580" w:type="dxa"/>
            <w:vAlign w:val="bottom"/>
            <w:gridSpan w:val="2"/>
          </w:tcPr>
          <w:p>
            <w:pPr>
              <w:ind w:left="120"/>
              <w:spacing w:after="0"/>
              <w:rPr>
                <w:sz w:val="20"/>
                <w:szCs w:val="20"/>
                <w:color w:val="auto"/>
              </w:rPr>
            </w:pPr>
            <w:r>
              <w:rPr>
                <w:rFonts w:ascii="Arial" w:cs="Arial" w:eastAsia="Arial" w:hAnsi="Arial"/>
                <w:sz w:val="16"/>
                <w:szCs w:val="16"/>
                <w:color w:val="auto"/>
              </w:rPr>
              <w:t>RevPAR</w:t>
            </w:r>
          </w:p>
        </w:tc>
        <w:tc>
          <w:tcPr>
            <w:tcW w:w="620" w:type="dxa"/>
            <w:vAlign w:val="bottom"/>
          </w:tcPr>
          <w:p>
            <w:pPr>
              <w:jc w:val="right"/>
              <w:spacing w:after="0"/>
              <w:rPr>
                <w:sz w:val="20"/>
                <w:szCs w:val="20"/>
                <w:color w:val="auto"/>
              </w:rPr>
            </w:pPr>
            <w:r>
              <w:rPr>
                <w:rFonts w:ascii="Arial" w:cs="Arial" w:eastAsia="Arial" w:hAnsi="Arial"/>
                <w:sz w:val="16"/>
                <w:szCs w:val="16"/>
                <w:color w:val="auto"/>
                <w:w w:val="86"/>
              </w:rPr>
              <w:t>$ 130.85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26.76</w:t>
            </w: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389.0 %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85.71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48.51</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76.7 %</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$ 284.10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331.0 %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50.4 %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359" w:hanging="330"/>
        <w:spacing w:after="0" w:line="258"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Gaylord Opryland operating expenses do not include a gain on sale of assets of $0.3 million and $1.3 million in the nine months ended September 30, 2021 and 2020, respectively.</w:t>
      </w:r>
    </w:p>
    <w:p>
      <w:pPr>
        <w:spacing w:after="0" w:line="1" w:lineRule="exact"/>
        <w:rPr>
          <w:rFonts w:ascii="Arial" w:cs="Arial" w:eastAsia="Arial" w:hAnsi="Arial"/>
          <w:sz w:val="18"/>
          <w:szCs w:val="18"/>
          <w:color w:val="auto"/>
        </w:rPr>
      </w:pPr>
    </w:p>
    <w:p>
      <w:pPr>
        <w:ind w:left="380" w:right="319" w:hanging="330"/>
        <w:spacing w:after="0" w:line="302"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Gaylord Opryland operating expenses for the three months and nine months ended September 30, 2020 include approximately $4.2 million and $8.7 million, respectively, in expenses directly related to the COVID-19 pandemic, which are primarily employment costs. Gaylord Opryland operating expenses for the nine months ended September</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399"/>
        <w:spacing w:after="0" w:line="277" w:lineRule="auto"/>
        <w:rPr>
          <w:sz w:val="20"/>
          <w:szCs w:val="20"/>
          <w:color w:val="auto"/>
        </w:rPr>
      </w:pPr>
      <w:r>
        <w:rPr>
          <w:rFonts w:ascii="Arial" w:cs="Arial" w:eastAsia="Arial" w:hAnsi="Arial"/>
          <w:sz w:val="18"/>
          <w:szCs w:val="18"/>
          <w:color w:val="auto"/>
        </w:rPr>
        <w:t>30, 2021 include approximately $0.4 million in credits directly related to the COVID-19 pandemic, which is net of $0.5 million in payroll tax credits afforded under the CARES Act.</w:t>
      </w:r>
    </w:p>
    <w:p>
      <w:pPr>
        <w:spacing w:after="0" w:line="170"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Gaylord Palms results include 302 expansion rooms beginning in April 2021. The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Gaylord Palms for the three months and nine months ended September 30, 2021 and 2020 are as follows (in thousands, except percentages and performance metrics):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89"/>
              </w:rPr>
              <w:t>September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0"/>
                <w:szCs w:val="10"/>
                <w:color w:val="auto"/>
              </w:rPr>
            </w:pPr>
          </w:p>
        </w:tc>
        <w:tc>
          <w:tcPr>
            <w:tcW w:w="58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50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14,223</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3,226</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340.9 %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34,812</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20,824</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67.2 %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15,181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553.8 %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31,955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24,865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5,072</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140.4 %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15,528</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8,158</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90.3 %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34,476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7,658</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350.2 %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82,295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53,847</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187.6 %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9,977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2,592</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284.9 %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21,660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16,217</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33.6 %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15,305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12,080</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39,699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37,671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2,381.8 %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1,230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674</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82.5 %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7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44.8 %</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15,278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12,452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22.7 %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35,237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19,973</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76.4 %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86,078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72,725</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18.4 %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44.7 %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14.7 %</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30.0 pts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41.1 %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26.0 %</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15.1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201.18</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168.83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19.2 %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198.85</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206.72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89.99</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24.76</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263.4 %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81.71</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53.67</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52.2 %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218.13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271.0 %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193.15</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138.79</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39.2 %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339" w:hanging="330"/>
        <w:spacing w:after="0" w:line="255"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Gaylord Palms operating expenses do not include preopening costs of $0.1 million in the three months ended September 30, 2021 and 2020, and $0.7 million and $0.2 million in the nine months ended September 30, 2021 and 2020, respectively. See discussion of these items below.</w:t>
      </w:r>
    </w:p>
    <w:p>
      <w:pPr>
        <w:spacing w:after="0" w:line="2" w:lineRule="exact"/>
        <w:rPr>
          <w:rFonts w:ascii="Arial" w:cs="Arial" w:eastAsia="Arial" w:hAnsi="Arial"/>
          <w:sz w:val="18"/>
          <w:szCs w:val="18"/>
          <w:color w:val="auto"/>
        </w:rPr>
      </w:pPr>
    </w:p>
    <w:p>
      <w:pPr>
        <w:ind w:left="380" w:right="79" w:hanging="330"/>
        <w:spacing w:after="0" w:line="270"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Gaylord Palms operating expenses for the three months and nine months ended September 30, 2020 include approximately $2.5 million and $5.0 million, respectively, in expenses directly related to the COVID-19 pandemic, which are primarily employment costs. Gaylord Palms operating expenses for the three months and nine months ended September 30, 2021 include approximately $0.3 million and $0.2 million, respectively, in expenses directly related to the COVID-19 pandemic. Operating expenses for the nine months ended September 30, 2021 is net of $0.4 million in payroll tax credits afforded under the CARES Act.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and nine months ended September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are as 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2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60" w:type="dxa"/>
            <w:vAlign w:val="bottom"/>
            <w:gridSpan w:val="2"/>
            <w:vMerge w:val="restart"/>
          </w:tcPr>
          <w:p>
            <w:pPr>
              <w:jc w:val="right"/>
              <w:ind w:right="10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50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1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Rooms</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$ 24,045</w:t>
            </w:r>
          </w:p>
        </w:tc>
        <w:tc>
          <w:tcPr>
            <w:tcW w:w="1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8,693</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176.6 %</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45,735</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29,238</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56.4 %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24,848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307.3 %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36,477</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Other hotel revenue</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7,148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4,857</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47.2 %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19,763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15,404</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28.3 %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56,041</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19,651</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185.2 %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108,468</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81,119</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Operating expenses:</w:t>
            </w: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132.6 %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15,569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5,208</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198.9 %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29,446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22,862</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28.8 %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15,551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11,642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33.6 %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37,346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35,245</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Management fees, net</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930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217</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328.6 %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1,622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1,088</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49.1 %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Depreciation and amortization</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6,146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6,327</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19,184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w w:val="97"/>
              </w:rPr>
              <w:t>Total operating expenses (1)</w:t>
            </w:r>
          </w:p>
        </w:tc>
        <w:tc>
          <w:tcPr>
            <w:tcW w:w="15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43,401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25,632</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69.3 %</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97,331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85,818</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Occupancy</w:t>
            </w:r>
          </w:p>
        </w:tc>
        <w:tc>
          <w:tcPr>
            <w:tcW w:w="2320" w:type="dxa"/>
            <w:vAlign w:val="bottom"/>
            <w:gridSpan w:val="3"/>
          </w:tcPr>
          <w:p>
            <w:pPr>
              <w:jc w:val="right"/>
              <w:ind w:right="40"/>
              <w:spacing w:after="0"/>
              <w:rPr>
                <w:sz w:val="20"/>
                <w:szCs w:val="20"/>
                <w:color w:val="auto"/>
              </w:rPr>
            </w:pPr>
            <w:r>
              <w:rPr>
                <w:rFonts w:ascii="Arial" w:cs="Arial" w:eastAsia="Arial" w:hAnsi="Arial"/>
                <w:sz w:val="16"/>
                <w:szCs w:val="16"/>
                <w:color w:val="auto"/>
              </w:rPr>
              <w:t>66.9 %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27.3 %</w:t>
            </w: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39.6 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44.6 %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29.5 %</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15.1 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$ 215.42</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190.80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12.9 %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207.21</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199.31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RevPAR</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$ 144.08</w:t>
            </w:r>
          </w:p>
        </w:tc>
        <w:tc>
          <w:tcPr>
            <w:tcW w:w="1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52.09</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176.6 %</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92.35</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58.82</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57.0 %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$ 335.80</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117.75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185.2 %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163.21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34.2 %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119" w:hanging="330"/>
        <w:spacing w:after="0" w:line="25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Gaylord Texan operating expenses for the three months and nine months ended September 30, 2020 include approximately $2.4 million and $4.4 million, respectively, in expenses directly related to the COVID-19 pandemic, which are primarily employment costs. Gaylord Texan operating expenses for each of the three months and nine months ended September 30, 2021 include approximately $0.1 million in credits directly related to the COVID-19 pandemic, which is net of $0.1 million and $0.3 million, respectively, in payroll tax credits afforded under the CARES Act.</w:t>
      </w:r>
    </w:p>
    <w:p>
      <w:pPr>
        <w:spacing w:after="0" w:line="192"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Gaylord National was closed from late March 2020 and reopened July 1, 2021. The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Gaylord National for the three months and nine months ended September 30, 2021 and 2020 are as 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89"/>
              </w:rPr>
              <w:t>September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0"/>
                <w:szCs w:val="10"/>
                <w:color w:val="auto"/>
              </w:rPr>
            </w:pPr>
          </w:p>
        </w:tc>
        <w:tc>
          <w:tcPr>
            <w:tcW w:w="660" w:type="dxa"/>
            <w:vAlign w:val="bottom"/>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50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16,990</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100.0 %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16,990</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19,533</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15,186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56,344.4 %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15,243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24,694</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3,832</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2,295.0 %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7,343</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5,829</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26.0 %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 (1)</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36,008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26,973.7 %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39,576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50,056</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345.7 %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12,727</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11,270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2,787</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304.4 %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12,858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24,204</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16,879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33,693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39,008</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(199)</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354.8 %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380</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19.2 %</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22,245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20,751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(2)(3)</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44,542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19,136</w:t>
            </w: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132.8 %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77,684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97,070</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44.1 %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300"/>
              <w:spacing w:after="0"/>
              <w:rPr>
                <w:sz w:val="20"/>
                <w:szCs w:val="20"/>
                <w:color w:val="auto"/>
              </w:rPr>
            </w:pPr>
            <w:r>
              <w:rPr>
                <w:rFonts w:ascii="Arial" w:cs="Arial" w:eastAsia="Arial" w:hAnsi="Arial"/>
                <w:sz w:val="16"/>
                <w:szCs w:val="16"/>
                <w:color w:val="auto"/>
              </w:rPr>
              <w:t>— %</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44.1 pts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14.9 %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17.2 %</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(2.3)pts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209.77</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209.77</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207.13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92.52</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100.0 %</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31.18</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35.71</w:t>
            </w:r>
          </w:p>
        </w:tc>
        <w:tc>
          <w:tcPr>
            <w:tcW w:w="2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196.09</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26,761.6 %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879" w:hanging="330"/>
        <w:spacing w:after="0" w:line="258"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Gaylord National revenue for the three months ended September 30, 2020 consists primarily of attrition and cancellation fee revenue.</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Gaylord National operating expenses do not include credit losses on held-to-maturity securities of $7.8 million and</w:t>
      </w:r>
    </w:p>
    <w:p>
      <w:pPr>
        <w:spacing w:after="0" w:line="20" w:lineRule="exact"/>
        <w:rPr>
          <w:rFonts w:ascii="Arial" w:cs="Arial" w:eastAsia="Arial" w:hAnsi="Arial"/>
          <w:sz w:val="17"/>
          <w:szCs w:val="17"/>
          <w:color w:val="auto"/>
        </w:rPr>
      </w:pPr>
    </w:p>
    <w:p>
      <w:pPr>
        <w:ind w:left="380" w:right="99"/>
        <w:spacing w:after="0" w:line="250" w:lineRule="auto"/>
        <w:rPr>
          <w:rFonts w:ascii="Arial" w:cs="Arial" w:eastAsia="Arial" w:hAnsi="Arial"/>
          <w:sz w:val="17"/>
          <w:szCs w:val="17"/>
          <w:color w:val="auto"/>
        </w:rPr>
      </w:pPr>
      <w:r>
        <w:rPr>
          <w:rFonts w:ascii="Arial" w:cs="Arial" w:eastAsia="Arial" w:hAnsi="Arial"/>
          <w:sz w:val="18"/>
          <w:szCs w:val="18"/>
          <w:color w:val="auto"/>
        </w:rPr>
        <w:t>$32.8 million in the three months and nine months ended September 30, 2020, respectively. See discussion of this item below.</w:t>
      </w:r>
    </w:p>
    <w:p>
      <w:pPr>
        <w:ind w:left="380" w:right="159" w:hanging="330"/>
        <w:spacing w:after="0" w:line="270"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Gaylord National operating expenses for the three months and nine months ended September 30, 2020 include approximately $3.7 million and $12.9 million, respectively, in expenses directly related to the COVID-19 pandemic, which are primarily employment costs. Gaylord National operating expenses for the three months and nine months ended September 30, 2021 include approximately $0.1 million in expense and $2.3 million in credits, respectively, directly related to the COVID-19 pandemic. Operating expenses for the nine months ended September 30, 2021 is net of $2.5 million in payroll tax credits afforded under the CARES Act.</w:t>
      </w:r>
    </w:p>
    <w:p>
      <w:pPr>
        <w:spacing w:after="0" w:line="17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i w:val="1"/>
          <w:iCs w:val="1"/>
          <w:color w:val="auto"/>
        </w:rPr>
        <w:t>Gaylord Rockies Results</w:t>
      </w:r>
      <w:r>
        <w:rPr>
          <w:rFonts w:ascii="Arial" w:cs="Arial" w:eastAsia="Arial" w:hAnsi="Arial"/>
          <w:sz w:val="18"/>
          <w:szCs w:val="18"/>
          <w:color w:val="auto"/>
        </w:rPr>
        <w:t>. The results of Gaylord Rockies for the three months and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 are as 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6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 2021</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80"/>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r>
      <w:tr>
        <w:trPr>
          <w:trHeight w:val="178"/>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20" w:type="dxa"/>
            <w:vAlign w:val="bottom"/>
          </w:tcPr>
          <w:p>
            <w:pPr>
              <w:jc w:val="right"/>
              <w:ind w:right="10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02"/>
        </w:trPr>
        <w:tc>
          <w:tcPr>
            <w:tcW w:w="4000" w:type="dxa"/>
            <w:vAlign w:val="bottom"/>
            <w:gridSpan w:val="2"/>
          </w:tcPr>
          <w:p>
            <w:pPr>
              <w:ind w:left="120"/>
              <w:spacing w:after="0"/>
              <w:rPr>
                <w:sz w:val="20"/>
                <w:szCs w:val="20"/>
                <w:color w:val="auto"/>
              </w:rPr>
            </w:pPr>
            <w:r>
              <w:rPr>
                <w:rFonts w:ascii="Arial" w:cs="Arial" w:eastAsia="Arial" w:hAnsi="Arial"/>
                <w:sz w:val="16"/>
                <w:szCs w:val="16"/>
                <w:color w:val="auto"/>
              </w:rPr>
              <w:t>Rooms</w:t>
            </w:r>
          </w:p>
        </w:tc>
        <w:tc>
          <w:tcPr>
            <w:tcW w:w="620" w:type="dxa"/>
            <w:vAlign w:val="bottom"/>
          </w:tcPr>
          <w:p>
            <w:pPr>
              <w:jc w:val="right"/>
              <w:spacing w:after="0"/>
              <w:rPr>
                <w:sz w:val="20"/>
                <w:szCs w:val="20"/>
                <w:color w:val="auto"/>
              </w:rPr>
            </w:pPr>
            <w:r>
              <w:rPr>
                <w:rFonts w:ascii="Arial" w:cs="Arial" w:eastAsia="Arial" w:hAnsi="Arial"/>
                <w:sz w:val="16"/>
                <w:szCs w:val="16"/>
                <w:color w:val="auto"/>
                <w:w w:val="86"/>
              </w:rPr>
              <w:t>$ 19,209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4,526</w:t>
            </w:r>
          </w:p>
        </w:tc>
        <w:tc>
          <w:tcPr>
            <w:tcW w:w="220" w:type="dxa"/>
            <w:vAlign w:val="bottom"/>
          </w:tcPr>
          <w:p>
            <w:pPr>
              <w:spacing w:after="0"/>
              <w:rPr>
                <w:sz w:val="17"/>
                <w:szCs w:val="17"/>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6"/>
                <w:szCs w:val="16"/>
                <w:color w:val="auto"/>
              </w:rPr>
              <w:t>324.4 % $</w:t>
            </w:r>
          </w:p>
        </w:tc>
        <w:tc>
          <w:tcPr>
            <w:tcW w:w="600" w:type="dxa"/>
            <w:vAlign w:val="bottom"/>
          </w:tcPr>
          <w:p>
            <w:pPr>
              <w:jc w:val="right"/>
              <w:spacing w:after="0"/>
              <w:rPr>
                <w:sz w:val="20"/>
                <w:szCs w:val="20"/>
                <w:color w:val="auto"/>
              </w:rPr>
            </w:pPr>
            <w:r>
              <w:rPr>
                <w:rFonts w:ascii="Arial" w:cs="Arial" w:eastAsia="Arial" w:hAnsi="Arial"/>
                <w:sz w:val="16"/>
                <w:szCs w:val="16"/>
                <w:color w:val="auto"/>
              </w:rPr>
              <w:t>30,343</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20,905</w:t>
            </w: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45.1 %</w:t>
            </w:r>
          </w:p>
        </w:tc>
      </w:tr>
      <w:tr>
        <w:trPr>
          <w:trHeight w:val="203"/>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479.5 %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36,450</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(10.5)%</w:t>
            </w:r>
          </w:p>
        </w:tc>
      </w:tr>
      <w:tr>
        <w:trPr>
          <w:trHeight w:val="203"/>
        </w:trPr>
        <w:tc>
          <w:tcPr>
            <w:tcW w:w="4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hotel revenue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w:t>
            </w:r>
          </w:p>
        </w:tc>
        <w:tc>
          <w:tcPr>
            <w:tcW w:w="2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173.8 %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10,980</w:t>
            </w:r>
          </w:p>
        </w:tc>
        <w:tc>
          <w:tcPr>
            <w:tcW w:w="2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68.8 %</w:t>
            </w:r>
          </w:p>
        </w:tc>
      </w:tr>
      <w:tr>
        <w:trPr>
          <w:trHeight w:val="196"/>
        </w:trPr>
        <w:tc>
          <w:tcPr>
            <w:tcW w:w="4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11,931</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329.2 %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68,335</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19.3 %</w:t>
            </w:r>
          </w:p>
        </w:tc>
      </w:tr>
      <w:tr>
        <w:trPr>
          <w:trHeight w:val="20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132.8 %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7,364</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17.5 %</w:t>
            </w:r>
          </w:p>
        </w:tc>
      </w:tr>
      <w:tr>
        <w:trPr>
          <w:trHeight w:val="203"/>
        </w:trPr>
        <w:tc>
          <w:tcPr>
            <w:tcW w:w="400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620" w:type="dxa"/>
            <w:vAlign w:val="bottom"/>
          </w:tcPr>
          <w:p>
            <w:pPr>
              <w:jc w:val="right"/>
              <w:spacing w:after="0"/>
              <w:rPr>
                <w:sz w:val="20"/>
                <w:szCs w:val="20"/>
                <w:color w:val="auto"/>
              </w:rPr>
            </w:pPr>
            <w:r>
              <w:rPr>
                <w:rFonts w:ascii="Arial" w:cs="Arial" w:eastAsia="Arial" w:hAnsi="Arial"/>
                <w:sz w:val="16"/>
                <w:szCs w:val="16"/>
                <w:color w:val="auto"/>
              </w:rPr>
              <w:t>13,040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3,869</w:t>
            </w:r>
          </w:p>
        </w:tc>
        <w:tc>
          <w:tcPr>
            <w:tcW w:w="2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237.0 %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23,787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22,467</w:t>
            </w: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5.9 %</w:t>
            </w:r>
          </w:p>
        </w:tc>
      </w:tr>
      <w:tr>
        <w:trPr>
          <w:trHeight w:val="203"/>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6,992</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22,489</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w:t>
            </w:r>
          </w:p>
        </w:tc>
      </w:tr>
      <w:tr>
        <w:trPr>
          <w:trHeight w:val="203"/>
        </w:trPr>
        <w:tc>
          <w:tcPr>
            <w:tcW w:w="4000" w:type="dxa"/>
            <w:vAlign w:val="bottom"/>
            <w:gridSpan w:val="2"/>
          </w:tcPr>
          <w:p>
            <w:pPr>
              <w:ind w:left="120"/>
              <w:spacing w:after="0"/>
              <w:rPr>
                <w:sz w:val="20"/>
                <w:szCs w:val="20"/>
                <w:color w:val="auto"/>
              </w:rPr>
            </w:pPr>
            <w:r>
              <w:rPr>
                <w:rFonts w:ascii="Arial" w:cs="Arial" w:eastAsia="Arial" w:hAnsi="Arial"/>
                <w:sz w:val="16"/>
                <w:szCs w:val="16"/>
                <w:color w:val="auto"/>
              </w:rPr>
              <w:t>Management fees, net</w:t>
            </w:r>
          </w:p>
        </w:tc>
        <w:tc>
          <w:tcPr>
            <w:tcW w:w="620" w:type="dxa"/>
            <w:vAlign w:val="bottom"/>
          </w:tcPr>
          <w:p>
            <w:pPr>
              <w:jc w:val="right"/>
              <w:spacing w:after="0"/>
              <w:rPr>
                <w:sz w:val="20"/>
                <w:szCs w:val="20"/>
                <w:color w:val="auto"/>
              </w:rPr>
            </w:pPr>
            <w:r>
              <w:rPr>
                <w:rFonts w:ascii="Arial" w:cs="Arial" w:eastAsia="Arial" w:hAnsi="Arial"/>
                <w:sz w:val="16"/>
                <w:szCs w:val="16"/>
                <w:color w:val="auto"/>
              </w:rPr>
              <w:t>1,515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453</w:t>
            </w:r>
          </w:p>
        </w:tc>
        <w:tc>
          <w:tcPr>
            <w:tcW w:w="2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234.4 %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2,645</w:t>
            </w: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(20.5)%</w:t>
            </w:r>
          </w:p>
        </w:tc>
      </w:tr>
      <w:tr>
        <w:trPr>
          <w:trHeight w:val="203"/>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22,670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22,616</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67,978</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67,897</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0.1 %</w:t>
            </w:r>
          </w:p>
        </w:tc>
      </w:tr>
      <w:tr>
        <w:trPr>
          <w:trHeight w:val="196"/>
        </w:trPr>
        <w:tc>
          <w:tcPr>
            <w:tcW w:w="400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w:t>
            </w:r>
          </w:p>
        </w:tc>
        <w:tc>
          <w:tcPr>
            <w:tcW w:w="620" w:type="dxa"/>
            <w:vAlign w:val="bottom"/>
          </w:tcPr>
          <w:p>
            <w:pPr>
              <w:jc w:val="right"/>
              <w:spacing w:after="0"/>
              <w:rPr>
                <w:sz w:val="20"/>
                <w:szCs w:val="20"/>
                <w:color w:val="auto"/>
              </w:rPr>
            </w:pPr>
            <w:r>
              <w:rPr>
                <w:rFonts w:ascii="Arial" w:cs="Arial" w:eastAsia="Arial" w:hAnsi="Arial"/>
                <w:sz w:val="16"/>
                <w:szCs w:val="16"/>
                <w:color w:val="auto"/>
              </w:rPr>
              <w:t>49,614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9"/>
              </w:rPr>
              <w:t>35,895</w:t>
            </w:r>
          </w:p>
        </w:tc>
        <w:tc>
          <w:tcPr>
            <w:tcW w:w="2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38.2 %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125,013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122,862</w:t>
            </w: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1.8 %</w:t>
            </w:r>
          </w:p>
        </w:tc>
      </w:tr>
      <w:tr>
        <w:trPr>
          <w:trHeight w:val="20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000" w:type="dxa"/>
            <w:vAlign w:val="bottom"/>
            <w:gridSpan w:val="2"/>
          </w:tcPr>
          <w:p>
            <w:pPr>
              <w:ind w:left="120"/>
              <w:spacing w:after="0"/>
              <w:rPr>
                <w:sz w:val="20"/>
                <w:szCs w:val="20"/>
                <w:color w:val="auto"/>
              </w:rPr>
            </w:pPr>
            <w:r>
              <w:rPr>
                <w:rFonts w:ascii="Arial" w:cs="Arial" w:eastAsia="Arial" w:hAnsi="Arial"/>
                <w:sz w:val="16"/>
                <w:szCs w:val="16"/>
                <w:color w:val="auto"/>
              </w:rPr>
              <w:t>Occupancy</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61.9 %</w:t>
            </w: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19.3 %</w:t>
            </w: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42.6 pts</w:t>
            </w:r>
          </w:p>
        </w:tc>
        <w:tc>
          <w:tcPr>
            <w:tcW w:w="820" w:type="dxa"/>
            <w:vAlign w:val="bottom"/>
            <w:gridSpan w:val="2"/>
          </w:tcPr>
          <w:p>
            <w:pPr>
              <w:jc w:val="right"/>
              <w:ind w:right="8"/>
              <w:spacing w:after="0"/>
              <w:rPr>
                <w:sz w:val="20"/>
                <w:szCs w:val="20"/>
                <w:color w:val="auto"/>
              </w:rPr>
            </w:pPr>
            <w:r>
              <w:rPr>
                <w:rFonts w:ascii="Arial" w:cs="Arial" w:eastAsia="Arial" w:hAnsi="Arial"/>
                <w:sz w:val="16"/>
                <w:szCs w:val="16"/>
                <w:color w:val="auto"/>
              </w:rPr>
              <w:t>35.2 %</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25.8 %</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9.4 pts</w:t>
            </w:r>
          </w:p>
        </w:tc>
      </w:tr>
      <w:tr>
        <w:trPr>
          <w:trHeight w:val="203"/>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$ 224.67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169.43</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32.6 %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196.84</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7.0 %</w:t>
            </w:r>
          </w:p>
        </w:tc>
      </w:tr>
      <w:tr>
        <w:trPr>
          <w:trHeight w:val="203"/>
        </w:trPr>
        <w:tc>
          <w:tcPr>
            <w:tcW w:w="4000" w:type="dxa"/>
            <w:vAlign w:val="bottom"/>
            <w:gridSpan w:val="2"/>
          </w:tcPr>
          <w:p>
            <w:pPr>
              <w:ind w:left="120"/>
              <w:spacing w:after="0"/>
              <w:rPr>
                <w:sz w:val="20"/>
                <w:szCs w:val="20"/>
                <w:color w:val="auto"/>
              </w:rPr>
            </w:pPr>
            <w:r>
              <w:rPr>
                <w:rFonts w:ascii="Arial" w:cs="Arial" w:eastAsia="Arial" w:hAnsi="Arial"/>
                <w:sz w:val="16"/>
                <w:szCs w:val="16"/>
                <w:color w:val="auto"/>
              </w:rPr>
              <w:t>RevPAR</w:t>
            </w:r>
          </w:p>
        </w:tc>
        <w:tc>
          <w:tcPr>
            <w:tcW w:w="620" w:type="dxa"/>
            <w:vAlign w:val="bottom"/>
          </w:tcPr>
          <w:p>
            <w:pPr>
              <w:jc w:val="right"/>
              <w:spacing w:after="0"/>
              <w:rPr>
                <w:sz w:val="20"/>
                <w:szCs w:val="20"/>
                <w:color w:val="auto"/>
              </w:rPr>
            </w:pPr>
            <w:r>
              <w:rPr>
                <w:rFonts w:ascii="Arial" w:cs="Arial" w:eastAsia="Arial" w:hAnsi="Arial"/>
                <w:sz w:val="16"/>
                <w:szCs w:val="16"/>
                <w:color w:val="auto"/>
                <w:w w:val="86"/>
              </w:rPr>
              <w:t>$ 139.10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32.78</w:t>
            </w:r>
          </w:p>
        </w:tc>
        <w:tc>
          <w:tcPr>
            <w:tcW w:w="220" w:type="dxa"/>
            <w:vAlign w:val="bottom"/>
          </w:tcPr>
          <w:p>
            <w:pPr>
              <w:spacing w:after="0"/>
              <w:rPr>
                <w:sz w:val="17"/>
                <w:szCs w:val="17"/>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6"/>
                <w:szCs w:val="16"/>
                <w:color w:val="auto"/>
              </w:rPr>
              <w:t>324.3 % $</w:t>
            </w:r>
          </w:p>
        </w:tc>
        <w:tc>
          <w:tcPr>
            <w:tcW w:w="600" w:type="dxa"/>
            <w:vAlign w:val="bottom"/>
          </w:tcPr>
          <w:p>
            <w:pPr>
              <w:jc w:val="right"/>
              <w:spacing w:after="0"/>
              <w:rPr>
                <w:sz w:val="20"/>
                <w:szCs w:val="20"/>
                <w:color w:val="auto"/>
              </w:rPr>
            </w:pPr>
            <w:r>
              <w:rPr>
                <w:rFonts w:ascii="Arial" w:cs="Arial" w:eastAsia="Arial" w:hAnsi="Arial"/>
                <w:sz w:val="16"/>
                <w:szCs w:val="16"/>
                <w:color w:val="auto"/>
              </w:rPr>
              <w:t>74.05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50.83</w:t>
            </w: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45.7 %</w:t>
            </w:r>
          </w:p>
        </w:tc>
      </w:tr>
      <w:tr>
        <w:trPr>
          <w:trHeight w:val="203"/>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$ 370.84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86.39</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329.3 %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166.15</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19.7 %</w:t>
            </w:r>
          </w:p>
        </w:tc>
      </w:tr>
      <w:tr>
        <w:trPr>
          <w:trHeight w:val="108"/>
        </w:trPr>
        <w:tc>
          <w:tcPr>
            <w:tcW w:w="224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80" w:lineRule="exact"/>
        <w:rPr>
          <w:sz w:val="20"/>
          <w:szCs w:val="20"/>
          <w:color w:val="auto"/>
        </w:rPr>
      </w:pPr>
    </w:p>
    <w:p>
      <w:pPr>
        <w:ind w:left="380" w:right="139" w:hanging="330"/>
        <w:spacing w:after="0" w:line="25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Gaylord Rockies operating expenses for the three months and nine months ended September 30, 2020 include approximately $1.6 million and $3.7 million, respectively, in expenses directly related to the COVID-19 pandemic, which are primarily employment costs. Gaylord Rockies operating expenses for the nine months ended September 30, 2021 include approximately $0.1 million in credits directly related to the COVID-19 pandemic and is net of $0.2 million in payroll tax credits afforded under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98"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Due to the COVID-19 pandemic, we temporarily closed our Entertainment segment assets in mid-March 2020 and reopened in stages in the summer and fall of 2020 with limited capacity. The Wildhorse Saloon was again closed subsequent to the December 2020 downtown Nashville bombing and reopened in April 2021. In May 2021, all venues returned to full capacity. The Entertainment segment financial results for the three months and nine months ended September 30, 2021 and 2020 are not comparable to historical periods. In addition, the Entertainment segment financial results for the three months and nine months ended September 30, 2021 are not comparable to the three months and nine months ended September 30, 2020 due to the temporary closures, which were directly related to the COVID-19 pandemic. The following presents the financial results of our Entertainment segment for the three months and nine months ended September 30, 2021 and 2020 (in thousands, except percentages):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60" w:type="dxa"/>
            <w:vAlign w:val="bottom"/>
            <w:gridSpan w:val="7"/>
          </w:tcPr>
          <w:p>
            <w:pPr>
              <w:jc w:val="center"/>
              <w:ind w:left="422"/>
              <w:spacing w:after="0"/>
              <w:rPr>
                <w:sz w:val="20"/>
                <w:szCs w:val="20"/>
                <w:color w:val="auto"/>
              </w:rPr>
            </w:pPr>
            <w:r>
              <w:rPr>
                <w:rFonts w:ascii="Arial" w:cs="Arial" w:eastAsia="Arial" w:hAnsi="Arial"/>
                <w:sz w:val="14"/>
                <w:szCs w:val="14"/>
                <w:b w:val="1"/>
                <w:bCs w:val="1"/>
                <w:color w:val="auto"/>
                <w:w w:val="93"/>
              </w:rPr>
              <w:t>Nine Months Ended</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520" w:type="dxa"/>
            <w:vAlign w:val="bottom"/>
            <w:vMerge w:val="restart"/>
          </w:tcPr>
          <w:p>
            <w:pPr>
              <w:spacing w:after="0"/>
              <w:rPr>
                <w:sz w:val="10"/>
                <w:szCs w:val="10"/>
                <w:color w:val="auto"/>
              </w:rPr>
            </w:pPr>
          </w:p>
        </w:tc>
        <w:tc>
          <w:tcPr>
            <w:tcW w:w="7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2021</w:t>
            </w:r>
          </w:p>
        </w:tc>
        <w:tc>
          <w:tcPr>
            <w:tcW w:w="140" w:type="dxa"/>
            <w:vAlign w:val="bottom"/>
            <w:vMerge w:val="restart"/>
          </w:tcPr>
          <w:p>
            <w:pPr>
              <w:spacing w:after="0"/>
              <w:rPr>
                <w:sz w:val="10"/>
                <w:szCs w:val="10"/>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660" w:type="dxa"/>
            <w:vAlign w:val="bottom"/>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6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52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$ 49,053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$ 12,271</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299.7 %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$ 98,599</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44,006</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124.1 %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gridSpan w:val="2"/>
          </w:tcPr>
          <w:p>
            <w:pPr>
              <w:jc w:val="right"/>
              <w:ind w:right="4"/>
              <w:spacing w:after="0"/>
              <w:rPr>
                <w:sz w:val="20"/>
                <w:szCs w:val="20"/>
                <w:color w:val="auto"/>
              </w:rPr>
            </w:pPr>
            <w:r>
              <w:rPr>
                <w:rFonts w:ascii="Arial" w:cs="Arial" w:eastAsia="Arial" w:hAnsi="Arial"/>
                <w:sz w:val="18"/>
                <w:szCs w:val="18"/>
                <w:color w:val="auto"/>
              </w:rPr>
              <w:t>33,467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17,343</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93.0 %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77,797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60,146</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1"/>
              </w:rPr>
              <w:t>Depreciation and amortization</w:t>
            </w:r>
          </w:p>
        </w:tc>
        <w:tc>
          <w:tcPr>
            <w:tcW w:w="15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3,506</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398"/>
        </w:trPr>
        <w:tc>
          <w:tcPr>
            <w:tcW w:w="2240" w:type="dxa"/>
            <w:vAlign w:val="bottom"/>
            <w:gridSpan w:val="2"/>
          </w:tcPr>
          <w:p>
            <w:pPr>
              <w:ind w:left="20"/>
              <w:spacing w:after="0"/>
              <w:rPr>
                <w:sz w:val="20"/>
                <w:szCs w:val="20"/>
                <w:color w:val="auto"/>
              </w:rPr>
            </w:pPr>
            <w:r>
              <w:rPr>
                <w:rFonts w:ascii="Arial" w:cs="Arial" w:eastAsia="Arial" w:hAnsi="Arial"/>
                <w:sz w:val="18"/>
                <w:szCs w:val="18"/>
                <w:color w:val="auto"/>
                <w:w w:val="91"/>
              </w:rPr>
              <w:t>Operating income (loss) (1)(2)</w:t>
            </w:r>
          </w:p>
        </w:tc>
        <w:tc>
          <w:tcPr>
            <w:tcW w:w="2220" w:type="dxa"/>
            <w:vAlign w:val="bottom"/>
            <w:gridSpan w:val="2"/>
          </w:tcPr>
          <w:p>
            <w:pPr>
              <w:jc w:val="right"/>
              <w:ind w:right="4"/>
              <w:spacing w:after="0"/>
              <w:rPr>
                <w:sz w:val="20"/>
                <w:szCs w:val="20"/>
                <w:color w:val="auto"/>
              </w:rPr>
            </w:pPr>
            <w:r>
              <w:rPr>
                <w:rFonts w:ascii="Arial" w:cs="Arial" w:eastAsia="Arial" w:hAnsi="Arial"/>
                <w:sz w:val="18"/>
                <w:szCs w:val="18"/>
                <w:color w:val="auto"/>
              </w:rPr>
              <w:t>$ 12,080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(9,057)</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233.4 %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$ 10,074</w:t>
            </w:r>
          </w:p>
        </w:tc>
        <w:tc>
          <w:tcPr>
            <w:tcW w:w="3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(26,632)</w:t>
            </w:r>
          </w:p>
        </w:tc>
        <w:tc>
          <w:tcPr>
            <w:tcW w:w="1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137.8 %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19" w:hanging="330"/>
        <w:spacing w:after="0" w:line="342"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Entertainment segment operating income (loss) does not include preopening costs of $0.2 million and $1.4 million in the three months and nine months ended September 30, 2020, respectively. See discussion of this item below.</w:t>
      </w:r>
    </w:p>
    <w:p>
      <w:pPr>
        <w:spacing w:after="0" w:line="83" w:lineRule="exact"/>
        <w:rPr>
          <w:rFonts w:ascii="Arial" w:cs="Arial" w:eastAsia="Arial" w:hAnsi="Arial"/>
          <w:sz w:val="16"/>
          <w:szCs w:val="16"/>
          <w:color w:val="auto"/>
        </w:rPr>
      </w:pPr>
    </w:p>
    <w:p>
      <w:pPr>
        <w:ind w:left="380" w:right="299" w:hanging="330"/>
        <w:spacing w:after="0" w:line="26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Entertainment segment operating expenses for the three months and nine months ended September 30, 2020 include approximately $0.5 million and $4.6 million, respectively, in expenses directly related to the COVID-19 pandemic, which are primarily employment costs.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85" w:lineRule="exact"/>
        <w:rPr>
          <w:sz w:val="20"/>
          <w:szCs w:val="20"/>
          <w:color w:val="auto"/>
        </w:rPr>
      </w:pPr>
    </w:p>
    <w:p>
      <w:pPr>
        <w:ind w:left="60" w:right="1019"/>
        <w:spacing w:after="0" w:line="342" w:lineRule="auto"/>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The following presents the financial results of our Corporate and Other segment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and nine months ended September 30, 2021 and 2020 (in thousands, except percentages):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7"/>
          </w:tcPr>
          <w:p>
            <w:pPr>
              <w:jc w:val="right"/>
              <w:ind w:right="61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00" w:type="dxa"/>
            <w:vAlign w:val="bottom"/>
            <w:gridSpan w:val="5"/>
          </w:tcPr>
          <w:p>
            <w:pPr>
              <w:jc w:val="center"/>
              <w:ind w:left="299"/>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left="259"/>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64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50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22,693</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Depreciation and amortization</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80" w:type="dxa"/>
            <w:vAlign w:val="bottom"/>
            <w:tcBorders>
              <w:bottom w:val="single" w:sz="8" w:color="CCEEFF"/>
            </w:tcBorders>
            <w:gridSpan w:val="3"/>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w w:val="98"/>
              </w:rPr>
              <w:t>(18.1)%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(1)</w:t>
            </w: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(10,983)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(7,880)</w:t>
            </w:r>
          </w:p>
        </w:tc>
        <w:tc>
          <w:tcPr>
            <w:tcW w:w="8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(28,620)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(24,766)</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8"/>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359" w:hanging="330"/>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segment operating loss for the three months and nine months ended September 30, 2020 includes approximately $0.1 million and $0.6 million, respectively, in expenses directly related to the COVID-19 pandemic, which are primarily employment costs.</w:t>
      </w:r>
    </w:p>
    <w:p>
      <w:pPr>
        <w:spacing w:after="0" w:line="143"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months and nine months ended September 30, 2021, as compared to the prior year periods, primarily as a result of increased consulting and employment expenses.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85"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Preopening costs during the nine months ended September 30, 2021 primarily include costs associated with the Gaylord Palms expansion, which was completed in April 2021. Preopening costs during the three months and nine months ended September 30, 2020 primarily include costs associated with Ole Red Orlando, which opened in June 2020, and the Gaylord Palms expansion.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Gain on Sale of Assets</w:t>
      </w:r>
    </w:p>
    <w:p>
      <w:pPr>
        <w:spacing w:after="0" w:line="19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Gain on sale of assets of during the nine months ended September 30, 2021 and 2020 includes the sale of certain assets at Gaylord Opryland.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Credit Losses on Held-to-Maturity Securities</w:t>
      </w:r>
    </w:p>
    <w:p>
      <w:pPr>
        <w:spacing w:after="0" w:line="185" w:lineRule="exact"/>
        <w:rPr>
          <w:sz w:val="20"/>
          <w:szCs w:val="20"/>
          <w:color w:val="auto"/>
        </w:rPr>
      </w:pPr>
    </w:p>
    <w:p>
      <w:pPr>
        <w:ind w:left="60" w:right="439"/>
        <w:spacing w:after="0" w:line="279" w:lineRule="auto"/>
        <w:rPr>
          <w:sz w:val="20"/>
          <w:szCs w:val="20"/>
          <w:color w:val="auto"/>
        </w:rPr>
      </w:pPr>
      <w:r>
        <w:rPr>
          <w:rFonts w:ascii="Arial" w:cs="Arial" w:eastAsia="Arial" w:hAnsi="Arial"/>
          <w:sz w:val="17"/>
          <w:szCs w:val="17"/>
          <w:color w:val="auto"/>
        </w:rPr>
        <w:t>Credit losses on held-to-maturity securities of $7.8 million and $32.8 million during the three months and nine months ended September 30, 2020, respectively, relate to the bonds we received in 2008 related to the Gaylord National construction, which we hold as notes receivable. See further discussion regarding these credit losses in Note 6, “Notes Receivable,” to the condensed consolidated financial statements included herein.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Results Affecting Net Loss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summarizes the other factors which affected our net loss for the three months and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2020 (in thousands, except percentages):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780" w:type="dxa"/>
            <w:vAlign w:val="bottom"/>
            <w:gridSpan w:val="5"/>
          </w:tcPr>
          <w:p>
            <w:pPr>
              <w:jc w:val="center"/>
              <w:ind w:left="459"/>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96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840" w:type="dxa"/>
            <w:vAlign w:val="bottom"/>
            <w:gridSpan w:val="2"/>
            <w:vMerge w:val="restart"/>
          </w:tcPr>
          <w:p>
            <w:pPr>
              <w:jc w:val="center"/>
              <w:ind w:left="56"/>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0"/>
                <w:szCs w:val="10"/>
                <w:color w:val="auto"/>
              </w:rPr>
            </w:pPr>
          </w:p>
        </w:tc>
        <w:tc>
          <w:tcPr>
            <w:tcW w:w="70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80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$ 32,413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$ 28,127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$ 93,056</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87,527</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(6.9)%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5,765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9"/>
              </w:rPr>
              <w:t>Loss from unconsolidated joint ventures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(2,312)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(1,767)</w:t>
            </w:r>
          </w:p>
        </w:tc>
        <w:tc>
          <w:tcPr>
            <w:tcW w:w="16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(30.8)%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(5,482)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101.7 %</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(1,136.0)%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(27,046)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75.4 %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Interest expense increased $4.3 million and $5.5 million during the three months and nine months ended September 30, 2021, respectively, as compared to the same periods in 2020. The increase in both periods is primarily due to increased principal balances outstanding under our senior notes, and the increase in the three months ended September 30, 2021 also includes an increase in average borrowings outstanding under our revolving credit facility.</w:t>
      </w:r>
    </w:p>
    <w:p>
      <w:pPr>
        <w:spacing w:after="0" w:line="131" w:lineRule="exact"/>
        <w:rPr>
          <w:sz w:val="20"/>
          <w:szCs w:val="20"/>
          <w:color w:val="auto"/>
        </w:rPr>
      </w:pPr>
    </w:p>
    <w:p>
      <w:pPr>
        <w:ind w:left="60" w:right="379"/>
        <w:spacing w:after="0" w:line="257" w:lineRule="auto"/>
        <w:rPr>
          <w:sz w:val="20"/>
          <w:szCs w:val="20"/>
          <w:color w:val="auto"/>
        </w:rPr>
      </w:pPr>
      <w:r>
        <w:rPr>
          <w:rFonts w:ascii="Arial" w:cs="Arial" w:eastAsia="Arial" w:hAnsi="Arial"/>
          <w:sz w:val="18"/>
          <w:szCs w:val="18"/>
          <w:color w:val="auto"/>
        </w:rPr>
        <w:t>Cash interest expense increased $3.1 million to $30.3 million in the three months and increased $5.5 million to $89.6 million in the nine months ended September 30, 2021, as compared to the same periods in 2020. Non-cash interest expense, which includes amortization and write-off of deferred financing costs and is offset by capitalized interest, increased $1.2 million to $2.1 million in the three months and remained stable at $3.5 million in the nine months ended September 30, 2021, as compared to the same periods in 2020.</w:t>
      </w:r>
    </w:p>
    <w:p>
      <w:pPr>
        <w:spacing w:after="0" w:line="161"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color w:val="auto"/>
        </w:rPr>
        <w:t>Our weighted average interest rate on our borrowings, excluding the write-off of deferred financing costs and capitalized interest, but including the impact of interest rate swaps, was 4.3% and 4.4% for the three months ended September 30, 2021 and 2020, respectively, and 4.4% for each of the nine months ended September 30, 2021 and 2020.</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left="60" w:right="279"/>
        <w:spacing w:after="0" w:line="279" w:lineRule="auto"/>
        <w:rPr>
          <w:sz w:val="20"/>
          <w:szCs w:val="20"/>
          <w:color w:val="auto"/>
        </w:rPr>
      </w:pPr>
      <w:r>
        <w:rPr>
          <w:rFonts w:ascii="Arial" w:cs="Arial" w:eastAsia="Arial" w:hAnsi="Arial"/>
          <w:sz w:val="17"/>
          <w:szCs w:val="17"/>
          <w:color w:val="auto"/>
        </w:rPr>
        <w:t>Interest income for the three months and nine months ended September 30, 2021 and 2020 primarily includes amounts earned on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on Extinguishment of Debt</w:t>
      </w:r>
    </w:p>
    <w:p>
      <w:pPr>
        <w:spacing w:after="0" w:line="19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 February 2021, we commenced a cash tender offer for any and all outstanding $400 Million 5% Senior Notes at a redemption price of $1,005.00 per $1,000 principal amount. Pursuant to the tender offer, $161.9 million aggregate principal amount of these notes were validly tendered. As a result of our purchase of these tendered notes, and the subsequent redemption of all untendered $400 Million 5% Senior Notes, we recognized a loss on extinguishment of debt of $2.9 million in the nine months ended September 30, 2021.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from Unconsolidated Joint Ventures</w:t>
      </w:r>
    </w:p>
    <w:p>
      <w:pPr>
        <w:spacing w:after="0" w:line="185"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The loss from unconsolidated joint ventures for the three months and nine months ended September 30, 2021 and 2020 represents our equity method share of losses associated with Circle.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Gains and (Losses), net</w:t>
      </w:r>
    </w:p>
    <w:p>
      <w:pPr>
        <w:spacing w:after="0" w:line="185"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Other gains and (losses), net for the three months and nine months ended September 30, 2021 represents various miscellaneous items. Other gains and (losses), net for the nine months ended September 30, 2020 includes the forfeiture of a $15.0 million deposit associated with the previously terminated potential acquisition of Block 21 in 2020.</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19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43"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For the three months ended September 30, 2021 and 2020, we recorded an income tax provision of $1.1 million and $0.1 million, respectively. For the nine months ended September 30, 2021 and 2020, we recorded an income tax provision of $6.6 million and $27.0 million, respectively. The income tax provision for the nine months ended September 30, 2021 and 2020 includes the recording of a valuation allowance of $3.6 million and $26.7 million, respectively, as discussed in Note 12, “Income Taxes,” to the condensed consolidated financial statements included herein. In the nine months ended September 30, 2021 and 2020, we also recorded an income tax provision of $3.0 million and $0.3 million, respectively, inclusive of valuation allowance, related to current period operations.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8"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We present the following non-GAAP financial measures, which we believe are useful to investors as key measures of our operating performance:</w:t>
      </w:r>
    </w:p>
    <w:p>
      <w:pPr>
        <w:spacing w:after="0" w:line="170"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EBITDAre, Adjusted EBITDAre and Adjusted EBITDAre, Excluding Noncontrolling Interest in Consolidated Joint Venture Interest Definition</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calculate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of unconsolidated affiliates.</w:t>
      </w:r>
    </w:p>
    <w:p>
      <w:pPr>
        <w:spacing w:after="0" w:line="1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is then calculated as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plus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Credit losses on held-to-maturity securities;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transactions costs of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 rata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from unconsolidated joint ventures;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then exclude the pro rata share of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related to noncontrolling interests in consolidated joint ventures to calculate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w:t>
      </w:r>
    </w:p>
    <w:p>
      <w:pPr>
        <w:spacing w:after="0" w:line="170"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use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when evaluating our performance because we believe that presenting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provides useful information to investors regarding our operating performance and debt leverage metrics.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FFO, Adjusted FFO, and Adjusted FFO available to common shareholders and unit holders Definition</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calculate FFO</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64"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To calculate Adjusted FFO available to common shareholders and unit holders, we then exclude,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Right-of-use asset amortization;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Write-offs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debt discounts or premiums and amortization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Credit loss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pro rata adjustments from unconsolidated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(Gains) losses on other assets;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Transactions costs on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Deferred income tax expense (benefit);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FFO available to common shareholders and unit holders and Adjusted FFO available to common shareholders and unit holders exclude the ownership portion of the Gaylord Rockies joint venture not controlled or owned by the Company.</w:t>
      </w:r>
    </w:p>
    <w:p>
      <w:pPr>
        <w:spacing w:after="0" w:line="124"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Beginning in the third quarter of 2020, we refer to unitholders in these measures, reflecting outstanding OP units issued to noncontrolling interests for the first time during third quarter 2020.</w:t>
      </w:r>
    </w:p>
    <w:p>
      <w:pPr>
        <w:spacing w:after="0" w:line="170"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We believe that the presentation of FFO available to common shareholders and unit holders and Adjusted FFO available to common shareholders and unit holders provides useful information to investors regarding the performance of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8"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We caution investors that amounts presented in accordance with our definitions of Adjusted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FFO available to common shareholders and unit holders, and Adjusted FFO available to common shareholders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18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 following is a reconciliation of our consolidated GAAP net loss to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for the three months and nine months ended September 30, 2021 and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7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4"/>
                <w:szCs w:val="14"/>
                <w:color w:val="auto"/>
              </w:rPr>
            </w:pPr>
          </w:p>
        </w:tc>
        <w:tc>
          <w:tcPr>
            <w:tcW w:w="17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(129,877)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(188,777)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(368,272)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60" w:type="dxa"/>
            <w:vAlign w:val="bottom"/>
          </w:tcPr>
          <w:p>
            <w:pPr>
              <w:ind w:left="120"/>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30,980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26,587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88,802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81,762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27,046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56,093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53,876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164,081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161,232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loss on sale of assets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(1,255)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Pro rata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from unconsolidated joint ventures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17"/>
                <w:szCs w:val="17"/>
                <w:i w:val="1"/>
                <w:iCs w:val="1"/>
                <w:color w:val="auto"/>
              </w:rPr>
              <w:t>re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(99,471)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Preopening costs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lease expense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Equity-based compensation expense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Pension settlement charge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Credit loss on held-to-maturity securities</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7,811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32,784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income on Gaylord National bonds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20"/>
              <w:spacing w:after="0"/>
              <w:rPr>
                <w:sz w:val="20"/>
                <w:szCs w:val="20"/>
                <w:color w:val="auto"/>
              </w:rPr>
            </w:pPr>
            <w:r>
              <w:rPr>
                <w:rFonts w:ascii="Arial" w:cs="Arial" w:eastAsia="Arial" w:hAnsi="Arial"/>
                <w:sz w:val="17"/>
                <w:szCs w:val="17"/>
                <w:color w:val="auto"/>
              </w:rPr>
              <w:t>Loss on extinguishment of debt</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costs of acquisitions</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15,437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85,992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(35,280)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91,698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(33,646)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06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of noncontrolling interest in consolidated joint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venture</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1,017</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5060" w:type="dxa"/>
            <w:vAlign w:val="bottom"/>
          </w:tcPr>
          <w:p>
            <w:pPr>
              <w:ind w:left="20"/>
              <w:spacing w:after="0" w:line="165" w:lineRule="exact"/>
              <w:rPr>
                <w:sz w:val="20"/>
                <w:szCs w:val="20"/>
                <w:color w:val="auto"/>
              </w:rPr>
            </w:pPr>
            <w:r>
              <w:rPr>
                <w:rFonts w:ascii="Arial" w:cs="Arial" w:eastAsia="Arial" w:hAnsi="Arial"/>
                <w:sz w:val="17"/>
                <w:szCs w:val="17"/>
                <w:color w:val="auto"/>
                <w:w w:val="96"/>
              </w:rPr>
              <w:t>Adjusted EBITDA</w:t>
            </w:r>
            <w:r>
              <w:rPr>
                <w:rFonts w:ascii="Arial" w:cs="Arial" w:eastAsia="Arial" w:hAnsi="Arial"/>
                <w:sz w:val="17"/>
                <w:szCs w:val="17"/>
                <w:i w:val="1"/>
                <w:iCs w:val="1"/>
                <w:color w:val="auto"/>
                <w:w w:val="96"/>
              </w:rPr>
              <w:t>re</w:t>
            </w:r>
            <w:r>
              <w:rPr>
                <w:rFonts w:ascii="Arial" w:cs="Arial" w:eastAsia="Arial" w:hAnsi="Arial"/>
                <w:sz w:val="17"/>
                <w:szCs w:val="17"/>
                <w:color w:val="auto"/>
                <w:w w:val="96"/>
              </w:rPr>
              <w:t>, excluding noncontrolling interest in consolidated</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85,992</w:t>
            </w:r>
          </w:p>
        </w:tc>
        <w:tc>
          <w:tcPr>
            <w:tcW w:w="1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(34,790)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92,715</w:t>
            </w:r>
          </w:p>
        </w:tc>
        <w:tc>
          <w:tcPr>
            <w:tcW w:w="1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(38,734)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060" w:type="dxa"/>
            <w:vAlign w:val="bottom"/>
          </w:tcPr>
          <w:p>
            <w:pPr>
              <w:ind w:left="20"/>
              <w:spacing w:after="0"/>
              <w:rPr>
                <w:sz w:val="20"/>
                <w:szCs w:val="20"/>
                <w:color w:val="auto"/>
              </w:rPr>
            </w:pPr>
            <w:r>
              <w:rPr>
                <w:rFonts w:ascii="Arial" w:cs="Arial" w:eastAsia="Arial" w:hAnsi="Arial"/>
                <w:sz w:val="17"/>
                <w:szCs w:val="17"/>
                <w:color w:val="auto"/>
              </w:rPr>
              <w:t>joint venture</w:t>
            </w:r>
          </w:p>
        </w:tc>
        <w:tc>
          <w:tcPr>
            <w:tcW w:w="1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following is a reconciliation of our consolidated GAAP net loss to FFO and Adjusted FFO for the three months and nine months ended September 30, 2021 and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49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(129,877)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(188,777)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(368,272)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Noncontrolling interest in consolidated joint venture</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available to common shareholders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(117,984)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(172,276)</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(337,992)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56,055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163,969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161,120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(25,302)</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 rata adjustments from joint ventures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 available to common shareholders and unit holders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Right-of-use asset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Pension settlement charge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on held-to-maturity securities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Gain on other assets</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Write-off of deferred financing costs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6,579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debt premiums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Transaction costs of acquisitions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(benefit)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color w:val="auto"/>
                <w:w w:val="94"/>
              </w:rPr>
              <w:t>Adjusted FFO available to common shareholders and unit 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52,113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(60,284)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(118,556)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Cash flow from operating activities is the principal source of cash used to fund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expenses, interest payments on debt, maintenance capital expenditures, and dividends to stockholders. During the nine months ended September 30, 2021, our net cash flows provided by operating activities were $22.7 million, primarily reflecting our net loss before depreciation expense, amortization expense and other non-cash charges of $2.6 million and favorable changes in working capital of $20.0 million. The favorable changes in working capital primarily resulted from an increase in deferred revenues associated with advanced room deposits at our Gaylord Hotels properties and advanced ticket purchases at our Entertainment segment venues, partially offset by an increase in accounts receivable due to an increase in group business at our Gaylord Hotels properties.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nine months ended September 30, 2020, our net cash flows used in operating activities were $112.3 million,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primarily reflecting our net loss before depreciation expense, amortization expense and other non-cash charges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$114.4 million, partially offset by favorable changes in working capital of $2.1 million. The favorable changes in working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capital primarily resulted from a decrease in accounts receivable due to the collection of previous receivables and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decrease of new receivables due to property closures and a decrease in business for properties that had opened, partially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offset by a decrease in accounts payable and accrued liabilities associated with the payment of incentive compensation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general payables due to property closures or reduced business levels and a decrease in deferred revenue associated with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advanced room deposits at our Gaylord Hotel properties.</w:t>
      </w:r>
    </w:p>
    <w:p>
      <w:pPr>
        <w:spacing w:after="0" w:line="170"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During the nine months ended September 30, 2021, our primary use of funds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activities was the $210.0 million purchase of the remaining 35% interest in the Gaylord Rockies joint venture and adjacent, undeveloped land. In addition, we spent $66.2 million for purchases of property and equipment, which consisted primarily of a rooms renovation at Gaylord National, the expansion of Gaylord Palms, and ongoing maintenance capital expenditures for our existing properties.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color w:val="auto"/>
        </w:rPr>
        <w:t>During the nine months ended September 30, 2020, our primary uses of funds for investing activities were purchases of property and equipment, which totaled $124.6 million, and consisted primarily of the expansion at Gaylord Palms and ongoing maintenance capital expenditures for our existing properties.</w:t>
      </w:r>
    </w:p>
    <w:p>
      <w:pPr>
        <w:spacing w:after="0" w:line="157"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i w:val="1"/>
          <w:iCs w:val="1"/>
          <w:color w:val="auto"/>
        </w:rPr>
        <w:t>Cash Flows From Financing Activities</w:t>
      </w:r>
      <w:r>
        <w:rPr>
          <w:rFonts w:ascii="Arial" w:cs="Arial" w:eastAsia="Arial" w:hAnsi="Arial"/>
          <w:sz w:val="17"/>
          <w:szCs w:val="17"/>
          <w:color w:val="auto"/>
        </w:rPr>
        <w:t>. Our cash flows from financing activities primarily reflect the incurrence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the repayment of long-term debt and, during the nine months ended September 30, 2020, the payment of cash dividends. During the nine months ended September 30, 2021, our net cash flows provided by financing activities were $253.1 million, primarily reflecting net senior note borrowing of $200.0 million and net borrowings under our credit facility of $70.3 million, partially offset by the payment of $10.6 million in deferred financing costs.</w:t>
      </w:r>
    </w:p>
    <w:p>
      <w:pPr>
        <w:spacing w:after="0" w:line="13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During the nine months ended September 30, 2020, our net cash flows used in financing activities were $75.5 million, primarily reflecting the payment of $102.3 in cash dividends, partially offset by $31.3 million in net borrowings under our credit facility.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98"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At September 30, 2021, we had $53.2 million in unrestricted cash and $519.7 million available for borrowing under our revolving credit facility. During the nine months ended September 30, 2021, we borrowed $74.0 million under our revolving credit facility, tendered for and redeemed $400.0 million in aggregate principal amount of senior notes, issued $600.0 million in aggregate principal amount of new senior notes, purchased the remaining 35% of the Gaylord Rockies joint venture that we did not previously own and undeveloped land adjacent to Gaylord Rockies for approximately $210.0 million, and incurred capital expenditures of $66.2 million. These net outflows, partially offset by cash flows provided by operations discussed above, were the primary factors in the slight decrease in our cash balance from December 31, 2020 to September 30, 2021.</w:t>
      </w:r>
    </w:p>
    <w:p>
      <w:pPr>
        <w:spacing w:after="0" w:line="151"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We anticipate investing in our operations during the remainder of 2021 by spending between $17 million and $24 million in capital expenditures, which primarily includes ongoing maintenance capital of our current facilities. In addition, we plan to spend approximately $122 million, after assumption of the existing mortgage debt, to complete the anticipated Block 21 acquisition.</w:t>
      </w:r>
    </w:p>
    <w:p>
      <w:pPr>
        <w:spacing w:after="0" w:line="14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We believe that our cash on hand, together with amounts available for borrowing under our revolving credit facility, will be adequate to fund our general short-term commitments, as well as: (i) current operating expenses, (ii) interest expense on long-term debt obligations, and (iii) financing lease and operating lease obligations until our assets are operating at pre-COVID-19 pandemic levels. Our ability to draw on our credit facility is subject to the satisfaction of provisions of the credit facility, as amended.</w:t>
      </w:r>
    </w:p>
    <w:p>
      <w:pPr>
        <w:spacing w:after="0" w:line="161"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On May 27, 2021, we entered into the ATM Agreement with a consortium of banks (each a “Sales Agent” and collectively, the “Sales Agents”), pursuant to which we may offer and sell to or through our Sales Agents (the “ATM Offering”), from time to time, up to 4.0 million shares of our common stock in such share amounts as we may specify by notice to the Sales Agents, in accordance with the terms and conditions set forth in the ATM Agreement. We intend to use the net proceeds from any sale of shares under the ATM Agreement for the repayment of outstanding indebtedness, which may include the repayment of amounts outstanding under our credit agreement governing our revolving credit facility. Net proceeds which are not used for the repayment of outstanding indebtedness (to the extent then permitted by our credit agreement) may be used for general corporate purposes. No shares were issued under the ATM Agreement during the three months and nine months ended September 30, 2021.</w:t>
      </w:r>
    </w:p>
    <w:p>
      <w:pPr>
        <w:spacing w:after="0" w:line="140"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Our outstanding principal debt agreements are described below. At September 30, 2021, there were no defaults under the covenants related to our outstanding debt based on the amended terms of our credit agreement.</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Debt Agreements</w:t>
      </w:r>
    </w:p>
    <w:p>
      <w:pPr>
        <w:spacing w:after="0" w:line="198"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i w:val="1"/>
          <w:iCs w:val="1"/>
          <w:color w:val="auto"/>
        </w:rPr>
        <w:t>Credit Facility</w:t>
      </w:r>
      <w:r>
        <w:rPr>
          <w:rFonts w:ascii="Arial" w:cs="Arial" w:eastAsia="Arial" w:hAnsi="Arial"/>
          <w:sz w:val="16"/>
          <w:szCs w:val="16"/>
          <w:color w:val="auto"/>
        </w:rPr>
        <w:t>. On October 31, 2019, we entered into a Sixth Amended and Restated Credit Agreement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amended and restated the Company’s existing credit facility. As amended, our credit facility consists of a $700.0 million senior secured revolving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credit facility (the “Revolver”), a $300.0 million senior secured term loan A (the “Term Loan A”), and a $500.0 million senior secured term loan B (the “Term Loan B”), each as discussed below. In 2020, we entered into two amendments (the “Amendments”) to the Credit Agreement among the same parties, as discussed below. Additionally, we further amended the Credit Agreement in October 2021 to permit an acquisition during the Credit Agreement’s restricted period (as defined below) and an assumption of indebtedness, subject to certain conditions.</w:t>
      </w:r>
    </w:p>
    <w:p>
      <w:pPr>
        <w:spacing w:after="0" w:line="149"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Each of the Revolver, Term Loan A and Term Loan B is guaranteed by us, each of our subsidiaries that own the Gaylord Hotels properties, other than Gaylord Rockies, and certain of our other subsidiaries. Each is secured by (i) a first mortgage lien on the real property of each of our Gaylord Hotels properties, excluding Gaylord Rockies, (ii) pledges of equity interests in our subsidiaries that own the Gaylord Hotels properties, excluding Gaylord Rockies, (iii) pledges of equity interests in the Operating Partnership, our subsidiaries that guarantee the Credit Agreement, and certain other of our subsidiaries, (iv) our personal property and the personal property of the Operating Partnership and our guarantor subsidiaries and (v) all proceeds and products from our Gaylord Hotels properties, excluding Gaylord Rockies. Advances are subject to a 55% borrowing base, based on the appraisal value of the Gaylord Hotels properties (reduced to 50% in the event one of the Gaylord Hotels properties is sold), excluding Gaylord Rockies. Assets of Gaylord Rockies are not subject to the liens of our credit facility.</w:t>
      </w:r>
    </w:p>
    <w:p>
      <w:pPr>
        <w:spacing w:after="0" w:line="14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1" w:lineRule="exact"/>
        <w:rPr>
          <w:sz w:val="20"/>
          <w:szCs w:val="20"/>
          <w:color w:val="auto"/>
        </w:rPr>
      </w:pPr>
    </w:p>
    <w:p>
      <w:pPr>
        <w:ind w:left="720" w:right="45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29" w:lineRule="exact"/>
        <w:rPr>
          <w:rFonts w:ascii="Arial" w:cs="Arial" w:eastAsia="Arial" w:hAnsi="Arial"/>
          <w:sz w:val="18"/>
          <w:szCs w:val="18"/>
          <w:color w:val="auto"/>
        </w:rPr>
      </w:pPr>
    </w:p>
    <w:p>
      <w:pPr>
        <w:ind w:left="720" w:right="259" w:hanging="319"/>
        <w:spacing w:after="0" w:line="26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3"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Amendments provide for a waiver of the foregoing financial covenants through March 31, 2022 (the “Temporary Waiver Period”). In addition, the Amendments contain a covenant that we must maintain unrestricted liquidity (in the form of unrestricted cash on hand or undrawn availability under the Revolver) of at least $100 million. In the event we are unable to comply with the Credit Agreement’s financial covenants, we expect to further amend the Credit Agreement or take other mitigating actions prior to a potential breach.</w:t>
      </w:r>
    </w:p>
    <w:p>
      <w:pPr>
        <w:spacing w:after="0" w:line="161"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We may elect to terminate the Temporary Waiver Period prior to expiration. For the first quarter following the expiration or termination of the Temporary Waiver Period, we will calculate compliance with the financial covenants in the Credit Agreement using a designated annualized calculation based on our most recently completed fiscal quarter. Thereafter, we will be required to satisfy financial covenants at the levels set forth in the Credit Agreement using a designated annualized calculation based on our most recently completed fiscal quarters, as applicable. Pursuant to the Amendment, we are required to use any proceeds from borrowings drawn during the Temporary Waiver Period and until we demonstrate financial covenant compliance following the expiration or earlier termination of the Temporary Waiver Period (the “Restricted Period”) to fund operating expenses, debt service of the Company and its subsidiaries, and permitted capital expenditures and investments.</w:t>
      </w:r>
    </w:p>
    <w:p>
      <w:pPr>
        <w:spacing w:after="0" w:line="140"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25" w:lineRule="exact"/>
        <w:rPr>
          <w:sz w:val="20"/>
          <w:szCs w:val="20"/>
          <w:color w:val="auto"/>
        </w:rPr>
      </w:pPr>
    </w:p>
    <w:p>
      <w:pPr>
        <w:jc w:val="both"/>
        <w:ind w:left="60" w:right="239"/>
        <w:spacing w:after="0" w:line="311"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Pursuant to the Credit Agreement, we extended the maturity date of the Revolver to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2024, with two additional six-month extension options, at our election. Borrowings under the Revolver bear interest at an annual rate equal to, at our option, either (i) LIBOR plus the applicable margin ranging from 1.40% to 1.95%,</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dependent upon our funded debt to total asset value ratio (as defined in the Credit Agreement) or (ii) a base rate as set forth in the Credit Agreement. Pursuant to the Amendments, beginning April 1, 2021 through the end of the Restricted Period, the interest rate on LIBOR-based borrowings under the Revolver will be LIBOR plus 2.25%. Principal is payable in full at maturity.</w:t>
      </w:r>
    </w:p>
    <w:p>
      <w:pPr>
        <w:spacing w:after="0" w:line="160"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At September 30, 2021, $180.0 million was outstanding under the Revolver, and the lending banks had issued $0.3 million of letters of credit under the Credit Agreement, which left $519.7 million of availability under the Revolver (subject to the satisfaction of debt incurrence tests under the indentures governing our $600 Million 4.50% Senior Notes and our $700 million in aggregate principal amount of senior notes due 2027 (the “$700 Million 4.75% Senior Notes”), which we met at September 30, 2021).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Term Loan A Facility. </w:t>
      </w:r>
      <w:r>
        <w:rPr>
          <w:rFonts w:ascii="Arial" w:cs="Arial" w:eastAsia="Arial" w:hAnsi="Arial"/>
          <w:sz w:val="17"/>
          <w:szCs w:val="17"/>
          <w:color w:val="auto"/>
        </w:rPr>
        <w:t>Pursuant to the Credit Agreement, in 2019 the Term Loan A was increased from $200 million to</w:t>
      </w:r>
    </w:p>
    <w:p>
      <w:pPr>
        <w:spacing w:after="0" w:line="35"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color w:val="auto"/>
        </w:rPr>
        <w:t>$300 million and the maturity date was extended to March 31, 2025. Borrowings bear interest at an annual rate equal to, at our option, either (i) LIBOR plus the applicable margin ranging from 1.35% to 1.90%, dependent upon our funded debt to total asset value ratio (as defined in the Credit Agreement) or (ii) a base rate as set forth in the Credit Agreement. Pursuant to the Amendments, beginning April 1, 2021 through the end of the Restricted Period, the interest rate on LIBOR-based borrowings under the Term Loan A will be LIBOR plus 2.25%. Amounts borrowed under the Term Loan A that are repaid or prepaid may not be reborrowed.</w:t>
      </w:r>
    </w:p>
    <w:p>
      <w:pPr>
        <w:spacing w:after="0" w:line="153"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i w:val="1"/>
          <w:iCs w:val="1"/>
          <w:color w:val="auto"/>
        </w:rPr>
        <w:t xml:space="preserve">Term Loan B Facility. </w:t>
      </w:r>
      <w:r>
        <w:rPr>
          <w:rFonts w:ascii="Arial" w:cs="Arial" w:eastAsia="Arial" w:hAnsi="Arial"/>
          <w:sz w:val="17"/>
          <w:szCs w:val="17"/>
          <w:color w:val="auto"/>
        </w:rPr>
        <w:t>The Term Loan B has a maturity date of May 11, 2024. The applicable interest rate margins for</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under the Term Loan B are, at our option, either (i) LIBOR plus 2.00% or (ii) a base rate as set forth in the Credit Agreement. At September 30, 2021,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Amounts borrowed under the Term Loan B that are repaid or prepaid may not be reborrowed. At September 30, 2021, $377.5 million in borrowings were outstanding under the Term Loan B.</w:t>
      </w:r>
    </w:p>
    <w:p>
      <w:pPr>
        <w:spacing w:after="0" w:line="158"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i w:val="1"/>
          <w:iCs w:val="1"/>
          <w:color w:val="auto"/>
        </w:rPr>
        <w:t xml:space="preserve">$700 Million 4.75% Senior Notes. </w:t>
      </w:r>
      <w:r>
        <w:rPr>
          <w:rFonts w:ascii="Arial" w:cs="Arial" w:eastAsia="Arial" w:hAnsi="Arial"/>
          <w:sz w:val="16"/>
          <w:szCs w:val="16"/>
          <w:color w:val="auto"/>
        </w:rPr>
        <w:t>In September 2019,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w:t>
      </w:r>
    </w:p>
    <w:p>
      <w:pPr>
        <w:spacing w:after="0" w:line="4" w:lineRule="exact"/>
        <w:rPr>
          <w:sz w:val="20"/>
          <w:szCs w:val="20"/>
          <w:color w:val="auto"/>
        </w:rPr>
      </w:pPr>
    </w:p>
    <w:p>
      <w:pPr>
        <w:ind w:left="60" w:right="399"/>
        <w:spacing w:after="0" w:line="281" w:lineRule="auto"/>
        <w:rPr>
          <w:sz w:val="20"/>
          <w:szCs w:val="20"/>
          <w:color w:val="auto"/>
        </w:rPr>
      </w:pPr>
      <w:r>
        <w:rPr>
          <w:rFonts w:ascii="Arial" w:cs="Arial" w:eastAsia="Arial" w:hAnsi="Arial"/>
          <w:sz w:val="16"/>
          <w:szCs w:val="16"/>
          <w:color w:val="auto"/>
        </w:rPr>
        <w:t>4.75% Senior Notes are general unsecured and unsubordinated obligations of the issuing subsidiaries and rank equal in right of payment with such subsidiaries’ existing and future senior unsecured indebtedness, including the $600 Million</w:t>
      </w:r>
    </w:p>
    <w:p>
      <w:pPr>
        <w:spacing w:after="0" w:line="1"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4.50%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28"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1"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4.75% Senior Notes”). All other terms and conditions of the additional 2027 notes are identical to the $500 Million 4.75% Senior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51"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completed a registered offer to exchange the $700 Million 4.75% Senior Notes for registered notes with substantially identical terms as the $700 Million 4.75% Senior Notes in July 2020.</w:t>
      </w:r>
    </w:p>
    <w:p>
      <w:pPr>
        <w:spacing w:after="0" w:line="130" w:lineRule="exact"/>
        <w:rPr>
          <w:sz w:val="20"/>
          <w:szCs w:val="20"/>
          <w:color w:val="auto"/>
        </w:rPr>
      </w:pPr>
    </w:p>
    <w:p>
      <w:pPr>
        <w:ind w:left="60" w:right="219"/>
        <w:spacing w:after="0" w:line="285" w:lineRule="auto"/>
        <w:rPr>
          <w:sz w:val="20"/>
          <w:szCs w:val="20"/>
          <w:color w:val="auto"/>
        </w:rPr>
      </w:pPr>
      <w:r>
        <w:rPr>
          <w:rFonts w:ascii="Arial" w:cs="Arial" w:eastAsia="Arial" w:hAnsi="Arial"/>
          <w:sz w:val="16"/>
          <w:szCs w:val="16"/>
          <w:i w:val="1"/>
          <w:iCs w:val="1"/>
          <w:color w:val="auto"/>
        </w:rPr>
        <w:t>$600 Million 4.50% Senior Notes</w:t>
      </w:r>
      <w:r>
        <w:rPr>
          <w:rFonts w:ascii="Arial" w:cs="Arial" w:eastAsia="Arial" w:hAnsi="Arial"/>
          <w:sz w:val="16"/>
          <w:szCs w:val="16"/>
          <w:color w:val="auto"/>
        </w:rPr>
        <w:t>. On February 17, 2021,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5% Senior Notes have a maturity date of February 15, 2029 and bear interest at</w:t>
      </w:r>
    </w:p>
    <w:p>
      <w:pPr>
        <w:spacing w:after="0" w:line="2" w:lineRule="exact"/>
        <w:rPr>
          <w:sz w:val="20"/>
          <w:szCs w:val="20"/>
          <w:color w:val="auto"/>
        </w:rPr>
      </w:pPr>
    </w:p>
    <w:p>
      <w:pPr>
        <w:ind w:left="60" w:right="139"/>
        <w:spacing w:after="0" w:line="267" w:lineRule="auto"/>
        <w:rPr>
          <w:sz w:val="20"/>
          <w:szCs w:val="20"/>
          <w:color w:val="auto"/>
        </w:rPr>
      </w:pPr>
      <w:r>
        <w:rPr>
          <w:rFonts w:ascii="Arial" w:cs="Arial" w:eastAsia="Arial" w:hAnsi="Arial"/>
          <w:sz w:val="17"/>
          <w:szCs w:val="17"/>
          <w:color w:val="auto"/>
        </w:rPr>
        <w:t>4.50% per annum, payable semi-annually in cash in arrears on February 15 and August 15 each year, beginning on August 15, 2021. The $600 Million 4.50% Senior Notes are general unsecured and unsubordinated obligations of the issuing subsidiaries and rank equal in right of payment with such subsidiaries’ existing and future senior unsecured indebtedness, including the $700 Million 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5" w:lineRule="exact"/>
        <w:rPr>
          <w:sz w:val="20"/>
          <w:szCs w:val="20"/>
          <w:color w:val="auto"/>
        </w:rPr>
      </w:pPr>
    </w:p>
    <w:p>
      <w:pPr>
        <w:jc w:val="both"/>
        <w:ind w:left="60" w:right="459"/>
        <w:spacing w:after="0" w:line="279" w:lineRule="auto"/>
        <w:rPr>
          <w:sz w:val="20"/>
          <w:szCs w:val="20"/>
          <w:color w:val="auto"/>
        </w:rPr>
      </w:pPr>
      <w:r>
        <w:rPr>
          <w:rFonts w:ascii="Arial" w:cs="Arial" w:eastAsia="Arial" w:hAnsi="Arial"/>
          <w:sz w:val="17"/>
          <w:szCs w:val="17"/>
          <w:color w:val="auto"/>
        </w:rPr>
        <w:t>The net proceeds from the issuance of the $600 Million 4.50% Senior Notes totaled approximately $591 million, after deducting the initial purchasers’ discounts, commissions and offering expenses. We used a significant portion of these proceeds to tender and redeem our previous $400 Million 5% Senior Notes, as discussed below, and to repay all of the amounts outstanding under the Revolver and for general corporate purposes.</w:t>
      </w:r>
    </w:p>
    <w:p>
      <w:pPr>
        <w:spacing w:after="0" w:line="144"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i w:val="1"/>
          <w:iCs w:val="1"/>
          <w:color w:val="auto"/>
        </w:rPr>
        <w:t xml:space="preserve">Tender for and Redemption of $400 Million 5% Senior Notes. </w:t>
      </w:r>
      <w:r>
        <w:rPr>
          <w:rFonts w:ascii="Arial" w:cs="Arial" w:eastAsia="Arial" w:hAnsi="Arial"/>
          <w:sz w:val="18"/>
          <w:szCs w:val="18"/>
          <w:color w:val="auto"/>
        </w:rPr>
        <w:t>In 2015, the Operating Partnership and Finco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placement of $400.0 million in aggregate principal amount of senior notes due 2023.</w:t>
      </w:r>
    </w:p>
    <w:p>
      <w:pPr>
        <w:spacing w:after="0" w:line="130"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On February 9, 2021, we commenced a cash tender offer for any and all outstanding $400 Million 5% Senior Notes at a redemption price of $1,005.00 per $1,000 principal amount. Pursuant to the tender offer, $161.9 million aggregate principal amount of the $400 Million 5% Senior Notes were validly tendered. We used a portion of the proceeds from the issuance of the $600 Million 4.50% Senior Notes to fund the tender offer. In accordance with the indenture governing the $400 Million 5% Senior Notes, subsequent to the expiration of the tender offer, on February 17, 2021, we gave irrevocable notice of the redemption of all remaining $400 Million 5% Senior Notes not tendered in the tender offer and irrevocably deposited with the trustee for the $400 Million 5% Senior Notes an amount sufficient to pay the redemption price of the $400 Million 5% Senior Notes called for redemption at that date, including interest through April 15, 2021. The redemption and cancellation of the $400 Million 5% Senior Notes was completed on April 15, 2021. We used a portion of the proceeds from the issuance of the $600 Million 4.50% Senior Notes to fund the redemption.</w:t>
      </w:r>
    </w:p>
    <w:p>
      <w:pPr>
        <w:spacing w:after="0" w:line="141"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i w:val="1"/>
          <w:iCs w:val="1"/>
          <w:color w:val="auto"/>
        </w:rPr>
        <w:t>$800 Million Term Loan (Gaylord Rockies)</w:t>
      </w:r>
      <w:r>
        <w:rPr>
          <w:rFonts w:ascii="Arial" w:cs="Arial" w:eastAsia="Arial" w:hAnsi="Arial"/>
          <w:sz w:val="17"/>
          <w:szCs w:val="17"/>
          <w:color w:val="auto"/>
        </w:rPr>
        <w:t>. On July 2, 2019, Aurora Convention Center Hotel, LLC (“Hotel Owner”) and</w:t>
      </w:r>
      <w:r>
        <w:rPr>
          <w:rFonts w:ascii="Arial" w:cs="Arial" w:eastAsia="Arial" w:hAnsi="Arial"/>
          <w:sz w:val="17"/>
          <w:szCs w:val="17"/>
          <w:i w:val="1"/>
          <w:iCs w:val="1"/>
          <w:color w:val="auto"/>
        </w:rPr>
        <w:t xml:space="preserve"> </w:t>
      </w:r>
      <w:r>
        <w:rPr>
          <w:rFonts w:ascii="Arial" w:cs="Arial" w:eastAsia="Arial" w:hAnsi="Arial"/>
          <w:sz w:val="17"/>
          <w:szCs w:val="17"/>
          <w:color w:val="auto"/>
        </w:rPr>
        <w:t>Aurora Convention Center Hotel Lessee, LLC (“Tenant” and collectively, with Hotel Owner, the “Loan Parties”),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subsidiaries of the entities that comprised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we pursue an expansion of Gaylord Rockies, which was announced in February 2020 but has been postponed as a result of the COVID-19 pandemic.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We have designated this interest rate swap as an effective cash flow hedge.</w:t>
      </w:r>
    </w:p>
    <w:p>
      <w:pPr>
        <w:spacing w:after="0" w:line="168"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Gaylord Rockies Loan is secured by a deed of trust lien on the Gaylord Rockies real estate and related assets. We have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w:t>
      </w:r>
    </w:p>
    <w:p>
      <w:pPr>
        <w:spacing w:after="0" w:line="184" w:lineRule="exact"/>
        <w:rPr>
          <w:sz w:val="20"/>
          <w:szCs w:val="20"/>
          <w:color w:val="auto"/>
        </w:rPr>
      </w:pPr>
    </w:p>
    <w:p>
      <w:pPr>
        <w:jc w:val="both"/>
        <w:ind w:left="60" w:right="339"/>
        <w:spacing w:after="0" w:line="279" w:lineRule="auto"/>
        <w:rPr>
          <w:sz w:val="20"/>
          <w:szCs w:val="20"/>
          <w:color w:val="auto"/>
        </w:rPr>
      </w:pPr>
      <w:r>
        <w:rPr>
          <w:rFonts w:ascii="Arial" w:cs="Arial" w:eastAsia="Arial" w:hAnsi="Arial"/>
          <w:sz w:val="17"/>
          <w:szCs w:val="17"/>
          <w:color w:val="auto"/>
        </w:rPr>
        <w:t>The Loan Amendment modified the Gaylord Rockies Loan to (i) provide for the ability to use cash for certain purposes, even during a Cash Sweep Period (as defined in the Loan Agreement), which the Gaylord Rockies joint venture was in beginning in July 2020, (ii) extend the deadline for Hotel Owner to commence construction of an expansion to Gaylord Rockies, and (iii) provide favorable changes to the debt service coverage ratio provisions.</w:t>
      </w:r>
    </w:p>
    <w:p>
      <w:pPr>
        <w:spacing w:after="0" w:line="171" w:lineRule="exact"/>
        <w:rPr>
          <w:sz w:val="20"/>
          <w:szCs w:val="20"/>
          <w:color w:val="auto"/>
        </w:rPr>
      </w:pPr>
    </w:p>
    <w:p>
      <w:pPr>
        <w:jc w:val="both"/>
        <w:ind w:left="60" w:right="339"/>
        <w:spacing w:after="0" w:line="277" w:lineRule="auto"/>
        <w:rPr>
          <w:sz w:val="20"/>
          <w:szCs w:val="20"/>
          <w:color w:val="auto"/>
        </w:rPr>
      </w:pPr>
      <w:r>
        <w:rPr>
          <w:rFonts w:ascii="Arial" w:cs="Arial" w:eastAsia="Arial" w:hAnsi="Arial"/>
          <w:sz w:val="18"/>
          <w:szCs w:val="18"/>
          <w:color w:val="auto"/>
        </w:rPr>
        <w:t>The Loan Amendment includes restrictions on distributions to our subsidiaries that own Gaylord Rockies and requires a certain level of equity financing for a Gaylord Rockies expansion.</w:t>
      </w:r>
    </w:p>
    <w:p>
      <w:pPr>
        <w:spacing w:after="0" w:line="170"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i w:val="1"/>
          <w:iCs w:val="1"/>
          <w:color w:val="auto"/>
        </w:rPr>
        <w:t>Additional Debt Limitations</w:t>
      </w:r>
      <w:r>
        <w:rPr>
          <w:rFonts w:ascii="Arial" w:cs="Arial" w:eastAsia="Arial" w:hAnsi="Arial"/>
          <w:sz w:val="16"/>
          <w:szCs w:val="16"/>
          <w:color w:val="auto"/>
        </w:rPr>
        <w:t>. Pursuant to the terms of the management agreements and pooling agreement with Marriott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Gaylord Hotels properties, excluding Gaylord Rockies, we are subject to certain debt limitations described below.</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29"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ratio of (a) aggregate Operating Profit (as defined in the pooling agreement) of Pooled Hotels in the</w:t>
      </w:r>
    </w:p>
    <w:p>
      <w:pPr>
        <w:spacing w:after="0" w:line="34" w:lineRule="exact"/>
        <w:rPr>
          <w:rFonts w:ascii="Arial" w:cs="Arial" w:eastAsia="Arial" w:hAnsi="Arial"/>
          <w:sz w:val="17"/>
          <w:szCs w:val="17"/>
          <w:color w:val="auto"/>
        </w:rPr>
      </w:pPr>
    </w:p>
    <w:p>
      <w:pPr>
        <w:ind w:left="720" w:right="279"/>
        <w:spacing w:after="0" w:line="260" w:lineRule="auto"/>
        <w:rPr>
          <w:rFonts w:ascii="Arial" w:cs="Arial" w:eastAsia="Arial" w:hAnsi="Arial"/>
          <w:sz w:val="17"/>
          <w:szCs w:val="17"/>
          <w:color w:val="auto"/>
        </w:rPr>
      </w:pPr>
      <w:r>
        <w:rPr>
          <w:rFonts w:ascii="Arial" w:cs="Arial" w:eastAsia="Arial" w:hAnsi="Arial"/>
          <w:sz w:val="18"/>
          <w:szCs w:val="18"/>
          <w:color w:val="auto"/>
        </w:rPr>
        <w:t>12 months prior to closing on any mortgage or mezzanine debt to (b) annual debt service for the Pooled Hotels, shall equal or exceed 1.2:1.</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is not a Pooled Hotel for this purpose.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Estimated Interest on Principal Debt Agreements</w:t>
      </w:r>
    </w:p>
    <w:p>
      <w:pPr>
        <w:spacing w:after="0" w:line="198"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Based on the stated interest rates on our fixed-rate debt and the rates in effect at September 30, 2021 for our variable-rate debt after considering interest rate swaps, our estimated interest obligations through 2025 are $367.3 million. These estimated obligations are $29.3 million for the remainder of 2021, $114.1 million in 2022, $88.8 million in 2023, $71.7 million in 2024, and $63.4 million in 2025.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2020 for a discussion of the interest we paid during 2020, 2019 and 2018.</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185"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The Company’s $600 Million 4.50% Senior Notes and $700 Million 4.75% Senior Notes were each issued by the Operating Partnership and RHP Finance Corporation, a Delaware corporation (collectively,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 $600 Million 4.50% Senior Notes and $700 Million 4.75% Senior Notes, and the guarantees are structurally subordinated to all indebtedness and other obligations of such subsidiaries that have not guaranteed the Company’s $600 Million 4.50% Senior Notes and $700 Million 4.75% Senior Notes.</w:t>
      </w:r>
    </w:p>
    <w:p>
      <w:pPr>
        <w:spacing w:after="0" w:line="141" w:lineRule="exact"/>
        <w:rPr>
          <w:sz w:val="20"/>
          <w:szCs w:val="20"/>
          <w:color w:val="auto"/>
        </w:rPr>
      </w:pPr>
    </w:p>
    <w:p>
      <w:pPr>
        <w:ind w:left="60" w:right="59"/>
        <w:spacing w:after="0" w:line="286" w:lineRule="auto"/>
        <w:rPr>
          <w:sz w:val="20"/>
          <w:szCs w:val="20"/>
          <w:color w:val="auto"/>
        </w:rPr>
      </w:pPr>
      <w:r>
        <w:rPr>
          <w:rFonts w:ascii="Arial" w:cs="Arial" w:eastAsia="Arial" w:hAnsi="Arial"/>
          <w:sz w:val="17"/>
          <w:szCs w:val="17"/>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1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receivables due from non-guarantor subsidiaries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505,715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138,241</w:t>
            </w:r>
          </w:p>
        </w:tc>
        <w:tc>
          <w:tcPr>
            <w:tcW w:w="0" w:type="dxa"/>
            <w:vAlign w:val="bottom"/>
          </w:tcPr>
          <w:p>
            <w:pPr>
              <w:spacing w:after="0"/>
              <w:rPr>
                <w:sz w:val="1"/>
                <w:szCs w:val="1"/>
                <w:color w:val="auto"/>
              </w:rPr>
            </w:pPr>
          </w:p>
        </w:tc>
      </w:tr>
      <w:tr>
        <w:trPr>
          <w:trHeight w:val="432"/>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1,618,253</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1,660,137</w:t>
            </w:r>
          </w:p>
        </w:tc>
        <w:tc>
          <w:tcPr>
            <w:tcW w:w="0" w:type="dxa"/>
            <w:vAlign w:val="bottom"/>
          </w:tcPr>
          <w:p>
            <w:pPr>
              <w:spacing w:after="0"/>
              <w:rPr>
                <w:sz w:val="1"/>
                <w:szCs w:val="1"/>
                <w:color w:val="auto"/>
              </w:rPr>
            </w:pPr>
          </w:p>
        </w:tc>
      </w:tr>
      <w:tr>
        <w:trPr>
          <w:trHeight w:val="426"/>
        </w:trPr>
        <w:tc>
          <w:tcPr>
            <w:tcW w:w="5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$ 2,123,968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1,798,378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$ 2,272,770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1,995,509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Total noncontrolling interest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12,140</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14,516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3"/>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93"/>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third-parties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Revenues from non-guarantor subsidiaries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w w:val="95"/>
              </w:rPr>
              <w:t>106,856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8"/>
              </w:rPr>
              <w:t>Operating expenses (excluding expenses to non-guarantor subsidiaries)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85,960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Expenses to non-guarantor subsidiaries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12,743</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(43,765)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stockholders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(42,475)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credit losses on financial assets, stock-based compensation, derivative financial instruments, depreciation and amortization, income taxes, pension plans, acquisitions and purchase price allocations, and legal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2020. There were no newly identified critical accounting policies in the first</w:t>
      </w:r>
    </w:p>
    <w:p>
      <w:pPr>
        <w:spacing w:after="0" w:line="2"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nine months of 2021, nor were there any material changes to the critical accounting policies and estimates discussed in our Annual Report on Form 10-K for the year ended December 31, 2020.</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There have been no material changes in our quantitative and qualitative market risks since December 31, 2020. For a discussion of the Company’s exposure to market risk, refer to the Company’s market risk disclosures set forth in Part II, Item 7A. “Quantitative and Qualitative Disclosures About Market Risk” of the Company’s Annual Report on Form 10-K for the year ended December 31,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28"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Except as otherwise described herein, there have been no material changes from the risk factors disclosed in Part I, Item 1A, “Risk Factors,” of our Annual Report on Form 10-K for the fiscal year ended December 31, 2020.</w:t>
      </w:r>
    </w:p>
    <w:p>
      <w:pPr>
        <w:spacing w:after="0" w:line="106"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may fail to complete the acquisition of Block 21 on a timely basis or at all, and our financial and operating results may suffer if we are unsuccessful in integrating Block 21 assets with our existing assets.</w:t>
      </w:r>
    </w:p>
    <w:p>
      <w:pPr>
        <w:spacing w:after="0" w:line="106"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In October 2021, we entered into an agreement to purchase Block 21, a mixed-use entertainment, lodging, office and retail complex located in Austin, Texas, for $260 million, which includes the assumption of approximately $138 million of existing mortgage debt (collectively, the “Block 21 Acquisition”). Although we expect to complete the Block 21 Acquisition near the end of fourth quarter 2021, the completion of the Block 21 Acquisition is subject to customary closing requirements and conditions and there can be no assurance that the Block 21 Acquisition will be completed on the anticipated schedule or at all. If we fail to consummate the Block 21 Acquisition or should the completion of the Block 21 Acquisition be significantly delayed, we will have expended significant resources without realizing all or a</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portion of the intended economic benefits of the Block 21 Acquisition. Even if we consummate the Block 21 Acquisition, we may not realize the intended economic benefits. Any failure to complete the Block 21 Acquisition could have a negative impact on our business, financial condition, results of operations and our ability to make distributions to our stockholders. In addition, if we are unable to successfully integrate the assets acquired in the Block 21 Acquisition with our existing assets in an efficient and effective manner following the completion of the Block 21 Acquisition, the anticipated benefits of the Block 21 Acquisition may not be realized fully, or at all, or may take longer to realize than expected. Further, the integration of the Block 21 assets with our existing assets will require the dedication of significant management resources, which may distract management’s attention from day-to-day business operations. Austin, Texas is a new market for us, and our relative unfamiliarity with the market may result in our having to devote additional time and expense to gain familiarity with the market and maximize operations. An inability to realize the full extent of the anticipated benefits of the Block 21 Acquisition or any delays encountered in the integration process could have an adverse effect on our business, financial condition, results of operations and our ability to make distributions to our stockholders.</w:t>
      </w:r>
    </w:p>
    <w:p>
      <w:pPr>
        <w:spacing w:after="0" w:line="141"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Any replacement of LIBOR as the basis on which interest on our variable-rate debt is calculated may harm our financial results, profitability and cash flows</w:t>
      </w:r>
      <w:r>
        <w:rPr>
          <w:rFonts w:ascii="Arial" w:cs="Arial" w:eastAsia="Arial" w:hAnsi="Arial"/>
          <w:sz w:val="18"/>
          <w:szCs w:val="18"/>
          <w:b w:val="1"/>
          <w:bCs w:val="1"/>
          <w:color w:val="auto"/>
        </w:rPr>
        <w:t>.</w:t>
      </w:r>
    </w:p>
    <w:p>
      <w:pPr>
        <w:spacing w:after="0" w:line="130"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At September 30, 2021, we had $1.7 billion of variable interest rate debt that was indexed to the London Inter-Bank Offered Rate (“LIBOR”), a portion of which are subject to interest rate swap agreements.</w:t>
      </w:r>
    </w:p>
    <w:p>
      <w:pPr>
        <w:spacing w:after="0" w:line="130"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On July 27, 2017, the United Kingdom’s Financial Conduct Authority (“FCA”), which regulates LIBOR, announced that it intends to stop persuading or compelling banks to submit LIBOR quotations after 2021 (the “2017 FCA Announcement”). The 2017 FCA Announcement indicates that the continuation of LIBOR on the current basis cannot and will not be assured after 2021, and LIBOR may cease to exist or otherwise be unsuitable for use as a benchmark.</w:t>
      </w:r>
    </w:p>
    <w:p>
      <w:pPr>
        <w:spacing w:after="0" w:line="144"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On March 5, 2021, the FCA announced that USD LIBOR will no longer be published after June 30, 2023. This announcement has several implications, including setting spread adjustments that may be used to convert contracts automatically from LIBOR to the Secured Overnight Financing Rate (“SOFR”). Additionally, banking regulators are encouraging banks to discontinue new LIBOR debt issuances by December 31, 2021. While we currently expect LIBOR to be available in substantially its current form until June 30, 2023, it is possible that LIBOR will become unavailable prior to that date. This could result, for example, if an insufficient number of banks continue to make submissions to the LIBOR administrator, or if regulatory considerations prompt holders of our variable interest rate debt to make an earlier transition.</w:t>
      </w:r>
    </w:p>
    <w:p>
      <w:pPr>
        <w:spacing w:after="0" w:line="12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LIBOR reform proposals may result in the establishment of new methods for calculating LIBOR or the establishment of one or more alternative benchmark rates (including SOFR plus the applicable spread adjustment). Although the agreements governing our indebtedness provide for successor base rates, as applicable, the successor base rates may not be related to LIBOR, and the consequences of any potential cessation, modification or other reform of LIBOR cannot be predicted at this time. If LIBOR ceases to be usable as an interest rate benchmark, we may need to amend the agreements governing our indebtedness, and we cannot predict what alternative interest rate(s) will be negotiated with our counterparties. As a result, our interest expense may increase, our ability to refinance some or all of our existing indebtedness and/or interest rate swaps may be impacted and our available cash flow may be adversely affected.</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Exhibit Number</w:t>
            </w:r>
          </w:p>
        </w:tc>
        <w:tc>
          <w:tcPr>
            <w:tcW w:w="2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5"/>
          </w:tcPr>
          <w:p>
            <w:pPr>
              <w:ind w:left="2020"/>
              <w:spacing w:after="0"/>
              <w:rPr>
                <w:sz w:val="20"/>
                <w:szCs w:val="20"/>
                <w:color w:val="auto"/>
              </w:rPr>
            </w:pPr>
            <w:r>
              <w:rPr>
                <w:rFonts w:ascii="Arial" w:cs="Arial" w:eastAsia="Arial" w:hAnsi="Arial"/>
                <w:sz w:val="18"/>
                <w:szCs w:val="18"/>
                <w:color w:val="auto"/>
              </w:rPr>
              <w:t>Description</w:t>
            </w:r>
          </w:p>
        </w:tc>
      </w:tr>
      <w:tr>
        <w:trPr>
          <w:trHeight w:val="385"/>
        </w:trPr>
        <w:tc>
          <w:tcPr>
            <w:tcW w:w="12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6420" w:type="dxa"/>
            <w:vAlign w:val="bottom"/>
            <w:tcBorders>
              <w:bottom w:val="single" w:sz="8" w:color="0000EE"/>
            </w:tcBorders>
            <w:gridSpan w:val="3"/>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Amended and Restated Certificate of Incorporation of Ryman Hospitality Properties, Inc.</w:t>
              </w:r>
            </w:hyperlink>
          </w:p>
        </w:tc>
        <w:tc>
          <w:tcPr>
            <w:tcW w:w="100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6"/>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October 1, 2012).</w:t>
              </w:r>
            </w:hyperlink>
          </w:p>
        </w:tc>
        <w:tc>
          <w:tcPr>
            <w:tcW w:w="5460" w:type="dxa"/>
            <w:vAlign w:val="bottom"/>
            <w:tcBorders>
              <w:top w:val="single" w:sz="8" w:color="0000EE"/>
            </w:tcBorders>
            <w:gridSpan w:val="3"/>
          </w:tcPr>
          <w:p>
            <w:pPr>
              <w:spacing w:after="0"/>
              <w:rPr>
                <w:sz w:val="17"/>
                <w:szCs w:val="17"/>
                <w:color w:val="auto"/>
              </w:rPr>
            </w:pPr>
          </w:p>
        </w:tc>
        <w:tc>
          <w:tcPr>
            <w:tcW w:w="700" w:type="dxa"/>
            <w:vAlign w:val="bottom"/>
            <w:gridSpan w:val="2"/>
          </w:tcPr>
          <w:p>
            <w:pPr>
              <w:spacing w:after="0"/>
              <w:rPr>
                <w:sz w:val="17"/>
                <w:szCs w:val="17"/>
                <w:color w:val="auto"/>
              </w:rPr>
            </w:pPr>
          </w:p>
        </w:tc>
      </w:tr>
      <w:tr>
        <w:trPr>
          <w:trHeight w:val="412"/>
        </w:trPr>
        <w:tc>
          <w:tcPr>
            <w:tcW w:w="12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7120" w:type="dxa"/>
            <w:vAlign w:val="bottom"/>
            <w:tcBorders>
              <w:bottom w:val="single" w:sz="8" w:color="0000EE"/>
            </w:tcBorders>
            <w:gridSpan w:val="5"/>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Amended and Restated Bylaws of Ryman Hospitality Properties, Inc. (incorporated by reference to</w:t>
              </w:r>
            </w:hyperlink>
          </w:p>
        </w:tc>
        <w:tc>
          <w:tcPr>
            <w:tcW w:w="30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6"/>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Exhibit 3.2 to the Company’s Current Report on Form 8-K filed October 1, 2012).</w:t>
              </w:r>
            </w:hyperlink>
          </w:p>
        </w:tc>
      </w:tr>
      <w:tr>
        <w:trPr>
          <w:trHeight w:val="20"/>
        </w:trPr>
        <w:tc>
          <w:tcPr>
            <w:tcW w:w="1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520" w:right="299" w:hanging="978"/>
        <w:spacing w:after="0" w:line="342" w:lineRule="auto"/>
        <w:tabs>
          <w:tab w:leader="none" w:pos="1520" w:val="left"/>
        </w:tabs>
        <w:numPr>
          <w:ilvl w:val="0"/>
          <w:numId w:val="28"/>
        </w:numPr>
        <w:rPr>
          <w:rFonts w:ascii="Arial" w:cs="Arial" w:eastAsia="Arial" w:hAnsi="Arial"/>
          <w:sz w:val="16"/>
          <w:szCs w:val="16"/>
          <w:u w:val="single" w:color="auto"/>
          <w:color w:val="0000EE"/>
        </w:rPr>
      </w:pPr>
      <w:hyperlink r:id="rId60">
        <w:r>
          <w:rPr>
            <w:rFonts w:ascii="Arial" w:cs="Arial" w:eastAsia="Arial" w:hAnsi="Arial"/>
            <w:sz w:val="16"/>
            <w:szCs w:val="16"/>
            <w:u w:val="single" w:color="auto"/>
            <w:color w:val="0000EE"/>
          </w:rPr>
          <w:t>List of Parent and Subsidiary Guarantors (incorporated by reference to Exhibit 22 to the Company’s</w:t>
        </w:r>
      </w:hyperlink>
      <w:r>
        <w:rPr>
          <w:rFonts w:ascii="Arial" w:cs="Arial" w:eastAsia="Arial" w:hAnsi="Arial"/>
          <w:sz w:val="16"/>
          <w:szCs w:val="16"/>
          <w:u w:val="single" w:color="auto"/>
          <w:color w:val="0000EE"/>
        </w:rPr>
        <w:t xml:space="preserve"> </w:t>
      </w:r>
      <w:hyperlink r:id="rId60">
        <w:r>
          <w:rPr>
            <w:rFonts w:ascii="Arial" w:cs="Arial" w:eastAsia="Arial" w:hAnsi="Arial"/>
            <w:sz w:val="16"/>
            <w:szCs w:val="16"/>
            <w:u w:val="single" w:color="auto"/>
            <w:color w:val="0000EE"/>
          </w:rPr>
          <w:t>Quarterly Report on Form 10-Q for the quarter ended March 31, 2021, filed May 4, 2021).</w:t>
        </w:r>
      </w:hyperlink>
    </w:p>
    <w:p>
      <w:pPr>
        <w:spacing w:after="0" w:line="106" w:lineRule="exact"/>
        <w:rPr>
          <w:rFonts w:ascii="Arial" w:cs="Arial" w:eastAsia="Arial" w:hAnsi="Arial"/>
          <w:sz w:val="16"/>
          <w:szCs w:val="16"/>
          <w:color w:val="auto"/>
        </w:rPr>
      </w:pPr>
    </w:p>
    <w:tbl>
      <w:tblPr>
        <w:tblLayout w:type="fixed"/>
        <w:tblInd w:w="5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62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of Colin V. Reed pursuant to Section 302 of Sarbanes-Oxley Act of 2002.</w:t>
              </w:r>
            </w:hyperlink>
          </w:p>
        </w:tc>
        <w:tc>
          <w:tcPr>
            <w:tcW w:w="1140" w:type="dxa"/>
            <w:vAlign w:val="bottom"/>
            <w:gridSpan w:val="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64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Mark Fioravanti pursuant to Section 302 of Sarbanes-Oxley Act of 2002.</w:t>
              </w:r>
            </w:hyperlink>
          </w:p>
        </w:tc>
        <w:tc>
          <w:tcPr>
            <w:tcW w:w="98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7400" w:type="dxa"/>
            <w:vAlign w:val="bottom"/>
            <w:gridSpan w:val="5"/>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Certification of Colin V. Reed and Mark Fioravanti pursuant to 18 U.S.C. Section 1350, as adopted</w:t>
              </w:r>
            </w:hyperlink>
          </w:p>
        </w:tc>
      </w:tr>
      <w:tr>
        <w:trPr>
          <w:trHeight w:val="196"/>
        </w:trPr>
        <w:tc>
          <w:tcPr>
            <w:tcW w:w="980" w:type="dxa"/>
            <w:vAlign w:val="bottom"/>
          </w:tcPr>
          <w:p>
            <w:pPr>
              <w:spacing w:after="0"/>
              <w:rPr>
                <w:sz w:val="17"/>
                <w:szCs w:val="17"/>
                <w:color w:val="auto"/>
              </w:rPr>
            </w:pPr>
          </w:p>
        </w:tc>
        <w:tc>
          <w:tcPr>
            <w:tcW w:w="7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pursuant to Section 906 of Sarbanes-Oxley Act of 2002.</w:t>
              </w:r>
            </w:hyperlink>
          </w:p>
        </w:tc>
        <w:tc>
          <w:tcPr>
            <w:tcW w:w="26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r>
      <w:tr>
        <w:trPr>
          <w:trHeight w:val="438"/>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7400" w:type="dxa"/>
            <w:vAlign w:val="bottom"/>
            <w:gridSpan w:val="5"/>
          </w:tcPr>
          <w:p>
            <w:pPr>
              <w:spacing w:after="0"/>
              <w:rPr>
                <w:sz w:val="20"/>
                <w:szCs w:val="20"/>
                <w:color w:val="auto"/>
              </w:rPr>
            </w:pPr>
            <w:r>
              <w:rPr>
                <w:rFonts w:ascii="Arial" w:cs="Arial" w:eastAsia="Arial" w:hAnsi="Arial"/>
                <w:sz w:val="18"/>
                <w:szCs w:val="18"/>
                <w:color w:val="auto"/>
                <w:w w:val="92"/>
              </w:rPr>
              <w:t>The following materials from Ryman Hospitality Properties, Inc.’s Quarterly Report on Form 10-Q for</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w w:val="97"/>
              </w:rPr>
              <w:t>the quarterly period ended September 30, 2021, formatted in Inline XBRL (eXtensible Business</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w w:val="90"/>
              </w:rPr>
              <w:t>Reporting Language): (i) Condensed Consolidated Balance Sheets (unaudited) at September 30, 2021</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w w:val="91"/>
              </w:rPr>
              <w:t>and December 31, 2020, (ii) Condensed Consolidated Statements of Operations and Comprehensive</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w w:val="98"/>
              </w:rPr>
              <w:t>Loss (unaudited) for the three months and nine months ended September 30, 2021 and 2020,</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w w:val="97"/>
              </w:rPr>
              <w:t>(iii) Condensed Consolidated Statements of Cash Flows (unaudited) for the nine months ended</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rPr>
              <w:t>September 30, 2021 and 2020, (iv) Condensed Consolidated Statements of Equity (Deficit)</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w w:val="99"/>
              </w:rPr>
              <w:t>(unaudited) for the three months and nine months ended September 30, 2021 and 2020, and</w:t>
            </w:r>
          </w:p>
        </w:tc>
      </w:tr>
      <w:tr>
        <w:trPr>
          <w:trHeight w:val="230"/>
        </w:trPr>
        <w:tc>
          <w:tcPr>
            <w:tcW w:w="980" w:type="dxa"/>
            <w:vAlign w:val="bottom"/>
          </w:tcPr>
          <w:p>
            <w:pPr>
              <w:spacing w:after="0"/>
              <w:rPr>
                <w:sz w:val="20"/>
                <w:szCs w:val="20"/>
                <w:color w:val="auto"/>
              </w:rPr>
            </w:pPr>
          </w:p>
        </w:tc>
        <w:tc>
          <w:tcPr>
            <w:tcW w:w="7400" w:type="dxa"/>
            <w:vAlign w:val="bottom"/>
            <w:gridSpan w:val="5"/>
          </w:tcPr>
          <w:p>
            <w:pPr>
              <w:spacing w:after="0"/>
              <w:rPr>
                <w:sz w:val="20"/>
                <w:szCs w:val="20"/>
                <w:color w:val="auto"/>
              </w:rPr>
            </w:pPr>
            <w:r>
              <w:rPr>
                <w:rFonts w:ascii="Arial" w:cs="Arial" w:eastAsia="Arial" w:hAnsi="Arial"/>
                <w:sz w:val="18"/>
                <w:szCs w:val="18"/>
                <w:color w:val="auto"/>
              </w:rPr>
              <w:t>(v) Notes to Condensed Consolidated Financial Statements (unaudited).</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740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2, 2021</w:t>
            </w: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By:/s/ Colin V. Reed</w:t>
            </w:r>
          </w:p>
        </w:tc>
      </w:tr>
      <w:tr>
        <w:trPr>
          <w:trHeight w:val="195"/>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432"/>
        </w:trPr>
        <w:tc>
          <w:tcPr>
            <w:tcW w:w="3160" w:type="dxa"/>
            <w:vAlign w:val="bottom"/>
          </w:tcPr>
          <w:p>
            <w:pPr>
              <w:spacing w:after="0"/>
              <w:rPr>
                <w:sz w:val="24"/>
                <w:szCs w:val="24"/>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By:/s/ Mark Fioravanti</w:t>
            </w:r>
          </w:p>
        </w:tc>
      </w:tr>
      <w:tr>
        <w:trPr>
          <w:trHeight w:val="195"/>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President and Chief Financial Officer</w:t>
            </w:r>
          </w:p>
        </w:tc>
      </w:tr>
      <w:tr>
        <w:trPr>
          <w:trHeight w:val="432"/>
        </w:trPr>
        <w:tc>
          <w:tcPr>
            <w:tcW w:w="3160" w:type="dxa"/>
            <w:vAlign w:val="bottom"/>
          </w:tcPr>
          <w:p>
            <w:pPr>
              <w:spacing w:after="0"/>
              <w:rPr>
                <w:sz w:val="24"/>
                <w:szCs w:val="24"/>
                <w:color w:val="auto"/>
              </w:rPr>
            </w:pPr>
          </w:p>
        </w:tc>
        <w:tc>
          <w:tcPr>
            <w:tcW w:w="5740" w:type="dxa"/>
            <w:vAlign w:val="bottom"/>
            <w:gridSpan w:val="2"/>
          </w:tcPr>
          <w:p>
            <w:pPr>
              <w:ind w:left="1380"/>
              <w:spacing w:after="0"/>
              <w:rPr>
                <w:sz w:val="20"/>
                <w:szCs w:val="20"/>
                <w:color w:val="auto"/>
              </w:rPr>
            </w:pPr>
            <w:r>
              <w:rPr>
                <w:rFonts w:ascii="Arial" w:cs="Arial" w:eastAsia="Arial" w:hAnsi="Arial"/>
                <w:sz w:val="18"/>
                <w:szCs w:val="18"/>
                <w:color w:val="auto"/>
              </w:rPr>
              <w:t>By:/s/ Jennifer Hutcheson</w:t>
            </w:r>
          </w:p>
        </w:tc>
      </w:tr>
      <w:tr>
        <w:trPr>
          <w:trHeight w:val="195"/>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Jennifer Hutcheson</w:t>
            </w: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Executive Vice President, Corporate</w:t>
            </w:r>
          </w:p>
        </w:tc>
      </w:tr>
      <w:tr>
        <w:trPr>
          <w:trHeight w:val="230"/>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20" w:firstLine="656"/>
        <w:spacing w:after="0" w:line="286" w:lineRule="auto"/>
        <w:tabs>
          <w:tab w:leader="none" w:pos="1296"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6"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380" w:hanging="652"/>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80" w:firstLine="656"/>
        <w:spacing w:after="0" w:line="263" w:lineRule="auto"/>
        <w:tabs>
          <w:tab w:leader="none" w:pos="12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9832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Colin V. Reed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right="400" w:firstLine="8"/>
        <w:spacing w:after="0" w:line="263"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20" w:firstLine="656"/>
        <w:spacing w:after="0" w:line="311" w:lineRule="auto"/>
        <w:tabs>
          <w:tab w:leader="none" w:pos="1328"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40" w:firstLine="656"/>
        <w:spacing w:after="0" w:line="286" w:lineRule="auto"/>
        <w:tabs>
          <w:tab w:leader="none" w:pos="1293"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3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3"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80" w:firstLine="8"/>
        <w:spacing w:after="0" w:line="263" w:lineRule="auto"/>
        <w:tabs>
          <w:tab w:leader="none" w:pos="6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60" w:firstLine="656"/>
        <w:spacing w:after="0" w:line="263" w:lineRule="auto"/>
        <w:tabs>
          <w:tab w:leader="none" w:pos="13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80" w:firstLine="656"/>
        <w:spacing w:after="0" w:line="277" w:lineRule="auto"/>
        <w:tabs>
          <w:tab w:leader="none" w:pos="128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2459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September 30, 2021, as filed with the Securities and Exchange Commission on the date hereof (the "Report"), each of the undersigned certifies, pursuant to 18 U.S.C. § 1350, as adopted pursuant to §906 of the Sarbanes-Oxley Act of 2002, that:</w:t>
      </w:r>
    </w:p>
    <w:p>
      <w:pPr>
        <w:spacing w:after="0" w:line="165" w:lineRule="exact"/>
        <w:rPr>
          <w:sz w:val="20"/>
          <w:szCs w:val="20"/>
          <w:color w:val="auto"/>
        </w:rPr>
      </w:pPr>
    </w:p>
    <w:p>
      <w:pPr>
        <w:ind w:left="1260" w:hanging="604"/>
        <w:spacing w:after="0"/>
        <w:tabs>
          <w:tab w:leader="none" w:pos="1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240" w:firstLine="656"/>
        <w:spacing w:after="0" w:line="277" w:lineRule="auto"/>
        <w:tabs>
          <w:tab w:leader="none" w:pos="12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Colin V. Reed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November 2, 2021</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November 2, 2021</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lowerRoman"/>
      <w:start w:val="5"/>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upperLetter"/>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5"/>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22"/>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58" Type="http://schemas.openxmlformats.org/officeDocument/2006/relationships/hyperlink" Target="http://www.sec.gov/Archives/edgar/data/1040829/000119312512410191/d419132dex31.htm" TargetMode="External"/><Relationship Id="rId59" Type="http://schemas.openxmlformats.org/officeDocument/2006/relationships/hyperlink" Target="http://www.sec.gov/Archives/edgar/data/1040829/000119312512410191/d419132dex32.htm" TargetMode="External"/><Relationship Id="rId60" Type="http://schemas.openxmlformats.org/officeDocument/2006/relationships/hyperlink" Target="https://www.sec.gov/Archives/edgar/data/1040829/000155837021005653/rhp-202103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2021-11-02T14:03:43Z</dcterms:created>
  <dcterms:modified xsi:type="dcterms:W3CDTF">2021-11-02T14:03:43Z</dcterms:modified>
</cp:coreProperties>
</file>