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120" w:right="980" w:hanging="3112"/>
        <w:spacing w:after="0" w:line="282"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October 31, 2024</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59,901,169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1"/>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60" w:type="dxa"/>
            <w:vAlign w:val="bottom"/>
            <w:gridSpan w:val="11"/>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September 30, 2024 and</w:t>
            </w:r>
          </w:p>
        </w:tc>
        <w:tc>
          <w:tcPr>
            <w:tcW w:w="114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2023</w:t>
            </w:r>
          </w:p>
        </w:tc>
        <w:tc>
          <w:tcPr>
            <w:tcW w:w="5500" w:type="dxa"/>
            <w:vAlign w:val="bottom"/>
            <w:gridSpan w:val="1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7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and Nine Months Ended September 30, 2024 and 2023</w:t>
            </w:r>
          </w:p>
        </w:tc>
        <w:tc>
          <w:tcPr>
            <w:tcW w:w="92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For the Nine Months</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September 30, 2024 and 2023</w:t>
            </w:r>
          </w:p>
        </w:tc>
        <w:tc>
          <w:tcPr>
            <w:tcW w:w="3620" w:type="dxa"/>
            <w:vAlign w:val="bottom"/>
            <w:tcBorders>
              <w:top w:val="single" w:sz="8" w:color="0000EE"/>
            </w:tcBorders>
            <w:gridSpan w:val="8"/>
          </w:tcPr>
          <w:p>
            <w:pPr>
              <w:spacing w:after="0"/>
              <w:rPr>
                <w:sz w:val="17"/>
                <w:szCs w:val="17"/>
                <w:color w:val="auto"/>
              </w:rPr>
            </w:pPr>
          </w:p>
        </w:tc>
        <w:tc>
          <w:tcPr>
            <w:tcW w:w="640" w:type="dxa"/>
            <w:vAlign w:val="bottom"/>
            <w:gridSpan w:val="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and Noncontrolling Interest (Unaudited) - For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Three and Nine Months Ended September 30, 2024 and 2023</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1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2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80" w:type="dxa"/>
            <w:vAlign w:val="bottom"/>
            <w:gridSpan w:val="2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9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4,092,234</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534,931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56,635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189,084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118,253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124,287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5,204,494</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3,373,442</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472,722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Distributions payable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68,005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130,289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67,367</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66,658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4,276,685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372,274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59,901 and 59,712 shares issued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1,478,406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689 and 668 shares, at 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(888,144)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(16,219)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569,153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555,535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572,777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5,204,494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5,188,537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180,309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557,284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hotel revenue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243,993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549,958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1,691,593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1,525,073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hotel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Management fees, net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46,560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hotel operating expenses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312,774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302,009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938,478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844,809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sale of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59,051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58,086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444,078</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426,588</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1,321,261</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1,195,260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gains and (losses),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221,551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179,255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207,899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171,922</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5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 interest in consolidated joint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venture</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 in Operating Partnership</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202,872</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169,090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per share available to common stockholders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Diluted income per share available to common stockholders</w:t>
            </w:r>
          </w:p>
        </w:tc>
        <w:tc>
          <w:tcPr>
            <w:tcW w:w="320" w:type="dxa"/>
            <w:vAlign w:val="bottom"/>
            <w:gridSpan w:val="2"/>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0.94</w:t>
            </w:r>
          </w:p>
        </w:tc>
        <w:tc>
          <w:tcPr>
            <w:tcW w:w="34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0.64</w:t>
            </w:r>
          </w:p>
        </w:tc>
        <w:tc>
          <w:tcPr>
            <w:tcW w:w="32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3.25</w:t>
            </w:r>
          </w:p>
        </w:tc>
        <w:tc>
          <w:tcPr>
            <w:tcW w:w="32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net of taxes</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62,047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211,067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loss, net of taxes, attributable to noncontrolling</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 consolidated joint venture</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net of taxes, attributable to noncontrolling interest in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Partnership</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net of taxes, available to common stockholders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61,015</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206,054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159,845</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2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8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207,899</w:t>
            </w:r>
          </w:p>
        </w:tc>
        <w:tc>
          <w:tcPr>
            <w:tcW w:w="38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171,922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4,894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174,806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154,700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7,995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7,989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loss from unconsolidated joint ventures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17,525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10,724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11,480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2,727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13,233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20,102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11,721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(24,864)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(23,535)</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7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409,880</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369,929</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(317,323)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(122,150)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4,060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5,903</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JW Marriott Hill Country, net of cash acquired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(791,466)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Circle</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(10,500)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(9,998)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7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(313,424)</w:t>
            </w:r>
          </w:p>
        </w:tc>
        <w:tc>
          <w:tcPr>
            <w:tcW w:w="2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(928,211)</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term loan B</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18,861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(221,586)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(377,500)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43,000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revolving credit facility</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(32,000)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299,250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(296,250)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(2,054)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Gaylord Rockies term loan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(23,134)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(23,400)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395,444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(199,759)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(115,861)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(12,131)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(4,249)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(225,966)</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769,932</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(129,510)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211,650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700,441</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444,330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9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570,931</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655,980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9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88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534,931</w:t>
            </w:r>
          </w:p>
        </w:tc>
        <w:tc>
          <w:tcPr>
            <w:tcW w:w="380" w:type="dxa"/>
            <w:vAlign w:val="bottom"/>
            <w:gridSpan w:val="2"/>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543,076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36,000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112,904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4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570,931</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655,980</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6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$ 1,502,710</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(894,259)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569,153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3,624</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$ 572,777</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345,126</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43,340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(579)</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9,318</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(66,335)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(66,174)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(66,609)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$ 1,485,360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(917,538)</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(17,979)</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529,934</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3,473</w:t>
            </w:r>
          </w:p>
        </w:tc>
        <w:tc>
          <w:tcPr>
            <w:tcW w:w="1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$ 533,407</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353,865</w:t>
            </w:r>
          </w:p>
        </w:tc>
      </w:tr>
      <w:tr>
        <w:trPr>
          <w:trHeight w:val="128"/>
        </w:trPr>
        <w:tc>
          <w:tcPr>
            <w:tcW w:w="20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100,805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100,805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101,470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3,270</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5,468</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(64,884)</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(66,189)</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(66,623)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2024</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$ 1,483,479</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(21,976)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(881,617)</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(17,868)</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562,617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3,704</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$ 566,321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362,603</w:t>
            </w:r>
          </w:p>
        </w:tc>
      </w:tr>
      <w:tr>
        <w:trPr>
          <w:trHeight w:val="128"/>
        </w:trPr>
        <w:tc>
          <w:tcPr>
            <w:tcW w:w="20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59,011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59,011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390</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59,401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997</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(8,674)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(8,674)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(8,674)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8,674</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(790)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(65,538)</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(66,164)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(66,599)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September 30, 2024</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$ 1,478,406</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(22,766)</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(888,144)</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(16,219)</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551,876</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3,659</w:t>
            </w:r>
          </w:p>
        </w:tc>
        <w:tc>
          <w:tcPr>
            <w:tcW w:w="1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$ 555,535</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372,274</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80" w:type="dxa"/>
            <w:vAlign w:val="bottom"/>
          </w:tcPr>
          <w:p>
            <w:pPr>
              <w:spacing w:after="0"/>
              <w:rPr>
                <w:sz w:val="11"/>
                <w:szCs w:val="11"/>
                <w:color w:val="auto"/>
              </w:rPr>
            </w:pPr>
          </w:p>
        </w:tc>
        <w:tc>
          <w:tcPr>
            <w:tcW w:w="6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2022</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$ 1,102,733</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(978,619)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95,276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95,901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311,857</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61,757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(763)</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(8,659)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8,659</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(6,292)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($0.75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(41,900)</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(41,794)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(42,090)</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(4,080)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(4,079)</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(4,079)</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553</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$ 1,093,839</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(959,199)</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(17,215)</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99,511</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766</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100,277</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319,753</w:t>
            </w:r>
          </w:p>
        </w:tc>
      </w:tr>
      <w:tr>
        <w:trPr>
          <w:trHeight w:val="128"/>
        </w:trPr>
        <w:tc>
          <w:tcPr>
            <w:tcW w:w="20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66,543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66,543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67,009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3,134</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(4,762)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(4,762)</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(4,762)</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4,762</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(2,424)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(2,424)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(2,424)</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395,400</w:t>
            </w:r>
          </w:p>
        </w:tc>
        <w:tc>
          <w:tcPr>
            <w:tcW w:w="14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395,444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395,444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($1.00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(60,285)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(60,131)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(60,526)</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$ 1,488,329</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(952,941)</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(19,639)</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497,879</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837</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498,716</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327,649</w:t>
            </w:r>
          </w:p>
        </w:tc>
      </w:tr>
      <w:tr>
        <w:trPr>
          <w:trHeight w:val="128"/>
        </w:trPr>
        <w:tc>
          <w:tcPr>
            <w:tcW w:w="20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41,227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41,227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41,500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(715)</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(9,454)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(9,454)</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(9,454)</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9,454</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(2,401)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(2,401)</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($1.00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(60,281)</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(60,125)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(60,521)</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September 30, 2023</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$ 1,480,501</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(971,995)</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(19,692)</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470,944</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3,115</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474,059</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336,388</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Company’s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4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 also owns a controlling 70%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Luke Combs-themed bar, music venue and event space that opened in November 2024; and Block 21, a mixed-use entertainment, lodging, office, and retail complex located in Austin, Texas (“Block 21”).</w:t>
      </w:r>
    </w:p>
    <w:p>
      <w:pPr>
        <w:spacing w:after="0" w:line="14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consolidates the assets, liabilities and results of operations of OEG in the accompanying condensed consolidated financial statements. The portion of OEG that the Company does not own is recorded as noncontrolling interest in consolidated joint venture, which is classified as mezzanine equity in the accompanying condensed consolidated balance sheets, and any adjustment necessary to reflect the noncontrolling interest at its redemption value is shown in the accompanying condensed consolidated statements of equity and noncontrolling interest. See Note 3, “Income Per Share,” for further disclosure.</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2023.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18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requiring public entities to provide disclosures of significant segment expenses and other segment items, as well as to provide in interim periods all disclosures about a reportable segment’s profit or loss and assets that are currently required annually. The guidance is applied retrospectively and will be effective for the Company for fiscal year 2024 and for interim periods beginning in fiscal year 2025. The Company is currently evaluating the impact of this ASU but does not anticipate this adoption to have a material impact on the Company’s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guidance is applied prospectively, but with the option to apply retrospectively, and will be effective for the Company for fiscal year 2025. The Company is currently evaluating the impact of this ASU but does not anticipate this adoption to have a material impact on the Company’s financial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$ 124,006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$ 115,626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401,276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356,473</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153,579</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433,664</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182,898</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161,708</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87,289</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80,413</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w:t>
            </w: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$ 549,958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$ 528,511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1,691,593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1,525,073</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$ 122,659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$ 111,939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334,220</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241,868</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69,751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199,377</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50,747</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 Hotel</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w:t>
            </w: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$ 467,043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$ 446,198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1,288,322</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Austin, Texas; and Las Vegas, Nevada.</w:t>
      </w:r>
    </w:p>
    <w:p>
      <w:pPr>
        <w:spacing w:after="0" w:line="13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September 30, 2024 and December 31, 2023, the Company had $181.1 million and $159.8 million, respectively, in deferred revenues, which are included in accounts payable and accrued liabilities in the accompanying condensed consolidated balance sheets. Of the amount outstanding at December 31, 2023, approximately $112.4 million was recognized in revenue during the nine months ended September 30, 2024.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INCOME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41,227</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202,872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 interest in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joint venture</w:t>
            </w: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4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Net income available to common stockholders - if-converted</w:t>
            </w:r>
          </w:p>
        </w:tc>
        <w:tc>
          <w:tcPr>
            <w:tcW w:w="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40,512</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206,560</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170,746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method</w:t>
            </w:r>
          </w:p>
        </w:tc>
        <w:tc>
          <w:tcPr>
            <w:tcW w:w="40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more fully discussed in Note 1 to the consolidated financial statements included in the Company’s Annual Report on Form 10-K for the year ended December 31, 2023, although currently not exercisable, the minority investor of OEG has certain put rights (the “OEG Put Rights”) to require the Company to purchase the minority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minority investor’s noncontrolling equity interest was redeemed in exchange for shares of the Company’s common stock.</w:t>
      </w:r>
    </w:p>
    <w:p>
      <w:pPr>
        <w:spacing w:after="0" w:line="148"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RHP Hotel Properties, LP (the “Operating Partnership”) have been excluded from the denominator of the diluted income per share calculation for the three and nine months ended September 30, 2024 and 2023 as there would be no effect on the calculation of diluted income per share because the income or loss attributable to the OP Units held by the noncontrolling interest holders would also be added or subtracted to derive net income available to common stockholders.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ACCUMULATED OTHER COMPREHENSIVE LOSS: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frozen noncontributory defined benefit pension plan, interest rate derivatives designated as cash flow hedges related to the Company’s outstanding debt as discussed in Note 7, “Debt,” and amounts related to an other-than-temporary impairment of a held-to-maturity investment that existed prior to 2020 with respect to the notes receivable discussed in Note 6, “Notes Receivable,” to the condensed consolidated financial statements included herein.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for the nine months ended September 30, 2024 and 2023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2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5"/>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w:t>
            </w: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30, 2024</w:t>
            </w:r>
          </w:p>
        </w:tc>
        <w:tc>
          <w:tcPr>
            <w:tcW w:w="400" w:type="dxa"/>
            <w:vAlign w:val="bottom"/>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4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9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420" w:type="dxa"/>
            <w:vAlign w:val="bottom"/>
            <w:gridSpan w:val="2"/>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6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(3,087)</w:t>
            </w:r>
          </w:p>
        </w:tc>
        <w:tc>
          <w:tcPr>
            <w:tcW w:w="14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(11,798)</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2023</w:t>
            </w:r>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(2,931)</w:t>
            </w: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at September 30, 2024 and December 31, 2023 is summarized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4,505,403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4,396,302</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1,138,769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122,923</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6,566,099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6,265,287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(2,309,701)</w:t>
            </w: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4,092,234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3,955,586</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2023, in connection with the development of Gaylord National, the Company holds two issuances of governmental bonds (“Series A bond” and “Series B bond”) with a total carrying value and approximate fair value of $56.6 million and $61.8 million at September 30, 2024 and December 31, 2023, respectively, net of credit loss reserve of $38.0 million at each of September 30, 2024 and December 31, 2023.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65"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life of the bonds as well as certain cumulative priority payments due to others, the Series B bond is fully reserved. The Series A bond is of higher priority than other tranches which fall between the Company’s two issuances.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and 2023, the Company recorded interest income of $1.1 million and $1.2 million, respectively, on these bonds. During the nine months ended September 30, 2024 and 2023, the Company recorded interest income of $3.5 million and $3.7 million, respectively, on these bonds. The Company received payments of $8.8 million and $11.0 million during the nine months ended September 30, 2024 and 2023, respectively, relating to these bonds. Before consideration of the credit loss reserve, accrued interest receivable included as a component of the carrying value of notes receivable is $39.9 million and $41.0 million at September 30, 2024 and December 31,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9"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The Company’s debt and finance lease obligations at September 30, 2024 and December 31, 2023 consisted of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SOFR plus 1.50%, maturing May 18, 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Term Loan B, interest at SOFR plus 2.25%, maturing May 18, 2030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7.25%, maturing July 15, 2028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6.50%, maturing April 1, 2032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 Term Loan, interest at SOFR plus 2.50%, original maturity July 2, 2024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$80M OEG Revolver, interest at SOFR plus 3.50%, maturing June 28, 2029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OEG Term Loan, interest at SOFR plus 3.50%, maturing June 28, 2031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Block 21 CMBS Loan, interest at 5.58%, maturing January 5, 2026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131,871</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w:t>
            </w:r>
          </w:p>
        </w:tc>
      </w:tr>
      <w:tr>
        <w:trPr>
          <w:trHeight w:val="210"/>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3,373,442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3,377,028</w:t>
            </w: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Amounts due within one year of the balance sheet date consist of the amortization payments for the term loan B of 1.0% of the refinanced $295.0 million principal balance, amortization payments for the $300 million OEG term loan of 1.0% of the refinanced principal balance, and amortization of the Block 21 CMBS Loan based on a 30-year amortization.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30, 2024, there were no defaults under the covenants related to the Company’s outstanding debt.</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 Billion 6.50% Senior Notes due 2032</w:t>
      </w:r>
    </w:p>
    <w:p>
      <w:pPr>
        <w:spacing w:after="0" w:line="187" w:lineRule="exact"/>
        <w:rPr>
          <w:sz w:val="20"/>
          <w:szCs w:val="20"/>
          <w:color w:val="auto"/>
        </w:rPr>
      </w:pPr>
    </w:p>
    <w:p>
      <w:pPr>
        <w:ind w:left="60" w:right="479"/>
        <w:spacing w:after="0" w:line="276" w:lineRule="auto"/>
        <w:rPr>
          <w:sz w:val="20"/>
          <w:szCs w:val="20"/>
          <w:color w:val="auto"/>
        </w:rPr>
      </w:pPr>
      <w:r>
        <w:rPr>
          <w:rFonts w:ascii="Times New Roman" w:cs="Times New Roman" w:eastAsia="Times New Roman" w:hAnsi="Times New Roman"/>
          <w:sz w:val="17"/>
          <w:szCs w:val="17"/>
          <w:color w:val="auto"/>
        </w:rPr>
        <w:t>On March 28, 2024, the Operating Partnership and RHP Finance Corporation (collectively, the “issuing subsidiaries”) completed the private placement of $1.0 billion in aggregate principal amount of 6.50% senior notes due 2032 (the</w:t>
      </w:r>
    </w:p>
    <w:p>
      <w:pPr>
        <w:spacing w:after="0" w:line="1"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“$1 Billion 6.50% Senior Notes”), which are guaranteed by the Company and its subsidiaries that guarantee the Company’s credit agreement.</w:t>
      </w:r>
    </w:p>
    <w:p>
      <w:pPr>
        <w:spacing w:after="0" w:line="141"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beginning on October 1, 2024. The $1 Billion 6.50% Senior Notes are general unsecured and unsubordinated obligations of the issuing subsidiaries and rank equal in right of payment with such subsidiaries’ existing and future senior unsecured indebtedness, including the Company’s $700 million in aggregate principal amount of 4.75% senior notes due 2027, $400 million in aggregate principal amount of 7.25% senior notes due 2028 and $600 million in aggregate principal amount of 4.50% senior notes due 2029, and senior in right of payment to future subordinated indebtedness, if any.</w:t>
      </w:r>
    </w:p>
    <w:p>
      <w:pPr>
        <w:spacing w:after="0" w:line="161"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The $1 Billion 6.50% Senior Notes are effectively subordinated to the issuing subsidiaries’ secured indebtedness to the extent of the value of the assets securing such indebtedness. The guarantees rank equally in right of payment with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5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The Company used a portion of these net proceeds to prepay the indebtedness outstanding under its previous $800.0 million Gaylord Rockies term loan and used the remaining proceeds, together with cash on hand, to pay down $200.0 million under its existing senior secured term loan B (the “Term Loan B”).</w:t>
      </w:r>
    </w:p>
    <w:p>
      <w:pPr>
        <w:spacing w:after="0" w:line="14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Previous $800 Million Gaylord Rockies Term Loan</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July 2019, Aurora Convention Center Hotel, LLC and Aurora Convention Center Hotel Lessee, LLC, the entities that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comprise Gaylord Rockies, entered into a Second Amended and Restated Loan Agreement (the “Gaylord Rockies Loan”)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Wells Fargo Bank, National Association, as administrative agent. The Gaylord Rockies Loan consisted of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$800.0 million secured term loan facility, with a maturity date of July 2, 2024 with two, one-year extension options, subject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certain requirements in the Gaylord Rockies Loan, and bore interest at Adjusted Daily Simple SOFR plus 2.50%.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previously entered into an interest rate swap to fix the SOFR portion of the interest rate at 5.2105% for the fifth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of the loan. The Company designated this interest rate swap as an effective cash flow hedge.</w:t>
      </w:r>
    </w:p>
    <w:p>
      <w:pPr>
        <w:spacing w:after="0" w:line="16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On March 28, 2024, the Company paid off the Gaylord Rockies Loan with proceeds from the $1 Billion 6.50% Senior Notes discussed above and terminated the interest rate swap.</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200"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Prior to the effectiveness of the Incremental Agreement (as hereinafter defined), the applicable interest rate margins for borrowings under the Term Loan B were, at our option, either (i) Term SOFR plus 2.75%, (ii) Daily Simple SOFR plus 2.75% or (iii) a base rate as set forth in the Credit Agreement plus 1.75%.</w:t>
      </w:r>
    </w:p>
    <w:p>
      <w:pPr>
        <w:spacing w:after="0" w:line="13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12, 2024, the Company entered into an Incremental Tranche B Term Loan Agreement (the “Incremental Agreement”), which supplements the Company’s credit agreement and includes the addition of certain new lenders and the removal of certain other lenders. The Incremental Agreement reduces the applicable interest rate margins for the loans advanced under the refinanced Term Loan B. The applicable interest rate margins for the refinanced Term Loan B under the Incremental Agreement are (i) 2.25% for SOFR Loans (as defined in the Company’s credit agreement) and (ii) 1.25% for base rate loans. The Incremental Agreement did not change the maturity dates under the Company’s credit agreement or result in any increase in principal indebtedness. In addition, the Incremental Agreement confirms that the annual amortization under the Term Loan B is 1% of the refinanced $295.0 million outstanding principal amount, with the balance due at maturity.</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Agreement</w:t>
      </w:r>
    </w:p>
    <w:p>
      <w:pPr>
        <w:spacing w:after="0" w:line="20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On June 28, 2024, OEG Borrower, LLC (“OEG Borrower”) and OEG Finance, LLC (“OEG 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(the “Original OEG Credit Agreement”). As amended, the credit facility (the “Amended OEG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Credit Agreement”) includes certain amended terms including lower interest rates, extended maturities and modifications to various covenants.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Amended OEG Credit Agreement provides for (i) a senior secured term loan facility in the aggregate amount of</w:t>
      </w:r>
    </w:p>
    <w:p>
      <w:pPr>
        <w:spacing w:after="0" w:line="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$300.0 million (the “OEG Term Loan”) and (ii) a senior secured revolving credit facility in an aggregate principal amount not to exceed $80.0 million (the “OEG Revolver”). The OEG Term Loan refinances and replaces the former term loan in the outstanding principal amount of $294.8 million as of June 28, 2024 and the OEG Revolver refinances and replaces the senior secured revolving credit facility in an aggregate principal amount not to exceed $65.0 million. At September 30, 2024, $16.0 million was outstanding under the OEG Revolver.</w:t>
      </w:r>
    </w:p>
    <w:p>
      <w:pPr>
        <w:spacing w:after="0" w:line="14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OEG Term Loan and the OEG Revolver are each secured by substantially all of the assets of OEG Finance and each of its subsidiaries (other than Block 21-related subsidiaries, as more specifically described in the Amended OEG Credit Agreement). The OEG Term Loan bears interest at a rate equal to either, at OEG Borrower’s election, as of the closing contemplated by the Amended OEG Credit Agreement: (a) the Alternate Base Rate plus 2.50% or (b) Adjusted Term SOFR plus 3.50% (all as more specifically described in the Amended OEG Credit Agreement). Borrowings under the OEG Revolver bear interest at a rate equal to either, at OEG Borrower’s election, as of the closing contemplated by the Amended OEG Credit Agreement: (a) the Alternate Base Rate plus the Applicable Rate (as defined in the Amended OEG Credit Agreement) or (b) Adjusted Term SOFR plus the Applicable Rate. Under the Amended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Amended OEG Credit Agreement). The Applicable Rate for borrowings as of September 30, 2024 is 2.50% for Alternative Base Rate Loans and 3.50% for Adjusted Term SOFR loans.</w:t>
      </w:r>
    </w:p>
    <w:p>
      <w:pPr>
        <w:spacing w:after="0" w:line="14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 OEG Borrower used the proceeds of the OEG Term Loan, net of transaction expenses, to refinance the original term loan under the Original OEG Credit Agreement.</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The Company has entered into or previously entered into interest rate swaps to manage interest rate risk associated with the previous Gaylord Rockies $800 million term loan and a portion of the $300 million OEG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2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$0.7 million will be reclassified from accumulated other comprehensive loss to interest expense in the next twelve months.</w:t>
      </w:r>
    </w:p>
    <w:p>
      <w:pPr>
        <w:spacing w:after="0" w:line="16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In March 2024, as discussed above, the Company paid off the Gaylord Rockies Loan and subsequently terminated the associated interest rate swap. The Company received approximately $0.2 million from the counterparty to the swap, which has been recorded as a reduction in interest expense for the nine months ended September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September 30, 2024 and December 31, 2023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Strike</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5"/>
                <w:szCs w:val="15"/>
                <w:color w:val="auto"/>
              </w:rPr>
            </w:pPr>
          </w:p>
        </w:tc>
        <w:tc>
          <w:tcPr>
            <w:tcW w:w="17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40" w:type="dxa"/>
            <w:vAlign w:val="bottom"/>
            <w:gridSpan w:val="2"/>
            <w:vMerge w:val="continue"/>
          </w:tcPr>
          <w:p>
            <w:pPr>
              <w:spacing w:after="0"/>
              <w:rPr>
                <w:sz w:val="10"/>
                <w:szCs w:val="10"/>
                <w:color w:val="auto"/>
              </w:rPr>
            </w:pPr>
          </w:p>
        </w:tc>
        <w:tc>
          <w:tcPr>
            <w:tcW w:w="10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2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Gaylord Rockies Term Loan</w:t>
            </w:r>
          </w:p>
        </w:tc>
        <w:tc>
          <w:tcPr>
            <w:tcW w:w="4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5.2105%</w:t>
            </w:r>
          </w:p>
        </w:tc>
        <w:tc>
          <w:tcPr>
            <w:tcW w:w="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Daily SOFR</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July 2, 2024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800,000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4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4.5330%</w:t>
            </w:r>
          </w:p>
        </w:tc>
        <w:tc>
          <w:tcPr>
            <w:tcW w:w="4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20" w:type="dxa"/>
            <w:vAlign w:val="bottom"/>
            <w:tcBorders>
              <w:bottom w:val="single" w:sz="8" w:color="CCEEFF"/>
            </w:tcBorders>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December 18, 2025</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121"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158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96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208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(1,048)</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1,562</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derivatives</w:t>
            </w: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(1,048)</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1,562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488"/>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190</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1,578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00" w:type="dxa"/>
            <w:vAlign w:val="bottom"/>
          </w:tcPr>
          <w:p>
            <w:pPr>
              <w:spacing w:after="0"/>
              <w:rPr>
                <w:sz w:val="24"/>
                <w:szCs w:val="24"/>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96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208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Borders>
              <w:bottom w:val="single" w:sz="8" w:color="CCEEFF"/>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1,278</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3,029</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Borders>
              <w:bottom w:val="single" w:sz="8" w:color="auto"/>
            </w:tcBorders>
          </w:tcPr>
          <w:p>
            <w:pPr>
              <w:jc w:val="right"/>
              <w:ind w:right="488"/>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939</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11,734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1,278</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3,029</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88"/>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939</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11,734</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September 30, 2024 and 2023 was $54.5 million and $58.5 million, respectively, and for the nine months ended September 30, 2024 and 2023 was $171.6 million and $150.2 million, respectively.</w:t>
      </w:r>
    </w:p>
    <w:p>
      <w:pPr>
        <w:spacing w:after="0" w:line="15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September 30, 2024, the fair value of derivatives in a net liability position including accrued interest but excluding any adjustment for nonperformance risk related to these agreements was $1.0 million. As of September 30, 2024,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$1.0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DEFERRED MANAGEMENT RIGHTS PROCEEDS:</w:t>
      </w:r>
    </w:p>
    <w:p>
      <w:pPr>
        <w:spacing w:after="0" w:line="18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a lessee of a 65.3-acre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were not considered reasonably assured to be exercised as of the date of the agreement and, as a result, are not included in the Company’s calculation of its right-of-use assets and lease liabilities.</w:t>
      </w:r>
    </w:p>
    <w:p>
      <w:pPr>
        <w:spacing w:after="0" w:line="192"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899"/>
        <w:spacing w:after="0" w:line="282" w:lineRule="auto"/>
        <w:rPr>
          <w:sz w:val="20"/>
          <w:szCs w:val="20"/>
          <w:color w:val="auto"/>
        </w:rPr>
      </w:pPr>
      <w:r>
        <w:rPr>
          <w:rFonts w:ascii="Times New Roman" w:cs="Times New Roman" w:eastAsia="Times New Roman" w:hAnsi="Times New Roman"/>
          <w:sz w:val="18"/>
          <w:szCs w:val="18"/>
          <w:color w:val="auto"/>
        </w:rPr>
        <w:t>The Company’s lease costs for the three and nine months ended September 30, 2024 and 2023 are as follows (in thousands):</w:t>
      </w:r>
    </w:p>
    <w:p>
      <w:pPr>
        <w:spacing w:after="0" w:line="15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$ 4,411</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$ 14,313</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$ 4,475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$ 14,457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$ 13,636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September 30, 2024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549,316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(467,291)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130,289</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 PLANS:</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May 9, 2024, the Company’s stockholders approved the Company’s 2024 Omnibus Incentive Plan (the “2024 Plan”). The 2024 Plan replaces the Company’s previous 2016 Omnibus Incentive Plan (the “2016 Plan”) and no new awards will be made under the 2016 Plan; however, awards granted under the 2016 Plan will continue to be governed by the 2016 Plan. At September 30, 2024, there were approximately 1.9 million shares of common stock available for issuance pursuant to future grants of awards under the 2024 Plan.</w:t>
      </w:r>
    </w:p>
    <w:p>
      <w:pPr>
        <w:spacing w:after="0" w:line="143"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0.1 million restricted stock units with a weighted-average grant date fair value of $120.62 per unit. There were 0.4 million and 0.6 million restricted stock units outstanding at September 30, 2024 and December 31, 2023.</w:t>
      </w:r>
    </w:p>
    <w:p>
      <w:pPr>
        <w:spacing w:after="0" w:line="135"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was $3.5 million and $3.9 million for the three months ended September 30, 2024 and 2023, respectively, and $10.7 million and $11.5 million for the nine months ended September 30, 2024 and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24"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recorded an income tax provision of $0.9 million and $2.2 million, respectively, related to its TRSs. For the nine months ended September 30, 2024 and 2023, the Company recorded an income tax provision of $13.7 million and $7.3 million, respectively, related to its TRSs.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30, 2024 and December 31, 2023, the Company had no unrecognized tax benefits.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89" w:lineRule="exact"/>
        <w:rPr>
          <w:sz w:val="20"/>
          <w:szCs w:val="20"/>
          <w:color w:val="auto"/>
        </w:rPr>
      </w:pPr>
    </w:p>
    <w:p>
      <w:pPr>
        <w:ind w:left="60" w:right="239"/>
        <w:spacing w:after="0" w:line="312"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limited guarantees to the Block 21 lenders under the Block 21 CMBS Loan via a guaranty agreement, a guaranty of completion agreement and an environmental indemnity.</w:t>
      </w:r>
    </w:p>
    <w:p>
      <w:pPr>
        <w:spacing w:after="0" w:line="9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5"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April 9, 2024, the Company received service of process in a lawsuit naming the Company and a subsidiary as co-defendants with Marriott, as the manager, and multiple contractors in a personal injury lawsuit filed by individual plaintiffs in Colorado state court. The lawsuit relates to a May 2023 incident at the Gaylord Rockies indoor pool amenity involving the collapse of HVAC equipment. The complaint requests an unspecified amount of damages related to alleged injuries to two guests. The Company intends to vigorously defend the lawsuit and believes it has strong defenses. The lawsuit is in its early stages so the Company cannot predict its likely outcome or estimate the range of possible loss, but the Company does not believe that the outcome will have a material impact on the Company’s financial position.</w:t>
      </w:r>
    </w:p>
    <w:p>
      <w:pPr>
        <w:spacing w:after="0" w:line="148"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On February 22, 2024, the Company’s board of directors declared the Company’s first quarter 2024 cash dividend in the amount of $1.10 per share of common stock, or an aggregate of approximately $66.3 million in cash, which was paid on April 15, 2024 to stockholders of record as of the close of business on March 29, 2024.</w:t>
      </w:r>
    </w:p>
    <w:p>
      <w:pPr>
        <w:spacing w:after="0" w:line="135"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On May 10, 2024, the Company’s board of directors declared the Company’s second quarter 2024 cash dividend in the amount of $1.10 per share of common stock, or an aggregate of approximately $66.3 million in cash, which was paid on July 15, 2024 to stockholders of record as of the close of business on June 28, 2024.</w:t>
      </w:r>
    </w:p>
    <w:p>
      <w:pPr>
        <w:spacing w:after="0" w:line="14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On September 4, 2024, the Company’s board of directors declared the Company’s third quarter 2024 cash dividend in the amount of $1.10 per share of common stock, or an aggregate of approximately $66.3 million in cash, which was paid on October 15, 2024 to stockholders of record as of the close of business on September 30, 2024. Any future dividend is subject to the Company’s board of directors’ determination as to the amount of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September 30, 2024, 0.4 million outstanding OP Units, or 0.7% of the outstanding OP Units, were held by the noncontrolling limited partners and are included as a component of equity in the accompanying condensed consolidated balance sheets. The Company owns, directly or indirectly, the remaining 99.3% of the outstanding OP Units.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53"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43"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September 30, 2024 and December 31, 2023,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80" w:type="dxa"/>
            <w:vAlign w:val="bottom"/>
            <w:gridSpan w:val="5"/>
            <w:vMerge w:val="restart"/>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10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8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Pr>
          <w:p>
            <w:pPr>
              <w:spacing w:after="0"/>
              <w:rPr>
                <w:sz w:val="18"/>
                <w:szCs w:val="18"/>
                <w:color w:val="auto"/>
              </w:rPr>
            </w:pP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September 30, 2024 are not required to be recorded at fair value, and financial assets and liabilities approximate fair value, except as described below.</w:t>
      </w:r>
    </w:p>
    <w:p>
      <w:pPr>
        <w:spacing w:after="0" w:line="135"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Company has outstanding $400.0 million in aggregate principal amount of $400 million 7.25% senior notes. The carrying value of these notes at September 30, 2024 was $394.7 million, net of unamortized deferred financing costs (“DFCs”). The fair value of these notes, based upon quoted market prices (Level 1), was $418.5 million at September 30, 2024.</w:t>
      </w:r>
    </w:p>
    <w:p>
      <w:pPr>
        <w:spacing w:after="0" w:line="13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 has outstanding $1,000.0 million in aggregate principal amount of $1,000.0 million 6.50% senior notes. The carrying value of these notes at September 30, 2024 was $984.0 million, net of unamortized DFCs. The fair value of these notes, based upon quoted market prices (Level 1), was $1,033.7 million at September 30,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FINANCIAL REPORTING BY BUSINESS SEGMENTS: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three principal business segments:</w:t>
      </w:r>
    </w:p>
    <w:p>
      <w:pPr>
        <w:spacing w:after="0" w:line="183" w:lineRule="exact"/>
        <w:rPr>
          <w:sz w:val="20"/>
          <w:szCs w:val="20"/>
          <w:color w:val="auto"/>
        </w:rPr>
      </w:pPr>
    </w:p>
    <w:p>
      <w:pPr>
        <w:ind w:left="720" w:right="31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JW Marriott Hill Country (effective June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Inn at Opryland and the AC Hotel;</w:t>
      </w:r>
    </w:p>
    <w:p>
      <w:pPr>
        <w:ind w:left="720" w:right="5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Category 10 and Block 21;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for corporate management purposes (amounts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467,043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446,198</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$ 1,447,600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1,288,322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549,958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528,511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$ 1,691,593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1,525,073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152,271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58,086</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154,700</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102,781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356,851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sale of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105,880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370,332</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(loss) from unconsolidated joint ventures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221,551</w:t>
            </w:r>
          </w:p>
        </w:tc>
        <w:tc>
          <w:tcPr>
            <w:tcW w:w="16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179,255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3,976,383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4,039,804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652,788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575,323</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5,204,494</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5,188,537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(as defined below)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statements and related notes included elsewhere in this report and our audited consolidated financial statements and related notes for the year ended December 31, 2023, included in our Annual Report on Form 10-K that was filed with the SEC on February 23, 2024.</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and other business or operational issues;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and increased costs on our business and on our customers, including group customers at our hotels; and (xii) any other business or operational matters. We have based these forward-looking statements on our current expectations and projections about future events.</w:t>
      </w:r>
    </w:p>
    <w:p>
      <w:pPr>
        <w:spacing w:after="0" w:line="16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on our business, including the effects on costs of labor and supplies and effects on group customers at our hotels and customers in our OEG businesses, our ability to remain qualified as a REIT, our ability to execute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and those factors described elsewhere in this Quarterly Report on Form 10-Q and our Annual Report on Form 10-K for the year ended December 31, 2023 or described from time to time in our other reports filed with the SEC.</w:t>
      </w:r>
    </w:p>
    <w:p>
      <w:pPr>
        <w:spacing w:after="0" w:line="16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Our other owned hotel assets managed by Marriott include the Inn at Opryland, an overflow hotel adjacent to Gaylord Opryland, the AC Hotel at National Harbor, Washington D.C. (“AC Hotel”), an overflow hotel adjacent to Gaylord National, and effective June 30, 2023, the JW Marriott San Antonio Hill Country Resort &amp; Spa (“JW Marriott Hill Country”).</w:t>
      </w:r>
    </w:p>
    <w:p>
      <w:pPr>
        <w:spacing w:after="0" w:line="165"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99 years; the Ryman Auditorium, the storied live music venue and former home of the Grand Ole Opry located in downtown Nashville; WSM-AM, the Opry’s radio home; Ole Red, a brand of Blake Shelton-themed bar, music venue and event spaces; Category 10, a Luke Combs-themed bar, music venue and event space that opened in November 2024; and Block 21, a mixed-use entertainment, lodging, office, and retail complex located in Austin, Texas (“Block 21”).</w:t>
      </w:r>
    </w:p>
    <w:p>
      <w:pPr>
        <w:spacing w:after="0" w:line="14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2023 for important information regarding forward-looking statements made in this report and risks and uncertainties we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2024 Activities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Significant activities we have undertaken in 2024 include (as well as where you can find more information herein or in the accompanying condensed consolidated financial statements):</w:t>
      </w:r>
    </w:p>
    <w:p>
      <w:pPr>
        <w:spacing w:after="0" w:line="162"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 billion in 6.50% senior notes due 2032 – Note 7,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previously outstanding $800 million Gaylord Rockies term loan – Note 7,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$200.0 million under our term loan B and reduced the applicable interest rate margins – Note 7, “Debt”</w:t>
      </w:r>
    </w:p>
    <w:p>
      <w:pPr>
        <w:spacing w:after="0" w:line="225"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Refinanced our existing OEG credit facility, including reducing the applicable interest rate margins under each of the $65 million OEG revolver and $300 million OEG term loan B, as well as upsizing the OEG revolver to $80 million of potential capacity – Note 7, “Debt”</w:t>
      </w:r>
    </w:p>
    <w:p>
      <w:pPr>
        <w:spacing w:after="0" w:line="17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our existing properties through approximately $317.3 million in capital expenditures – “Liquidity and Capital Resources”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approximately $199.0 million in cash dividends – Note 13, “Equity”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focus on the large group meetings market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incorporate meeting and exhibition space, signature guest rooms, food and beverage offerings, fitness and spa facilities and other attractions within a large hotel property so attendees’ needs are met in one location. We believe this strategy creates a better experience for both meeting planners and guests and has led to our current Gaylord Hotels properties claiming a place among the leading convention hotels in the country.</w:t>
      </w:r>
    </w:p>
    <w:p>
      <w:pPr>
        <w:spacing w:after="0" w:line="143"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Part of our long-term growth strategy includes acquisitions or developments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w:t>
      </w:r>
    </w:p>
    <w:p>
      <w:pPr>
        <w:spacing w:after="0" w:line="148"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2022, we completed a re-concepting of the food and beverage options at Gaylord National and began a $98 million multi-year interior and exterior enhancement project at Gaylord Rockies to better position the property for our group customers. In early 2024, we identified over $1 billion in capital investment opportunities across our entire hotel portfolio, comprised of projects that we anticipate completing in phases through 2027.</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purchased Block 21, and in April 2023 announced a partnership with Luke Combs for Category 10, an entertainment venue concept that opened in November 2024. Further, in 2022, we completed a strategic transaction to sell a minority interest in OEG to an affiliate of Atairos Group, Inc. and its strategic partner NBCUniversal Media, LLC, who we believe will be able to help us expand the distribution of our OEG brands.</w:t>
      </w:r>
    </w:p>
    <w:p>
      <w:pPr>
        <w:spacing w:after="0" w:line="165"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operations are organized into three principal business segments:</w:t>
      </w:r>
    </w:p>
    <w:p>
      <w:pPr>
        <w:spacing w:after="0" w:line="198" w:lineRule="exact"/>
        <w:rPr>
          <w:sz w:val="20"/>
          <w:szCs w:val="20"/>
          <w:color w:val="auto"/>
        </w:rPr>
      </w:pPr>
    </w:p>
    <w:p>
      <w:pPr>
        <w:ind w:left="720" w:right="1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JW Marriott Hill Country (effective June 30, 2023), the Inn at Opryland and the AC Hotel.</w:t>
      </w:r>
    </w:p>
    <w:p>
      <w:pPr>
        <w:spacing w:after="0" w:line="12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Category 10, Block 21, and our other Nashville-based attractions.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98"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our total revenues were divided among these business segments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76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6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16 %</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0 %</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0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3"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2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135"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We also use certain “non-GAAP financial measures,” which are measures of our historical performance that are not calculated and presented in accordance with generally accepted accounting principles in the United States (“GAAP”), within the meaning of applicable SEC rules. These measures include:</w:t>
      </w:r>
    </w:p>
    <w:p>
      <w:pPr>
        <w:spacing w:after="0" w:line="133" w:lineRule="exact"/>
        <w:rPr>
          <w:sz w:val="20"/>
          <w:szCs w:val="20"/>
          <w:color w:val="auto"/>
        </w:rPr>
      </w:pPr>
    </w:p>
    <w:p>
      <w:pPr>
        <w:jc w:val="both"/>
        <w:ind w:left="720" w:right="159" w:hanging="319"/>
        <w:spacing w:after="0" w:line="26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34"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 holders.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85"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seasonality,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and nine months ended September 30, 2024 and 2023.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6"/>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10"/>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gridSpan w:val="2"/>
          </w:tcPr>
          <w:p>
            <w:pPr>
              <w:jc w:val="center"/>
              <w:ind w:left="1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gridSpan w:val="2"/>
          </w:tcPr>
          <w:p>
            <w:pPr>
              <w:jc w:val="center"/>
              <w:ind w:left="89"/>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gridSpan w:val="2"/>
          </w:tcPr>
          <w:p>
            <w:pPr>
              <w:jc w:val="center"/>
              <w:ind w:left="1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180,309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3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557,284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510,052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224,835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719,304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616,562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revenue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58,054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63,039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161,708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82,915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243,993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236,751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549,958</w:t>
            </w:r>
          </w:p>
        </w:tc>
        <w:tc>
          <w:tcPr>
            <w:tcW w:w="16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528,511</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1,691,593</w:t>
            </w:r>
          </w:p>
        </w:tc>
        <w:tc>
          <w:tcPr>
            <w:tcW w:w="16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1,525,073</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8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45,879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128,210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127,040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387,588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339,642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expenses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122,748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360,298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330,397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Hotel management fees, net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61,659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173,806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164,744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sale of assets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line="176"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0"/>
                <w:szCs w:val="20"/>
                <w:color w:val="auto"/>
                <w:vertAlign w:val="super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Hospitality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152,271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137,987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Entertainment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and Other</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0" w:type="dxa"/>
            <w:vAlign w:val="bottom"/>
            <w:tcBorders>
              <w:bottom w:val="single" w:sz="8" w:color="CCEEFF"/>
            </w:tcBorders>
          </w:tcPr>
          <w:p>
            <w:pPr>
              <w:spacing w:after="0"/>
              <w:rPr>
                <w:sz w:val="13"/>
                <w:szCs w:val="13"/>
                <w:color w:val="auto"/>
              </w:rPr>
            </w:pPr>
          </w:p>
        </w:tc>
        <w:tc>
          <w:tcPr>
            <w:tcW w:w="3140" w:type="dxa"/>
            <w:vAlign w:val="bottom"/>
            <w:tcBorders>
              <w:bottom w:val="single" w:sz="8" w:color="CCEEFF"/>
            </w:tcBorders>
            <w:gridSpan w:val="2"/>
          </w:tcPr>
          <w:p>
            <w:pPr>
              <w:ind w:left="300"/>
              <w:spacing w:after="0" w:line="155"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59,051</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10.7</w:t>
            </w:r>
          </w:p>
        </w:tc>
        <w:tc>
          <w:tcPr>
            <w:tcW w:w="22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58,086</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11.0</w:t>
            </w:r>
          </w:p>
        </w:tc>
        <w:tc>
          <w:tcPr>
            <w:tcW w:w="20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174,806</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c>
          <w:tcPr>
            <w:tcW w:w="18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154,700</w:t>
            </w:r>
          </w:p>
        </w:tc>
        <w:tc>
          <w:tcPr>
            <w:tcW w:w="54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Borders>
              <w:bottom w:val="single" w:sz="8" w:color="CCEE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0" w:type="dxa"/>
            <w:vAlign w:val="bottom"/>
            <w:shd w:val="clear" w:color="auto" w:fill="CCEEFF"/>
          </w:tcPr>
          <w:p>
            <w:pPr>
              <w:spacing w:after="0"/>
              <w:rPr>
                <w:sz w:val="13"/>
                <w:szCs w:val="13"/>
                <w:color w:val="auto"/>
              </w:rPr>
            </w:pPr>
          </w:p>
        </w:tc>
        <w:tc>
          <w:tcPr>
            <w:tcW w:w="314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444,078</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80.7</w:t>
            </w:r>
          </w:p>
        </w:tc>
        <w:tc>
          <w:tcPr>
            <w:tcW w:w="22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426,588</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80.7</w:t>
            </w:r>
          </w:p>
        </w:tc>
        <w:tc>
          <w:tcPr>
            <w:tcW w:w="20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1,321,261</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78.1</w:t>
            </w:r>
          </w:p>
        </w:tc>
        <w:tc>
          <w:tcPr>
            <w:tcW w:w="18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1,195,260</w:t>
            </w:r>
          </w:p>
        </w:tc>
        <w:tc>
          <w:tcPr>
            <w:tcW w:w="5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78.4</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Hospitality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102,781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91,723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356,851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305,526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55,940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(9,951)</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(31,773)</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7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2"/>
                <w:szCs w:val="12"/>
                <w:color w:val="auto"/>
              </w:rPr>
              <w:t>(0.0)</w:t>
            </w:r>
            <w:r>
              <w:rPr>
                <w:rFonts w:ascii="Times New Roman" w:cs="Times New Roman" w:eastAsia="Times New Roman" w:hAnsi="Times New Roman"/>
                <w:sz w:val="20"/>
                <w:szCs w:val="20"/>
                <w:color w:val="auto"/>
                <w:vertAlign w:val="superscript"/>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sale of assets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88"/>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1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color w:val="auto"/>
              </w:rPr>
              <w:t>Total operating income</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105,880</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101,923</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19.3</w:t>
            </w:r>
          </w:p>
        </w:tc>
        <w:tc>
          <w:tcPr>
            <w:tcW w:w="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370,332</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329,813</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21.6</w:t>
            </w:r>
          </w:p>
        </w:tc>
        <w:tc>
          <w:tcPr>
            <w:tcW w:w="1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(54,546)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(58,521)</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(171,566)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(150,228)</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7,219</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6,112</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21,805</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13,977</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(12,566)</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(17,525)</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2,758</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5,993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(922)</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(13,652)</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(7,333)</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60,398</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40,785</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207,899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171,922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14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60" w:type="dxa"/>
            <w:vAlign w:val="bottom"/>
          </w:tcPr>
          <w:p>
            <w:pPr>
              <w:spacing w:after="0"/>
              <w:rPr>
                <w:sz w:val="10"/>
                <w:szCs w:val="10"/>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60" w:type="dxa"/>
            <w:vAlign w:val="bottom"/>
          </w:tcPr>
          <w:p>
            <w:pPr>
              <w:spacing w:after="0"/>
              <w:rPr>
                <w:sz w:val="10"/>
                <w:szCs w:val="10"/>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in consolidated joint venture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14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attributable to noncontrolling interest in</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6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Operating Partnership</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1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59,011</w:t>
            </w:r>
          </w:p>
        </w:tc>
        <w:tc>
          <w:tcPr>
            <w:tcW w:w="16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2"/>
              </w:rPr>
              <w:t>(A)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41,227</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202,872</w:t>
            </w:r>
          </w:p>
        </w:tc>
        <w:tc>
          <w:tcPr>
            <w:tcW w:w="16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169,090</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and nine months ended September 30, 2024 and 2023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gridSpan w:val="4"/>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tcBorders>
              <w:bottom w:val="single" w:sz="8" w:color="auto"/>
            </w:tcBorders>
            <w:gridSpan w:val="4"/>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auto"/>
            </w:tcBorders>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22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500" w:type="dxa"/>
            <w:vAlign w:val="bottom"/>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40" w:type="dxa"/>
            <w:vAlign w:val="bottom"/>
            <w:gridSpan w:val="2"/>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48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$ 549,958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$ 528,511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$ 1,691,593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$ 1,525,073</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444,078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426,588</w:t>
            </w:r>
          </w:p>
        </w:tc>
        <w:tc>
          <w:tcPr>
            <w:tcW w:w="120" w:type="dxa"/>
            <w:vAlign w:val="bottom"/>
          </w:tcPr>
          <w:p>
            <w:pPr>
              <w:spacing w:after="0"/>
              <w:rPr>
                <w:sz w:val="18"/>
                <w:szCs w:val="18"/>
                <w:color w:val="auto"/>
              </w:rPr>
            </w:pPr>
          </w:p>
        </w:tc>
        <w:tc>
          <w:tcPr>
            <w:tcW w:w="7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4.1 %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1,321,261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1,195,260</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101,923</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370,332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20" w:type="dxa"/>
            <w:vAlign w:val="bottom"/>
          </w:tcPr>
          <w:p>
            <w:pPr>
              <w:spacing w:after="0"/>
              <w:rPr>
                <w:sz w:val="18"/>
                <w:szCs w:val="18"/>
                <w:color w:val="auto"/>
              </w:rPr>
            </w:pPr>
          </w:p>
        </w:tc>
        <w:tc>
          <w:tcPr>
            <w:tcW w:w="7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48.1 %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171,922</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41,227</w:t>
            </w:r>
          </w:p>
        </w:tc>
        <w:tc>
          <w:tcPr>
            <w:tcW w:w="1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202,872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per share - diluted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20"/>
                <w:szCs w:val="20"/>
                <w:color w:val="auto"/>
              </w:rPr>
            </w:pPr>
          </w:p>
        </w:tc>
        <w:tc>
          <w:tcPr>
            <w:tcW w:w="7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46.9 %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September 30, 2024, as compared to the same period in 2023, is primarily attributable to an increase in our Hospitality segment of $20.8 million, as presented in the tables below. The increase in our total revenues for the nine months ended September 30, 2024, as compared to the same period in 2023, is attributable to increases in our Hospitality segment and Entertainment segment of $159.3 million and $7.2 million, respectively, as presented in the tables below.</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7"/>
          <w:szCs w:val="17"/>
          <w:color w:val="auto"/>
        </w:rPr>
        <w:t>The increase in our total operating expenses for the three months ended September 30, 2024, as compared to the same period in 2023, is primarily the result of increases in our Hospitality segment and Entertainment segment of $10.8 million and $5.4 million, respectively, as presented in the tables below. The increase in our total operating expenses for the</w:t>
      </w:r>
    </w:p>
    <w:p>
      <w:pPr>
        <w:spacing w:after="0" w:line="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nine months ended September 30, 2024, as compared to the same period in 2023, is primarily the result of increases in our Hospitality segment and Entertainment segment of $93.7 million and $9.1 million, respectively, and an increase in depreciation expense of $20.1 million, as presented in the tables below.</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8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Our $19.6 million increase in net income for the three months ended September 30, 2024, as compared to the same period in 2023, was primarily due to the changes in our revenues and operating expenses reflected above, and each of the following factors, each as described more fully below.</w:t>
      </w:r>
    </w:p>
    <w:p>
      <w:pPr>
        <w:spacing w:after="0" w:line="135" w:lineRule="exact"/>
        <w:rPr>
          <w:sz w:val="20"/>
          <w:szCs w:val="20"/>
          <w:color w:val="auto"/>
        </w:rPr>
      </w:pPr>
    </w:p>
    <w:p>
      <w:pPr>
        <w:ind w:left="720" w:right="1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$12.6 million decrease in loss from unconsolidated joint ventures in the 2024 period, as compared to the 2023 period.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 million decrease in interest expense, net in the 2024 period, as compared to the 2023 period.</w:t>
      </w:r>
    </w:p>
    <w:p>
      <w:pPr>
        <w:spacing w:after="0" w:line="18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Our $36.0 million increase in net income for the nine months ended September 30, 2024, as compared to the same period in 2023, was primarily due to the changes in our revenues and operating expenses reflected above, and each of the following factors, each as described more fully below.</w:t>
      </w:r>
    </w:p>
    <w:p>
      <w:pPr>
        <w:spacing w:after="0" w:line="135" w:lineRule="exact"/>
        <w:rPr>
          <w:sz w:val="20"/>
          <w:szCs w:val="20"/>
          <w:color w:val="auto"/>
        </w:rPr>
      </w:pPr>
    </w:p>
    <w:p>
      <w:pPr>
        <w:ind w:left="720" w:right="19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$17.7 million decrease in loss from unconsolidated joint ventures in the 2024 period, as compared to the 2023 period.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$13.5 million increase in interest expense, net in the 2024 period, as compared to the 2023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$6.3 million increase in provision for income taxes for the 2024 period, as compared to the 2023 period.</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18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three months ended September 30, 2024, compared to the three months ended September 30, 2023, were:</w:t>
      </w:r>
    </w:p>
    <w:p>
      <w:pPr>
        <w:spacing w:after="0" w:line="121" w:lineRule="exact"/>
        <w:rPr>
          <w:sz w:val="20"/>
          <w:szCs w:val="20"/>
          <w:color w:val="auto"/>
        </w:rPr>
      </w:pPr>
    </w:p>
    <w:p>
      <w:pPr>
        <w:ind w:left="720" w:right="2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(Hospitality segment excluding JW Marriott Hill Country) ADR of 6.2% in the 2024 period, as compared to the 2023 period, reflective of our continued pricing strategy.</w:t>
      </w:r>
    </w:p>
    <w:p>
      <w:pPr>
        <w:spacing w:after="0" w:line="13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increase of 5.6% in outside-the-room spending at our hotels in the 2024 period, as compared to the 2023 period, primarily as a result of increased banquet and technology spending by groups.</w:t>
      </w:r>
    </w:p>
    <w:p>
      <w:pPr>
        <w:spacing w:after="0" w:line="12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in transient room nights traveled in the 2024 period of 10.2%, as compared to the 2023 period, as the Nashville and Orlando markets continue to experience softness in transient demand. In addition, the ongoing rooms renovation at Gaylord Palms also impacted demand in the 2024 period.</w:t>
      </w:r>
    </w:p>
    <w:p>
      <w:pPr>
        <w:spacing w:after="0" w:line="13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Entertainment revenue in the 2024 period, as compared to the 2023 period, related to Ole Red Las Vegas, which opened in January 2024, partially offset by a decrease related to the closure of the Wildhorse Saloon as it was being rebranded as Category 10 and a decrease at the W Austin primarily as a result of the disruption caused by the ongoing construction of enhancements at the property.</w:t>
      </w:r>
    </w:p>
    <w:p>
      <w:pPr>
        <w:spacing w:after="0" w:line="15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nine months ended September 30, 2024, compared to the nine months ended September 30, 2023, were:</w:t>
      </w:r>
    </w:p>
    <w:p>
      <w:pPr>
        <w:spacing w:after="0" w:line="121" w:lineRule="exact"/>
        <w:rPr>
          <w:sz w:val="20"/>
          <w:szCs w:val="20"/>
          <w:color w:val="auto"/>
        </w:rPr>
      </w:pPr>
    </w:p>
    <w:p>
      <w:pPr>
        <w:ind w:left="720" w:right="5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JW Marriott Hill Country resulted in an increase of $116.3 million in revenues; the property averaged $232.14 in RevPAR and $608.50 in Total RevPAR.</w:t>
      </w:r>
    </w:p>
    <w:p>
      <w:pPr>
        <w:spacing w:after="0" w:line="12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ADR of 4.3% in the 2024 period, as compared to the 2023 period, reflective of our continued pricing strategy.</w:t>
      </w:r>
    </w:p>
    <w:p>
      <w:pPr>
        <w:spacing w:after="0" w:line="13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increase of 5.0% in outside-the-room spending at our hotels in the 2024 period, as compared to the 2023 period, primarily as a result of increased banquet and technology spending by groups.</w:t>
      </w:r>
    </w:p>
    <w:p>
      <w:pPr>
        <w:spacing w:after="0" w:line="121"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decreased 42.1% in the 2024 period, as compared to the 2023 period.</w:t>
      </w:r>
    </w:p>
    <w:p>
      <w:pPr>
        <w:spacing w:after="0" w:line="12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in transient room nights traveled in the 2024 period of 11.5%, as compared to the 2023 period, as the Nashville and Orlando markets continue to experience softness in transient demand. In addition, the ongoing rooms renovation at Gaylord Palms also impacted demand in the 2024 period.</w:t>
      </w:r>
    </w:p>
    <w:p>
      <w:pPr>
        <w:spacing w:after="0" w:line="148"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Entertainment revenue in the 2024 period, as compared to the 2023 period, related to Ole Red Las Vegas, which opened in January 2024, partially offset by a decrease related to the closure of the Wildhorse Saloon as it was being rebranded as Category 10 and a decrease at the W Austin primarily as a result of the disruption caused by the ongoing construction of enhancements at the property.</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important factors and trends for the three and nine months ended, and as of, September 30, 2024 include:</w:t>
      </w:r>
    </w:p>
    <w:p>
      <w:pPr>
        <w:spacing w:after="0" w:line="185" w:lineRule="exact"/>
        <w:rPr>
          <w:sz w:val="20"/>
          <w:szCs w:val="20"/>
          <w:color w:val="auto"/>
        </w:rPr>
      </w:pPr>
    </w:p>
    <w:p>
      <w:pPr>
        <w:ind w:left="720" w:right="13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same-store decrease of 16.3% and 3.3%, respectively, in net definite group room nights booked at our hotels in the 2024 periods, as compared to the 2023 periods, primarily as a result of timing as bookings for the three months ended June 30, 2024 increased 32.5% over the same period in 2023 and the fourth quarter of 2023 was the highest booking quarter on record.</w:t>
      </w:r>
    </w:p>
    <w:p>
      <w:pPr>
        <w:spacing w:after="0" w:line="152"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same-store basis, group room nights on the books for all future years at our hotels at September 30, 2024 are 4.2% higher than the number on the books at the same point in 2023. In addition, the estimated ADR on those group room nights on the books at September 30, 2024 is 6.0% higher than the same point in 2023.</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89" w:lineRule="auto"/>
        <w:tabs>
          <w:tab w:leader="none" w:pos="7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operating expenses for the nine-month 2024 period were reduced by a $9.1 million refund of Tennessee franchise tax for prior years caused by a change in tax law, comprised of $5.6 million, $3.4 million and $0.1 million in our Hospitality segment, Entertainment segment and Corporate and Other segment, respectively.</w:t>
      </w:r>
    </w:p>
    <w:p>
      <w:pPr>
        <w:spacing w:after="0" w:line="130" w:lineRule="exact"/>
        <w:rPr>
          <w:rFonts w:ascii="Times New Roman" w:cs="Times New Roman" w:eastAsia="Times New Roman" w:hAnsi="Times New Roman"/>
          <w:sz w:val="17"/>
          <w:szCs w:val="17"/>
          <w:color w:val="auto"/>
        </w:rPr>
      </w:pPr>
    </w:p>
    <w:p>
      <w:pPr>
        <w:ind w:left="720" w:right="25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revenues in recent periods have partially mitigated increasing costs in the current inflationary environment, which include increased interest rates, which drove higher interest expense on our debt, as well as increased insurance, utilities and other costs. The current inflationary environment is expected to continue in at least the near future.</w:t>
      </w:r>
    </w:p>
    <w:p>
      <w:pPr>
        <w:spacing w:after="0" w:line="135" w:lineRule="exact"/>
        <w:rPr>
          <w:sz w:val="20"/>
          <w:szCs w:val="20"/>
          <w:color w:val="auto"/>
        </w:rPr>
      </w:pPr>
    </w:p>
    <w:p>
      <w:pPr>
        <w:ind w:left="60" w:right="4419"/>
        <w:spacing w:after="0" w:line="462" w:lineRule="auto"/>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 Hospitality Segment</w:t>
      </w:r>
    </w:p>
    <w:p>
      <w:pPr>
        <w:spacing w:after="0" w:line="2" w:lineRule="exact"/>
        <w:rPr>
          <w:sz w:val="20"/>
          <w:szCs w:val="20"/>
          <w:color w:val="auto"/>
        </w:rPr>
      </w:pPr>
    </w:p>
    <w:p>
      <w:pPr>
        <w:ind w:left="60" w:right="6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and 2023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10"/>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184,154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180,309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557,284</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224,835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202,850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719,304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616,562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58,054</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171,012</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161,708</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360" w:type="dxa"/>
            <w:vAlign w:val="bottom"/>
            <w:tcBorders>
              <w:bottom w:val="single" w:sz="8" w:color="CCEEFF"/>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467,043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446,198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2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1,447,600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1,288,322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w:t>
            </w:r>
          </w:p>
        </w:tc>
        <w:tc>
          <w:tcPr>
            <w:tcW w:w="36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134,292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128,210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127,040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387,588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123,716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122,748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360,298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330,397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51,488</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52,466</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152,271</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137,987</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364,262</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354,475</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1,090,749</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982,796</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360" w:type="dxa"/>
            <w:vAlign w:val="bottom"/>
            <w:tcBorders>
              <w:bottom w:val="single" w:sz="8" w:color="CCEEFF"/>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102,781</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91,723</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w:t>
            </w:r>
          </w:p>
        </w:tc>
        <w:tc>
          <w:tcPr>
            <w:tcW w:w="260" w:type="dxa"/>
            <w:vAlign w:val="bottom"/>
            <w:tcBorders>
              <w:bottom w:val="single" w:sz="8" w:color="CCEEFF"/>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356,851</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305,526</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w:t>
            </w:r>
          </w:p>
        </w:tc>
        <w:tc>
          <w:tcPr>
            <w:tcW w:w="360" w:type="dxa"/>
            <w:vAlign w:val="bottom"/>
            <w:tcBorders>
              <w:bottom w:val="single" w:sz="8" w:color="CCEEFF"/>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(2.3)pts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252.42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254.72</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240.53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178.19</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444.77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424.91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462.87</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477,121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572,574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1,315,138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1,273,161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(2.6)pts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244.71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248.05</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237.74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168.99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173.00</w:t>
            </w:r>
          </w:p>
        </w:tc>
        <w:tc>
          <w:tcPr>
            <w:tcW w:w="3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3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430.91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413.58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448.86</w:t>
            </w:r>
          </w:p>
        </w:tc>
        <w:tc>
          <w:tcPr>
            <w:tcW w:w="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435.39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3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457,856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546,724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1,206,193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1,247,311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1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Hospitality RevPAR is not comparable to similarly titled measures such as revenues.</w:t>
      </w:r>
    </w:p>
    <w:p>
      <w:pPr>
        <w:spacing w:after="0" w:line="121" w:lineRule="exact"/>
        <w:rPr>
          <w:rFonts w:ascii="Times New Roman" w:cs="Times New Roman" w:eastAsia="Times New Roman" w:hAnsi="Times New Roman"/>
          <w:sz w:val="18"/>
          <w:szCs w:val="18"/>
          <w:color w:val="auto"/>
        </w:rPr>
      </w:pPr>
    </w:p>
    <w:p>
      <w:pPr>
        <w:ind w:left="380" w:right="219" w:hanging="330"/>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48" w:lineRule="exact"/>
        <w:rPr>
          <w:rFonts w:ascii="Times New Roman" w:cs="Times New Roman" w:eastAsia="Times New Roman" w:hAnsi="Times New Roman"/>
          <w:sz w:val="18"/>
          <w:szCs w:val="18"/>
          <w:color w:val="auto"/>
        </w:rPr>
      </w:pPr>
    </w:p>
    <w:p>
      <w:pPr>
        <w:ind w:left="380" w:right="39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Hill Country, which we purchased on June 30, 2023.</w:t>
      </w:r>
    </w:p>
    <w:p>
      <w:pPr>
        <w:spacing w:after="0" w:line="121"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increase in total Hospitality segment revenue in the three months ended September 30, 2024, as compared to the same period in 2023, is primarily due to increases of $10.7 million, $4.5 million, $4.4 million and $4.2 million at Gaylord Opryland, Gaylord Rockies, Gaylord Palms and JW Marriott Hill Country, respectively, partially offset by a decrease of $2.4 million at Gaylord National, as presented in the tables below.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increase in total Hospitality segment revenue in the nine months ended September 30, 2024, as compared to the same period in 2023, is primarily due to the addition of $116.3 million in increased revenue from JW Marriott Hill Country, which we purchased on June 30, 2023, as well as increases of $22.6 million, $13.9 million and $4.5 million at Gaylord Opryland, Gaylord Rockies and Gaylord National, respectively, as presented in the tables below.</w:t>
      </w:r>
    </w:p>
    <w:p>
      <w:pPr>
        <w:spacing w:after="0" w:line="153"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Total Hospitality segment revenues in the three and nine months ended September 30, 2024 include $7.9 million and $26.2 million, respectively, in attrition and cancellation fee revenue, a decrease of $3.8 million and $5.6 million, respectively, in attrition and cancellation fee collections from the 2023 periods.</w:t>
      </w:r>
    </w:p>
    <w:p>
      <w:pPr>
        <w:spacing w:after="0" w:line="135"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6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5"/>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6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6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28 %</w:t>
            </w: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24 %</w:t>
            </w:r>
          </w:p>
        </w:tc>
      </w:tr>
    </w:tbl>
    <w:p>
      <w:pPr>
        <w:spacing w:after="0" w:line="17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Rooms expenses decreased slightly in the three months ended September 30, 2024, as compared to the same period in 2023, primarily as a result of the decrease in occupancy. Rooms expenses increased in the nine months ended September 30, 2024, as compared to the same period in 2023, primarily due to JW Marriott Hill Country, as presented in the tables below.</w:t>
      </w:r>
    </w:p>
    <w:p>
      <w:pPr>
        <w:spacing w:after="0" w:line="153"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Food and beverage expenses increased in the three months ended September 30, 2024, as compared to the same period in 2023, primarily due to increases at Gaylord Opryland, Gaylord Rockies, Gaylord Palms and JW Marriott Hill Country, partially offset by a decrease at Gaylord Texan, as presented in the tables below. The increase in food and beverage expenses in the nine months ended September 30, 2024, as compared to the same period in 2023, is primarily due to JW Marriott Hill Country, as well as increases at Gaylord Opryland, Gaylord Rockies, Gaylord Palms and Gaylord National, partially offset by a decrease at Gaylord Texan, due to the changes in variable expenses associated with the changes in volume.</w:t>
      </w:r>
    </w:p>
    <w:p>
      <w:pPr>
        <w:spacing w:after="0" w:line="148"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Other hotel expenses for the three and nine months ended September 30, 2024 and 2023 consist of the following (in thousands):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bottom w:val="single" w:sz="8" w:color="auto"/>
            </w:tcBorders>
            <w:gridSpan w:val="4"/>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50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4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$ 141,475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$ 122,988</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2.8 %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30,861</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54,784</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147,047</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122,748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$ 360,298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$ 330,397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Each of the other hotel expense categories above increased in the nine months ended September 30, 2024, as compared to the same period in 2023, due to the addition of JW Marriott Hill Country. Administrative employment costs include salaries and benefits for hotel administrative functions, including, among others, senior management, accounting, human resources, sales, conference services, engineering and security. The increase in administrative employment costs in the three and nine months ended September 30, 2024, as compared to the same periods in 2023, also includes increases at Gaylord Opryland, Gaylord Palms and Gaylord Texan related to increased employment costs within the marketing and engineering departments. The increase in utilities during the nine months ended September 30, 2024, as compared to the 2023 period, also includes an increase at Gaylord Texan due to increased rates. The increase in property taxes during the nine months ended September 30, 2024, as compared to the 2023 period, was partially offset by a decrease at Gaylord National due to a settlement of an appeal from prior tax years. The increase in other expenses, which include supplies,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advertising, maintenance costs and consulting costs, during the nine months ended September 30, 2024, as compared to the same period in 2023, was partially offset by a decrease at Gaylord Opryland due to a refund of Tennessee franchise tax for prior years caused by a change in tax law.</w:t>
      </w:r>
    </w:p>
    <w:p>
      <w:pPr>
        <w:spacing w:after="0" w:line="14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and JW Marriott Hill Country is approximately 3.5% of gross revenues. Additionally, we pay Marriott an incentive management fee based on the profitability of our hotels. In the three months ended September 30, 2024 and 2023, we incurred $11.0 million and $10.5 million, respectively, and in the nine months ended September 30, 2024 and 2023, we incurred $34.0 million and $28.9 million, respectively, related to base management fees for our Hospitality segment. In the three months ended September 30, 2024 and 2023, we incurred $6.7 million and $6.2 million, respectively, and in the nine months ended September 30, 2024 and 2023, we incurred $24.6 million and $20.0 million, respectively,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4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decreased slightly in the three months ended September 30, 2024, as compared to the same period in 2023. Total Hospitality segment depreciation and amortization increased in the nine months ended September 30, 2024, as compared to the same period in 2023, primarily due to the depreciable assets associated with JW Marriott Hill Country, which we purchased on June 30, 2023.</w:t>
      </w:r>
    </w:p>
    <w:p>
      <w:pPr>
        <w:spacing w:after="0" w:line="137"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30, 2024 and 2023.</w:t>
      </w:r>
    </w:p>
    <w:p>
      <w:pPr>
        <w:spacing w:after="0" w:line="158" w:lineRule="exact"/>
        <w:rPr>
          <w:sz w:val="20"/>
          <w:szCs w:val="20"/>
          <w:color w:val="auto"/>
        </w:rPr>
      </w:pPr>
    </w:p>
    <w:p>
      <w:pPr>
        <w:ind w:left="60" w:right="2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and nine months ended September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are as 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6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46,812</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142,165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139,285</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19.1 %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163,779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143,179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17,251</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50,902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51,756</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122,659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111,939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356,846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334,220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11,351</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25,566</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75,076</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13.1 %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 (1)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92,435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15,923</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8,484</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86,037</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82,390</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244,757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240,965</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29,549</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112,089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93,255</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20.2 %</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71.8 %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72.7 %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(0.9)pts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70.8 %</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72.2 %</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(1.4)pts</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242.37</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244.82</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176.18</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421.30</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423.91</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0" w:lineRule="exact"/>
        <w:rPr>
          <w:sz w:val="20"/>
          <w:szCs w:val="20"/>
          <w:color w:val="auto"/>
        </w:rPr>
      </w:pPr>
    </w:p>
    <w:p>
      <w:pPr>
        <w:ind w:left="380" w:right="25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the nine-month 2024 period were reduced by a refund of $5.4 million of Tennessee franchise tax for prior years caused by a change in tax law.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and nine months ended September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as follows (in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$ 21,511</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75,777</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120,271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9,001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68,242</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63,885</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222,504</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222,260</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20,292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13.4 %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62,792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58,389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55,919</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54,636</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171,696</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167,055</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$ 12,323</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33.2 %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50,808</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55,205</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61.0 %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67.4 %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74.2 %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$ 223.10</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4.1 %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243.86</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$ 136.09</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160.98</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$ 431.76</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404.19</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6.8 %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472.68</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473.89</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and nine months ended September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as 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$ 29,676</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$ 28,485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4.2 %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91,534</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86,662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124,963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9,544</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73,096</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73,991</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241,895</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241,868</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19,381</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20,752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67,024</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54,563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13.4 %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17,355</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54,399</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54,436</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170,852</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168,120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$ 18,697</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$ 19,555</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71,043</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73,748</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71.8 %</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73.0 %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75.0 %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(0.4)pts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$ 247.51</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$ 233.92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5.8 %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246.78</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$ 177.82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$ 170.68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$ 437.99</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$ 443.36</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486.68</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488.40</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three and nine months ended September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are as follows (in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28,092</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89,680</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88,481</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117,942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110,390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18,772</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23,039</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69,751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72,124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226,394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221,910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10,543</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21,164</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62,352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0.4 %</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61,258</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62,269</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190,357</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189,074</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36,037</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32,836</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63.5 %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71.5 %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68.9 %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240.73</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216.85</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11.0 %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247.47</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163.98</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379.84</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392.76</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413.96</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407.24</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and nine months ended September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are as follows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80" w:type="dxa"/>
            <w:vAlign w:val="bottom"/>
            <w:gridSpan w:val="7"/>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$ 28,980</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$ 27,092</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7.0 %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78,363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75,447</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8,746</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20,752</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22,551</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72,658</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68,203</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213,316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19,383</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59,314</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11,454</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14,201</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42,454</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56,613</w:t>
            </w:r>
          </w:p>
        </w:tc>
        <w:tc>
          <w:tcPr>
            <w:tcW w:w="2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53,233</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163,838</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158,848</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$ 16,045</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$ 14,970</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40,529</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22.1 %</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80.8 %</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79.9 %</w:t>
            </w:r>
          </w:p>
        </w:tc>
        <w:tc>
          <w:tcPr>
            <w:tcW w:w="8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0.9 pts</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75.2 %</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75.9 %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(0.7)pts</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$ 259.76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$ 245.52</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242.57</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$ 209.86</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$ 196.19</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$ 526.16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$ 493.90</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518.67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486.56</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JW Marriott Hill Country Results</w:t>
      </w:r>
      <w:r>
        <w:rPr>
          <w:rFonts w:ascii="Times New Roman" w:cs="Times New Roman" w:eastAsia="Times New Roman" w:hAnsi="Times New Roman"/>
          <w:sz w:val="18"/>
          <w:szCs w:val="18"/>
          <w:color w:val="auto"/>
        </w:rPr>
        <w:t>. The results of JW Marriott Hill Country for the three and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and 2023 are as follows (in thousands, except percentages and performance metrics):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8"/>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2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(1)</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22,278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21,702</w:t>
            </w:r>
          </w:p>
        </w:tc>
        <w:tc>
          <w:tcPr>
            <w:tcW w:w="20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21,702</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193.7 %</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22,155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19,373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19,373</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289.0 %</w:t>
            </w:r>
          </w:p>
        </w:tc>
        <w:tc>
          <w:tcPr>
            <w:tcW w:w="0" w:type="dxa"/>
            <w:vAlign w:val="bottom"/>
          </w:tcPr>
          <w:p>
            <w:pPr>
              <w:spacing w:after="0"/>
              <w:rPr>
                <w:sz w:val="1"/>
                <w:szCs w:val="1"/>
                <w:color w:val="auto"/>
              </w:rPr>
            </w:pPr>
          </w:p>
        </w:tc>
      </w:tr>
      <w:tr>
        <w:trPr>
          <w:trHeight w:val="203"/>
        </w:trPr>
        <w:tc>
          <w:tcPr>
            <w:tcW w:w="3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8,951</w:t>
            </w: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27,969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9,672</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189.2 %</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54,273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50,026</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167,064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50,747</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229.2 %</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207.8 %</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13,160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11,867</w:t>
            </w:r>
          </w:p>
        </w:tc>
        <w:tc>
          <w:tcPr>
            <w:tcW w:w="2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11,867</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234.2 %</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17,126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16,128</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16,621</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209.2 %</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185.4 %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793.8 %</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136.2 %</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44,297</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42,150</w:t>
            </w: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132,516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42,643</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210.8 %</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26.7 %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326.3 %</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73.8 %</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72.0 %</w:t>
            </w:r>
          </w:p>
        </w:tc>
        <w:tc>
          <w:tcPr>
            <w:tcW w:w="8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 pts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72.2 %</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72.0 %</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 pts</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327.27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327.17</w:t>
            </w:r>
          </w:p>
        </w:tc>
        <w:tc>
          <w:tcPr>
            <w:tcW w:w="20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327.17</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241.68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235.43</w:t>
            </w:r>
          </w:p>
        </w:tc>
        <w:tc>
          <w:tcPr>
            <w:tcW w:w="2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235.43</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3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588.74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542.67</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8.5 % $</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608.50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550.50</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We purchased JW Marriott Hill Country on June 30,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200"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Entertainment segment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and 2023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center"/>
              <w:ind w:left="2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48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0"/>
                <w:szCs w:val="10"/>
                <w:color w:val="auto"/>
              </w:rPr>
            </w:pPr>
          </w:p>
        </w:tc>
        <w:tc>
          <w:tcPr>
            <w:tcW w:w="48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236,751</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(56,222)</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(164,744)</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(2)(3)</w:t>
            </w:r>
          </w:p>
        </w:tc>
        <w:tc>
          <w:tcPr>
            <w:tcW w:w="1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20,691</w:t>
            </w:r>
          </w:p>
        </w:tc>
        <w:tc>
          <w:tcPr>
            <w:tcW w:w="14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55,940</w:t>
            </w:r>
          </w:p>
        </w:tc>
        <w:tc>
          <w:tcPr>
            <w:tcW w:w="160" w:type="dxa"/>
            <w:vAlign w:val="bottom"/>
          </w:tcPr>
          <w:p>
            <w:pPr>
              <w:spacing w:after="0"/>
              <w:rPr>
                <w:sz w:val="18"/>
                <w:szCs w:val="18"/>
                <w:color w:val="auto"/>
              </w:rPr>
            </w:pPr>
          </w:p>
        </w:tc>
        <w:tc>
          <w:tcPr>
            <w:tcW w:w="8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59" w:hanging="330"/>
        <w:spacing w:after="0" w:line="261"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the nine-month 2024 period were reduced by a refund of $3.4 million of Tennessee franchise tax for prior years caused by a change in tax law.</w:t>
      </w:r>
    </w:p>
    <w:p>
      <w:pPr>
        <w:ind w:left="380" w:right="99" w:hanging="330"/>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does not include preopening costs of $0.9 million and $0.2 million in the three months ended September 30, 2024 and 2023, respectively, and $3.4 million and $0.4 million in the nine months ended September 30, 2024 and 2023, respectively. See discussion of this item below.</w:t>
      </w:r>
    </w:p>
    <w:p>
      <w:pPr>
        <w:spacing w:after="0" w:line="1" w:lineRule="exact"/>
        <w:rPr>
          <w:rFonts w:ascii="Times New Roman" w:cs="Times New Roman" w:eastAsia="Times New Roman" w:hAnsi="Times New Roman"/>
          <w:sz w:val="18"/>
          <w:szCs w:val="18"/>
          <w:color w:val="auto"/>
        </w:rPr>
      </w:pPr>
    </w:p>
    <w:p>
      <w:pPr>
        <w:ind w:left="380" w:right="139" w:hanging="330"/>
        <w:spacing w:after="0" w:line="255"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does not include income (loss) from unconsolidated joint ventures of $(12.6) million in the three months ended September 30, 2023 and $0.2 million and $(17.5) million in the nine months ended September 30, 2024 and 2023, respectively. See discussion of this item below.</w:t>
      </w:r>
    </w:p>
    <w:p>
      <w:pPr>
        <w:spacing w:after="0" w:line="145"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Revenues increased in our Entertainment segment in the three and nine months ended September 30, 2024, as compared to the prior year periods, as incremental revenue from Ole Red Las Vegas, which opened in January 2024, was partially offset by the Wildhorse Saloon being temporarily closed as it was being rebranded as Category 10 and a decrease at the W Austin primarily as a result of the disruption caused by the ongoing construction of enhancements at the property.</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Entertainment segment operating expenses increased in the 2024 periods, as compared to the 2023 periods, primarily due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to the opening of Ole Red Las Vegas, partially offset by the temporary closure of the Wildhorse Saloon. The nine-month 2024 period also includes a refund of Tennessee franchise tax for prior years caused by a change in tax law.</w:t>
      </w:r>
    </w:p>
    <w:p>
      <w:pPr>
        <w:spacing w:after="0" w:line="135"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in the 2024 periods, as compared to the 2023 periods, primarily due to the depreciable assets associated with the opening of Ole Red Las Vegas.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87"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and 2023 (in thousands, except percentages):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5"/>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gridSpan w:val="2"/>
          </w:tcPr>
          <w:p>
            <w:pPr>
              <w:jc w:val="right"/>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50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4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(1)</w:t>
            </w: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(9,951)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86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Operating loss does not include a gain on sale of assets of $0.3 million in the nine months ended September 30, 2024.</w:t>
      </w:r>
    </w:p>
    <w:p>
      <w:pPr>
        <w:spacing w:after="0" w:line="185"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decreased in the three months and increased in the nine months ended September 30, 2024, respectively, as compared to the prior year periods, primarily as a result of changes in employment expenses.</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Preopening costs during the three and nine months ended September 30, 2024 primarily include costs associated with Category 10, which opened November 2024. Preopening costs during the three and nine months ended September 30, 2023 primarily include costs associated with Ole Red Las Vegas, which opened in January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on Sale of Assets</w:t>
      </w:r>
    </w:p>
    <w:p>
      <w:pPr>
        <w:spacing w:after="0" w:line="18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Gain on sale of assets during the nine months ended September 30, 2024 includes the sale of miscellaneous corporate assets.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(in thousands, except percentages):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60" w:type="dxa"/>
            <w:vAlign w:val="bottom"/>
            <w:gridSpan w:val="4"/>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Borders>
              <w:bottom w:val="single" w:sz="8" w:color="auto"/>
            </w:tcBorders>
            <w:gridSpan w:val="4"/>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40" w:type="dxa"/>
            <w:vAlign w:val="bottom"/>
            <w:vMerge w:val="restart"/>
          </w:tcPr>
          <w:p>
            <w:pPr>
              <w:spacing w:after="0"/>
              <w:rPr>
                <w:sz w:val="10"/>
                <w:szCs w:val="10"/>
                <w:color w:val="auto"/>
              </w:rPr>
            </w:pPr>
          </w:p>
        </w:tc>
        <w:tc>
          <w:tcPr>
            <w:tcW w:w="6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vMerge w:val="restart"/>
          </w:tcPr>
          <w:p>
            <w:pPr>
              <w:spacing w:after="0"/>
              <w:rPr>
                <w:sz w:val="10"/>
                <w:szCs w:val="10"/>
                <w:color w:val="auto"/>
              </w:rPr>
            </w:pPr>
          </w:p>
        </w:tc>
        <w:tc>
          <w:tcPr>
            <w:tcW w:w="7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tcPr>
          <w:p>
            <w:pPr>
              <w:jc w:val="right"/>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90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540" w:type="dxa"/>
            <w:vAlign w:val="bottom"/>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$ 54,546</w:t>
            </w:r>
          </w:p>
        </w:tc>
        <w:tc>
          <w:tcPr>
            <w:tcW w:w="16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58,521</w:t>
            </w:r>
          </w:p>
        </w:tc>
        <w:tc>
          <w:tcPr>
            <w:tcW w:w="14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$ 171,566</w:t>
            </w:r>
          </w:p>
        </w:tc>
        <w:tc>
          <w:tcPr>
            <w:tcW w:w="1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$ 150,228</w:t>
            </w:r>
          </w:p>
        </w:tc>
        <w:tc>
          <w:tcPr>
            <w:tcW w:w="14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18.1 %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13,977</w:t>
            </w:r>
          </w:p>
        </w:tc>
        <w:tc>
          <w:tcPr>
            <w:tcW w:w="140" w:type="dxa"/>
            <w:vAlign w:val="bottom"/>
          </w:tcPr>
          <w:p>
            <w:pPr>
              <w:spacing w:after="0"/>
              <w:rPr>
                <w:sz w:val="18"/>
                <w:szCs w:val="18"/>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from unconsolidated joint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100.1 %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14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57.2 %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4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interest expense associated with our outstanding borrowings, including the impact of interest rate swaps, for the three and nine months ended September 30, 2024 and 2023 (in thousands, except percentages):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7"/>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40" w:type="dxa"/>
            <w:vAlign w:val="bottom"/>
            <w:gridSpan w:val="5"/>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58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58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Revolving Credit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RHP Term Loan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Senior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84.8 %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87.5 %</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Gaylord Rockies Term Loan</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39,804</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OEG Revolver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(4,551)</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171,566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Other includes capitalized interest, as well as other miscellaneous items.</w:t>
      </w:r>
    </w:p>
    <w:p>
      <w:pPr>
        <w:spacing w:after="0" w:line="22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6.5% and 6.8% for the three months ended September 30, 2024 and 2023, respectively, and 6.8% and 6.4% for the nine months ended September 30, 2024 and 2023, respectively.</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Interest income for the three and nine months ended September 30, 2024 primarily includes amounts earned on our cash balances, as well as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As a result of the June 2024 refinancing of the OEG credit agreement, the April 2024 repricing of the RHP term loan B, and the March 2024 repayment of the Gaylord Rockies $800 million term loan (see “Principal Debt Agreements” below), we recognized a loss on extinguishment of debt of $2.3 million in the nine months ended September 30, 2024.</w:t>
      </w:r>
    </w:p>
    <w:p>
      <w:pPr>
        <w:spacing w:after="0" w:line="14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As a result of the May 2023 refinancing of our credit facility and the extension of the Gaylord Rockies $800 million term loan, we recognized a loss on extinguishment of debt of $2.3 million in the nine months ended September 30, 2023.</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(Loss) from Unconsolidated Joint Ventures</w:t>
      </w:r>
    </w:p>
    <w:p>
      <w:pPr>
        <w:spacing w:after="0" w:line="187"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loss from unconsolidated joint ventures for the three and nine months ended September 30, 2023 represents our equity method share of losses associated with our previous investment in Circle, a joint venture that we and our joint venture partner agreed to wind down at the end of 2023.</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187"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Other gains and (losses), net for the three and nine months ended September 30, 2024 and 2023 primarily includes a gain of $3.2 million and $6.1 million, respectively, from a fund associated with the Gaylord National bonds to reimburse us for certain marketing and maintenance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2023, we recorded an income tax provision of $0.9 million and $2.2 million, respectively, and for the nine months ended September 30, 2024 and 2023, we recorded an income tax provision of $13.7 million and $7.3 million, respectively, related to our TRSs. The change in the income tax provision for the 2024 periods, as compared to the 2023 periods, relates to both changes in income at our TRSs in the 2024 periods and the effect of changes in valuation allowance in the 2023 periods.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0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60"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in Consolidated Joint Venture Definition</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in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stockholders and unit holders and Adjusted FFO available to common stockholders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FFO available to common stockholders and unit holders, and Adjusted FFO available to common stockholders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267"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for the three and nine months ended September 30, 2024 and 2023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40,785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$ 207,899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$ 171,922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149,761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58,086</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174,806</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sale of assets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(270)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167,699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153,441</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545,853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470,228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10,724</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3,503</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10,629</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174,803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170,874</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569,063</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503,251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venture</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(6,735)</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(7,686)</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(22,119)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(20,801)</w:t>
            </w:r>
          </w:p>
        </w:tc>
        <w:tc>
          <w:tcPr>
            <w:tcW w:w="0" w:type="dxa"/>
            <w:vAlign w:val="bottom"/>
          </w:tcPr>
          <w:p>
            <w:pPr>
              <w:spacing w:after="0"/>
              <w:rPr>
                <w:sz w:val="1"/>
                <w:szCs w:val="1"/>
                <w:color w:val="auto"/>
              </w:rPr>
            </w:pPr>
          </w:p>
        </w:tc>
      </w:tr>
      <w:tr>
        <w:trPr>
          <w:trHeight w:val="162"/>
        </w:trPr>
        <w:tc>
          <w:tcPr>
            <w:tcW w:w="51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w:t>
            </w:r>
          </w:p>
        </w:tc>
        <w:tc>
          <w:tcPr>
            <w:tcW w:w="18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168,068</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163,188</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$ 546,944</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$ 482,450</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joint venture</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FFO and Adjusted FFO for the three and nine months ended September 30, 2024 and 2023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7"/>
                <w:szCs w:val="17"/>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$ 207,899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$ 171,922</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(1,656)</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204,211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154,581</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(4,820)</w:t>
            </w:r>
          </w:p>
        </w:tc>
      </w:tr>
      <w:tr>
        <w:trPr>
          <w:trHeight w:val="216"/>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CCEEFF"/>
            </w:tcBorders>
          </w:tcPr>
          <w:p>
            <w:pPr>
              <w:spacing w:after="0"/>
              <w:rPr>
                <w:sz w:val="18"/>
                <w:szCs w:val="18"/>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372,325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320,096</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settlement charge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other assets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(4,898)</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provision</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60" w:type="dxa"/>
            <w:vAlign w:val="bottom"/>
            <w:shd w:val="clear" w:color="auto" w:fill="CCEEFF"/>
          </w:tcPr>
          <w:p>
            <w:pPr>
              <w:spacing w:after="0"/>
              <w:rPr>
                <w:sz w:val="18"/>
                <w:szCs w:val="18"/>
                <w:color w:val="auto"/>
              </w:rPr>
            </w:pP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111,279</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$ 396,361</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$ 347,264</w:t>
            </w:r>
          </w:p>
        </w:tc>
        <w:tc>
          <w:tcPr>
            <w:tcW w:w="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our operating expenses, interest payments on debt, maintenance capital expenditures, and dividends to stockholders. During the nine months ended September 30, 2024, our net cash flows provided by operating activities were $409.9 million, primarily reflecting our net income before depreciation expense, amortization expense and other non-cash charges of $411.9 million, partially offset by unfavorable changes in working capital of $2.0 million.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nine months ended September 30, 2023, our net cash flows provided by operating activities were</w:t>
      </w:r>
    </w:p>
    <w:p>
      <w:pPr>
        <w:spacing w:after="0" w:line="27"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$369.9 million, primarily reflecting our net income before depreciation expense, amortization expense and other non-cash charges of $368.5 million and favorable changes in working capital of $1.4 million.</w:t>
      </w:r>
    </w:p>
    <w:p>
      <w:pPr>
        <w:spacing w:after="0" w:line="13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nine months ended September 30, 2024,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purchases of property and equipment, which totaled $317.3 million, and consisted primarily of enhancements at Gaylord Rockies to construct a new events pavilion, enhance the grand lodge and reposition its food and beverage outlets; the conversion of the Wildhorse Saloon to Category 10; a rooms renovation at the W Austin and common area enhancements at Block 21; the completion of Ole Red Las Vegas; enhancements to meeting spaces at Gaylord Opryland; a rooms and lobby renovation at Gaylord Palms; and ongoing maintenance capital expenditures for each of our existing properties.</w:t>
      </w:r>
    </w:p>
    <w:p>
      <w:pPr>
        <w:spacing w:after="0" w:line="15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2023, our primary use of funds for investing activities were the use of $791.5 million to purchase JW Marriott Hill Country and purchases of property and equipment, which totaled $122.2 million. Purchases of property and equipment consisted primarily of enhancements at Gaylord Rockies to better position the property for our group customers, the construction of Ole Red Las Vegas, a rooms, restaurant and meeting space renovation at Gaylord Palms, enhancements to the offerings at Block 21, and ongoing maintenance capital expenditures for each of our existing properties.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r>
        <w:rPr>
          <w:rFonts w:ascii="Times New Roman" w:cs="Times New Roman" w:eastAsia="Times New Roman" w:hAnsi="Times New Roman"/>
          <w:sz w:val="18"/>
          <w:szCs w:val="18"/>
          <w:color w:val="auto"/>
        </w:rPr>
        <w:t>. Our cash flows from financing activities primarily reflect the</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incurrence and repayment of long-term debt and the payment of cash dividends. During the nine months ended September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 2024, our net cash flows used in financing activities were $226.0 million, primarily reflecting the issuance of $1 billion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6.50% senior notes, offset by the prepayment of the Gaylord Rockies $800.0 million term loan, the net repayment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$202.7 million under our term loan B, the payment of $199.8 million in cash dividends and the payment of $23.1 million in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deferred financing costs.</w:t>
      </w:r>
    </w:p>
    <w:p>
      <w:pPr>
        <w:spacing w:after="0" w:line="16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our net cash flows provided by financing activities were $769.9 million, primarily reflecting the issuance of the $400 Million 7.25% Senior Notes (as defined below), $395.4 million in net proceeds from the issuance of approximately 4.4 million shares of our common stock, and the net borrowing of $122.5 million under our credit facility, partially offset by the payment of $115.9 million in cash dividends, and the payment of $23.4 million in deferred financing costs.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At September 30, 2024, we had $534.9 million in unrestricted cash and $759.7 million available for borrowing in the aggregate under our revolving credit facility and the OEG revolving credit facility. During the nine months ended September 30, 2024, we issued $1 billion in 6.50% senior notes, repaid the $800.0 million Gaylord Rockies term loan, repaid $202.7 million under our term loan B, incurred capital expenditures of $317.3 million and paid $199.8 million in cash dividends. These changes, partially offset by the cash flows provided by operations discussed above, were the primary factors in the decrease in our cash balance from December 31, 2023 to September 30, 2024.</w:t>
      </w:r>
    </w:p>
    <w:p>
      <w:pPr>
        <w:spacing w:after="0" w:line="147" w:lineRule="exact"/>
        <w:rPr>
          <w:sz w:val="20"/>
          <w:szCs w:val="20"/>
          <w:color w:val="auto"/>
        </w:rPr>
      </w:pPr>
    </w:p>
    <w:p>
      <w:pPr>
        <w:ind w:left="60" w:right="339"/>
        <w:spacing w:after="0" w:line="274" w:lineRule="auto"/>
        <w:rPr>
          <w:sz w:val="20"/>
          <w:szCs w:val="20"/>
          <w:color w:val="auto"/>
        </w:rPr>
      </w:pPr>
      <w:r>
        <w:rPr>
          <w:rFonts w:ascii="Times New Roman" w:cs="Times New Roman" w:eastAsia="Times New Roman" w:hAnsi="Times New Roman"/>
          <w:sz w:val="17"/>
          <w:szCs w:val="17"/>
          <w:color w:val="auto"/>
        </w:rPr>
        <w:t>We anticipate investing in our operations during the remainder of 2024 by spending between approximately $80 million and $130 million in capital expenditures, which includes projects at Gaylord Rockies to enhance the grand lodge and reposition its food and beverage outlets; enhancements to meeting spaces at Gaylord Opryland to further appeal to our target group customers; a rooms renovation at the W Austin and common area enhancements at Block 21; a rooms renovation at Gaylord Palms; and ongoing maintenance capital for each of our current facilities. Further, our dividend policy provides that we will make minimum dividends of 100% of REIT taxable income annually. Future dividends are</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subject to our board of directors’ future determinations as to amount and timing. We currently have no debt maturities until January 2026. We believe we will be able to refinance our debt agreements prior to their maturities.</w:t>
      </w:r>
    </w:p>
    <w:p>
      <w:pPr>
        <w:spacing w:after="0" w:line="13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47"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September 30, 2024, there were no defaults under the covenants related to our outstanding debt.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9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(as supplemented, the “Credit Agreement”)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replaced the Company’s previous credit facility.</w:t>
      </w:r>
    </w:p>
    <w:p>
      <w:pPr>
        <w:spacing w:after="0" w:line="141"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$700.0 million revolving credit facility (the “Revolver”) and a senior secured term loan B (the “Term Loan B”) (in the original principal amount of $500.0 million, which was reduced to $295.0 million on March 28, 2024), as well as an accordion feature that will allow us to increase the facilities following the closing date by an aggregate total of up to $475 million, which may be allocated between the Revolver and the Term Loan B at our option.</w:t>
      </w:r>
    </w:p>
    <w:p>
      <w:pPr>
        <w:spacing w:after="0" w:line="13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Each of the Revolver and the Term Loan B is guaranteed by us, each of our subsidiaries that own the Gaylord Hotels properties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5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9"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6.50x.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30% of consolidated total asset value.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55% (with the ability to surge to 60% in connection with a material acquisition).</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not to be less than 2.0x.</w:t>
      </w:r>
    </w:p>
    <w:p>
      <w:pPr>
        <w:spacing w:after="0" w:line="18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3"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The maturity date of the Revolver is May 18, 2027, with the option to extend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maximum of one additional year through either (i) a single 12-month extension option or (ii) two individual 6-</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month extensions. Borrowings under the Revolver bear interest at an annual rate equal to, at our option, either (i) Adjusted Term SOFR plus the applicable margin ranging from 1.40% to 2.00%, (ii) Adjusted Daily Simple SOFR plus the applicable margin ranging from 1.40% to 2.00% or (iii) a base rate as set forth in the Credit Agreement plus the applicable margin ranging from 0.40% to 1.00%, with each option dependent upon our funded debt to total asset value ratio (as defined in the Credit Agreement). Principal is payable in full at maturity, and the Revolver was undrawn at closing.</w:t>
      </w:r>
    </w:p>
    <w:p>
      <w:pPr>
        <w:spacing w:after="0" w:line="156"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3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At September 30, 2024, no amounts were outstanding under the Revolver, and the lending banks had issued $4.3 million of letters of credit under the Credit Agreement, which left $695.7 million of availability under the Revolver (subject to the satisfaction of debt incurrence tests under the indentures governing our $1 Billion 6.50% Senior Notes, our $700 million in aggregate principal amount of senior notes due 2027 (the “$700 Million 4.75% Senior Notes”), our $600 million in aggregate principal amount of senior notes due 2029 (the “$600 Million 4.50% Senior Notes”) and our $400 million in aggregate principal amount of senior notes due 2028 (the “$400 Million 7.25% Senior Notes”), which we met at September 30, 2024).</w:t>
      </w:r>
    </w:p>
    <w:p>
      <w:pPr>
        <w:spacing w:after="0" w:line="146"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 Loan B. </w:t>
      </w:r>
      <w:r>
        <w:rPr>
          <w:rFonts w:ascii="Times New Roman" w:cs="Times New Roman" w:eastAsia="Times New Roman" w:hAnsi="Times New Roman"/>
          <w:sz w:val="18"/>
          <w:szCs w:val="18"/>
          <w:color w:val="auto"/>
        </w:rPr>
        <w:t>The Term Loan B has a maturity date of May 18, 2030. Prior to the effectiveness of the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hereinafter defined), the applicable interest rate margins for borrowings under the Term Loan B were, at our option, either (i) Term SOFR plus 2.75%, (ii) Daily Simple SOFR plus 2.75% or (iii) a base rate as set forth in the Credit Agreement plus 1.75%. In addition, if for any fiscal year, there is Excess Cash Flow (as defined in the Credit Agreement), an additional principal amount is required. Amounts borrowed under the Term Loan B that are repaid or prepaid may not be reborrowed.</w:t>
      </w:r>
    </w:p>
    <w:p>
      <w:pPr>
        <w:spacing w:after="0" w:line="15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April 12, 2024, we entered into an Incremental Tranche B Term Loan Agreement (the “Incremental Agreement”), which supplements the Credit Agreement and includes the addition of certain new lenders and the removal of certain other lenders. The Incremental Agreement reduces the applicable interest rate margins for the loans advanced under the refinanced Term Loan B. The applicable interest rate margins for the refinanced Term Loan B under the Incremental Agreement are (i) 2.25% for SOFR Loans (as defined in the Credit Agreement) and (ii) 1.25% for base rate loans. At September 30, 2024, the interest rate on the Term Loan B was Term SOFR plus 2.25%. The Incremental Agreement did not change the maturity dates under the Credit Agreement or result in any increase in principal indebtedness. In addition, the Incremental Agreement confirms that the annual amortization under the Term Loan B is 1% of the refinanced $295.0 million outstanding principal amount, with the balance due at maturity. At September 30, 2024, $293.5 million in borrowings were outstanding under the Term Loan B.</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183" w:lineRule="exact"/>
        <w:rPr>
          <w:sz w:val="20"/>
          <w:szCs w:val="20"/>
          <w:color w:val="auto"/>
        </w:rPr>
      </w:pPr>
    </w:p>
    <w:p>
      <w:pPr>
        <w:ind w:left="60" w:right="17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$1 Billion 6.50% Senior Notes. </w:t>
      </w:r>
      <w:r>
        <w:rPr>
          <w:rFonts w:ascii="Times New Roman" w:cs="Times New Roman" w:eastAsia="Times New Roman" w:hAnsi="Times New Roman"/>
          <w:sz w:val="17"/>
          <w:szCs w:val="17"/>
          <w:color w:val="auto"/>
        </w:rPr>
        <w:t>On March 28, 2024, the Operating Partnership and Finco (collectively, the “issuing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completed the private placement of $1.0 billion in aggregate principal amount of 6.50% senior notes due 2032 (the “$1 Billion 6.50% Senior Notes”),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6.50% Senior Notes have a maturity date of April 1, 2032 and bear interest at 6.50% per annum, payable semi-annually in cash in arrears on April 1 and October 1 each year, beginning October 1, 2024. The $1 Billion 6.50% Senior Notes are general unsecured and unsubordinated obligations of the issuing subsidiaries and rank equal in right of payment with such subsidiaries’ existing and future senior unsecured indebtedness, including the $700 Million 4.75%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of the assets securing such indebtedness and structurally subordinated to all indebtedness and other obligations of the Operating Partnership’s subsidiaries that do not guarantee the $1 Billion 6.50% Senior Notes.</w:t>
      </w:r>
    </w:p>
    <w:p>
      <w:pPr>
        <w:spacing w:after="0" w:line="13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$800.0 million Gaylord Rockies term loan and used the remaining proceeds, together with cash on hand, to repay $200.0 million under the Term Loan B.</w:t>
      </w:r>
    </w:p>
    <w:p>
      <w:pPr>
        <w:spacing w:after="0" w:line="13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45"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Trust Company, National Association as trustee. The $500 Million 4.75% Senior Notes have a maturity date of October 15, 2027 and bear interest at 4.75% per annum, payable semi-annually in cash in arrears on April 15 and October 15 each year. The $500 Million 4.75% Senior Notes are general unsecured and unsubordinated obligations of the issuing subsidiaries and rank equal in right of payment with such subsidiaries’ existing and future senior unsecured indebtedness, including the $1 Billion 6.50% Senior Notes,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68"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The $700 Million 4.75% Senior Notes are currently redeemable, in whole or in part, at a redemption price expressed as a percentage of the principal amount thereof, which percentage is 101.188%, and 100.000% beginning on October 15 of 2024 and 2025, respectively, plus accrued and unpaid interest thereon to, but not including, the redemption date.</w:t>
      </w:r>
    </w:p>
    <w:p>
      <w:pPr>
        <w:spacing w:after="0" w:line="135"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In February 2021,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4.50%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399"/>
        <w:spacing w:after="0" w:line="260" w:lineRule="auto"/>
        <w:rPr>
          <w:sz w:val="20"/>
          <w:szCs w:val="20"/>
          <w:color w:val="auto"/>
        </w:rPr>
      </w:pPr>
      <w:r>
        <w:rPr>
          <w:rFonts w:ascii="Times New Roman" w:cs="Times New Roman" w:eastAsia="Times New Roman" w:hAnsi="Times New Roman"/>
          <w:sz w:val="18"/>
          <w:szCs w:val="18"/>
          <w:color w:val="auto"/>
        </w:rPr>
        <w:t>4.50% Senior Notes are general unsecured and unsubordinated obligations of the issuing subsidiaries and rank equal in right of payment with such subsidiaries’ existing and future senior unsecured</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indebtedness, including the $1 Billion 6.50% Senior Notes, the $700 Million 4.75%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5"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$600 Million 4.50% Senior Notes are currently redeemable, in whole or in part,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On June 22, 2023,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the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52" w:lineRule="exact"/>
        <w:rPr>
          <w:sz w:val="20"/>
          <w:szCs w:val="20"/>
          <w:color w:val="auto"/>
        </w:rPr>
      </w:pPr>
    </w:p>
    <w:p>
      <w:pPr>
        <w:ind w:left="60" w:right="219"/>
        <w:spacing w:after="0" w:line="276" w:lineRule="auto"/>
        <w:rPr>
          <w:sz w:val="20"/>
          <w:szCs w:val="20"/>
          <w:color w:val="auto"/>
        </w:rPr>
      </w:pPr>
      <w:r>
        <w:rPr>
          <w:rFonts w:ascii="Times New Roman" w:cs="Times New Roman" w:eastAsia="Times New Roman" w:hAnsi="Times New Roman"/>
          <w:sz w:val="17"/>
          <w:szCs w:val="17"/>
          <w:color w:val="auto"/>
        </w:rPr>
        <w:t>The $400 Million 7.25% Senior Notes are redeemable before July 15, 2025, in whole or in part, at 100.00%, plus accrued and unpaid interest thereon to, but not including, the redemption date, plus a make-whole premium. The $400 Million</w:t>
      </w:r>
    </w:p>
    <w:p>
      <w:pPr>
        <w:spacing w:after="0" w:line="1"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7.25% Senior Notes will be redeemable, in whole or in part, at any time on or after July 15, 2025 at a redemption price expressed as a percentage of the principal amount thereof, which percentage is 103.625%, 101.813% and 100.000% beginning on July 15 of 2025, 2026, and 2027, respectively, plus accrued and unpaid interest thereon to, but not including, the redemption date.</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$400 Million 7.25% Senior Notes totaled approximately $393 million, after deducting the initial purchasers’ discounts, commissions and offering expenses. We used these proceeds to pay a portion of the purchase price for JW Marriott Hill Country.</w:t>
      </w:r>
    </w:p>
    <w:p>
      <w:pPr>
        <w:spacing w:after="0" w:line="13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Each of the indentures governing the $1 Billion 6.50% Senior Notes, the $700 Million 4.75%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pacing w:after="0" w:line="146" w:lineRule="exact"/>
        <w:rPr>
          <w:sz w:val="20"/>
          <w:szCs w:val="20"/>
          <w:color w:val="auto"/>
        </w:rPr>
      </w:pPr>
    </w:p>
    <w:p>
      <w:pPr>
        <w:ind w:left="60" w:right="399"/>
        <w:spacing w:after="0" w:line="267" w:lineRule="auto"/>
        <w:rPr>
          <w:sz w:val="20"/>
          <w:szCs w:val="20"/>
          <w:color w:val="auto"/>
        </w:rPr>
      </w:pPr>
      <w:r>
        <w:rPr>
          <w:rFonts w:ascii="Times New Roman" w:cs="Times New Roman" w:eastAsia="Times New Roman" w:hAnsi="Times New Roman"/>
          <w:sz w:val="18"/>
          <w:szCs w:val="18"/>
          <w:i w:val="1"/>
          <w:iCs w:val="1"/>
          <w:color w:val="auto"/>
        </w:rPr>
        <w:t>Previous $800 Million Gaylord Rockies Term Loan</w:t>
      </w:r>
      <w:r>
        <w:rPr>
          <w:rFonts w:ascii="Times New Roman" w:cs="Times New Roman" w:eastAsia="Times New Roman" w:hAnsi="Times New Roman"/>
          <w:sz w:val="18"/>
          <w:szCs w:val="18"/>
          <w:color w:val="auto"/>
        </w:rPr>
        <w:t>. In July 2019, Aurora Convention Center Hotel, LLC and Aurora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Convention Center Hotel Lessee, LLC the entities that comprise Gaylord Rockies, entered into a Second Amended and Restated Loan Agreement (the “Gaylord Rockies Loan”) with Wells Fargo Bank, National Association, as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administrative agent. The Gaylord Rockies Loan consisted of an $800.0 million secured term loan facility, with a maturity date of July 2, 2024 with two, one-year extension options remaining, subject to certain requirements in the Gaylord Rockies Loan, and bore interest at Adjusted Daily Simple SOFR plus 2.50%. We previously entered into an interest rate swap to fix the SOFR portion of the interest rate at 5.2105% for the fifth year of the loan. We designated this interest rate swap as an effective cash flow hedge.</w:t>
      </w:r>
    </w:p>
    <w:p>
      <w:pPr>
        <w:spacing w:after="0" w:line="183"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On March 28, 2024, we paid off the Gaylord Rockies Loan with proceeds from the $1 Billion 6.50% Senior Notes discussed above and terminated the interest rate swap.</w:t>
      </w:r>
    </w:p>
    <w:p>
      <w:pPr>
        <w:spacing w:after="0" w:line="1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28, 2024,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(the “Original OEG Credit Agreement”). As amended, the credit facility (the “Amended OEG Credit Agreement”) includes certain amended terms including lower interest rates, extended maturities and modifications to various covenants.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Amended OEG Credit Agreement provides for (i) a senior secured term loan facility in the aggregate amount of</w:t>
      </w:r>
    </w:p>
    <w:p>
      <w:pPr>
        <w:spacing w:after="0" w:line="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$300.0 million (the “OEG Term Loan”) and (ii) a senior secured revolving credit facility in an aggregate principal amount not to exceed $80.0 million (the “OEG Revolver”). The OEG Term Loan refinances and replaces the former term loan in the outstanding principal amount of $294.8 million as of June 28, 2024 and the OEG Revolver refinances and replaces the senior secured revolving credit facility in an aggregate principal amount not to exceed $65.0 million. At September 30, 2024, $16.0 million was outstanding under the OEG Revolver.</w:t>
      </w:r>
    </w:p>
    <w:p>
      <w:pPr>
        <w:spacing w:after="0" w:line="16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OEG Term Loan and the OEG Revolver are each secured by substantially all of the assets of OEG Finance and each of its subsidiaries (other than Block 21-related subsidiaries, as more specifically described in the Amended OEG Credit Agreement). The OEG Term Loan bears interest at a rate equal to either, at OEG Borrower’s election, as of the closing contemplated by the Amended OEG Credit Agreement: (a) the Alternate Base Rate plus 2.50% or (b) Adjusted Term SOFR plus 3.50% (all as more specifically described in the Amended OEG Credit Agreement). Borrowings under the OEG Revolver bear interest at a rate equal to either, at OEG Borrower’s election, as of the closing contemplated by the Amended OEG Credit Agreement: (a) the Alternate Base Rate plus the Applicable Rate (as defined in the Amended OEG Credit Agreement) or (b) Adjusted Term SOFR plus the Applicable Rate. Under the Amended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Amended OEG Credit Agreement). The Applicable Rate for borrowings as of September 30, 2024 is 2.50% for Alternative Base Rate Loans and 3.50% for Adjusted Term SOFR loans.</w:t>
      </w:r>
    </w:p>
    <w:p>
      <w:pPr>
        <w:spacing w:after="0" w:line="14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 OEG Borrower used the proceeds of the OEG Term Loan to refinance the original term loan under the Original OEG Credit Agreement.</w:t>
      </w:r>
    </w:p>
    <w:p>
      <w:pPr>
        <w:spacing w:after="0" w:line="11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in May 2022, a subsidiary of the Company assumed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ten-year, non-recourse term loan secured by a mortgage on Block 21 (the “Block 21 CMBS Loan”). The Block 21 CMBS Loan has a fixed interest rate of 5.58% per annum, payable monthly, matures January 5, 2026, and payments are due monthly based on a 30-year amortization. At September 30, 2024, $129.7 million was outstanding under the Block 21 CMBS Loan.</w:t>
      </w:r>
    </w:p>
    <w:p>
      <w:pPr>
        <w:spacing w:after="0" w:line="158"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The disruption caused by a significant renovation of the rooms and public spaces at the W Hotel, which is nearing completion, negatively impacted the results of Block 21 and resulted in the Trigger Period expected to be effective starting September 30, 2024. During the Trigger Period, cash in excess of operating expenses, debt service, certain reserves and operating expenses is deposited in a reserve account and held until Block 21 exits the Trigger Period by achieving a specified minimum debt service coverage ratio on a trailing twelve-month basis, at which time the reserved cash will be released to Block 21 and its owner.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2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Based on the stated interest rates on our fixed-rate debt and the rates in effect at September 30, 2024 for our variable-rate debt after considering interest rate swaps, our estimated interest obligations through 2028 are $805.3 million. These estimated obligations are $52.1 million for the remainder of 2024, $208.1 million in 2025, $201.1 million in 2026, $192.3 million in 2027, and $151.6 million in 2028.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2023 for a discussion of the interest we paid during 2023, 2022 and 2021.</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8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ADR and outside-the-room spend in our Hospitality segment and business levels in our Entertainment segment in recent periods have reduced the impact of increased operating costs, including increased insurance, utilities and other costs, on our financial position and results of operations.</w:t>
      </w:r>
    </w:p>
    <w:p>
      <w:pPr>
        <w:spacing w:after="0" w:line="13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debt. In an effort to mitigate the impact of increased interest rates, at September 30, 2024, 85% of our outstanding debt is fixed-rate debt, after considering the impact of interest rate swaps.</w:t>
      </w:r>
    </w:p>
    <w:p>
      <w:pPr>
        <w:spacing w:after="0" w:line="149"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0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Company’s $1 Billion 6.50% Senior Notes, the $700 Million 4.75% Senior Notes, $600 Million 4.50% Senior Notes and $400 Million 7.25% Senior Notes were each issued by the Operating Partnership and Finco (collectively, the “Issuers”), and are guaranteed on a senior unsecured basis by the Company (as the parent company), each of the Operating Partnership’s subsidiaries that own the Gaylord Hotels properties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151"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3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3,409,885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3,409,885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3,210,655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3,430,615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0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Certain of our accounting policies, including those related to impairment of long-lived and other assets, credit losses on financial assets, income taxes,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2023. There were no newly identified critical accounting policies in the first nine months of 2024, nor were there any material changes to the critical accounting policies and estimates discussed in our Annual Report on Form 10-K for the year ended December 31, 2023.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2023. For a discussion of the Company’s exposure to market risk, refer to the Company’s market risk disclosures set forth in Part II, Item 7A. “Quantitative and Qualitative Disclosures About Market Risk” of the Company’s Annual Report on Form 10-K for the year ended December 31, 2023.</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67"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12,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of our Annual Report on Form 10-K for the fiscal year ended December 31, 2023.</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officers (as defined in Rule 16a-1(f) of the Exchange Act) adopted or terminated a “Rule 10b5-1 trading arrangement” or “non-Rule 10b5-1 trading arrangement” (in each case, as defined in Item 408 of Regulation S-K).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5"/>
          </w:tcPr>
          <w:p>
            <w:pPr>
              <w:ind w:left="20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7"/>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2"/>
          </w:tcPr>
          <w:p>
            <w:pPr>
              <w:spacing w:after="0"/>
              <w:rPr>
                <w:sz w:val="17"/>
                <w:szCs w:val="17"/>
                <w:color w:val="auto"/>
              </w:rPr>
            </w:pPr>
          </w:p>
        </w:tc>
        <w:tc>
          <w:tcPr>
            <w:tcW w:w="700" w:type="dxa"/>
            <w:vAlign w:val="bottom"/>
            <w:gridSpan w:val="3"/>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6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Second Amended and Restated Bylaws of Ryman Hospitality Properties, Inc. (incorporated by</w:t>
              </w:r>
            </w:hyperlink>
          </w:p>
        </w:tc>
        <w:tc>
          <w:tcPr>
            <w:tcW w:w="62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reference to Exhibit 3.2 to the Company’s Annual Report on Form 10-K filed February 24, 2023).</w:t>
              </w:r>
            </w:hyperlink>
          </w:p>
        </w:tc>
        <w:tc>
          <w:tcPr>
            <w:tcW w:w="380" w:type="dxa"/>
            <w:vAlign w:val="bottom"/>
          </w:tcPr>
          <w:p>
            <w:pPr>
              <w:spacing w:after="0"/>
              <w:rPr>
                <w:sz w:val="17"/>
                <w:szCs w:val="17"/>
                <w:color w:val="auto"/>
              </w:rPr>
            </w:pPr>
          </w:p>
        </w:tc>
      </w:tr>
    </w:tbl>
    <w:p>
      <w:pPr>
        <w:spacing w:after="0" w:line="9" w:lineRule="exact"/>
        <w:rPr>
          <w:sz w:val="20"/>
          <w:szCs w:val="20"/>
          <w:color w:val="auto"/>
        </w:rPr>
      </w:pPr>
    </w:p>
    <w:p>
      <w:pPr>
        <w:ind w:left="1520" w:right="299" w:hanging="978"/>
        <w:spacing w:after="0" w:line="261" w:lineRule="auto"/>
        <w:tabs>
          <w:tab w:leader="none" w:pos="1520" w:val="left"/>
        </w:tabs>
        <w:numPr>
          <w:ilvl w:val="0"/>
          <w:numId w:val="24"/>
        </w:numPr>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List of Parent and Subsidiary Guarantors (incorporated by reference to Exhibit 22 to the Company’s</w:t>
        </w:r>
      </w:hyperlink>
      <w:r>
        <w:rPr>
          <w:rFonts w:ascii="Times New Roman" w:cs="Times New Roman" w:eastAsia="Times New Roman" w:hAnsi="Times New Roman"/>
          <w:sz w:val="18"/>
          <w:szCs w:val="18"/>
          <w:u w:val="single" w:color="auto"/>
          <w:color w:val="0000EE"/>
        </w:rPr>
        <w:t xml:space="preserve"> </w:t>
      </w:r>
      <w:hyperlink r:id="rId59">
        <w:r>
          <w:rPr>
            <w:rFonts w:ascii="Times New Roman" w:cs="Times New Roman" w:eastAsia="Times New Roman" w:hAnsi="Times New Roman"/>
            <w:sz w:val="18"/>
            <w:szCs w:val="18"/>
            <w:u w:val="single" w:color="auto"/>
            <w:color w:val="0000EE"/>
          </w:rPr>
          <w:t>Quarterly Report on Form 10-Q filed August 1, 2024).</w:t>
        </w:r>
      </w:hyperlink>
    </w:p>
    <w:tbl>
      <w:tblPr>
        <w:tblLayout w:type="fixed"/>
        <w:tblInd w:w="540" w:type="dxa"/>
        <w:tblCellMar>
          <w:top w:w="0" w:type="dxa"/>
          <w:left w:w="0" w:type="dxa"/>
          <w:bottom w:w="0" w:type="dxa"/>
          <w:right w:w="0" w:type="dxa"/>
        </w:tblCellMar>
      </w:tblP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64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Mark Fioravanti pursuant to Section 302 of Sarbanes-Oxley Act of 2002.</w:t>
            </w:r>
          </w:p>
        </w:tc>
        <w:tc>
          <w:tcPr>
            <w:tcW w:w="980" w:type="dxa"/>
            <w:vAlign w:val="bottom"/>
            <w:gridSpan w:val="3"/>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7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Fioravanti and Jennifer Hutcheson pursuant to 18 U.S.C. Section 1350, as</w:t>
            </w:r>
          </w:p>
        </w:tc>
      </w:tr>
      <w:tr>
        <w:trPr>
          <w:trHeight w:val="196"/>
        </w:trPr>
        <w:tc>
          <w:tcPr>
            <w:tcW w:w="980" w:type="dxa"/>
            <w:vAlign w:val="bottom"/>
          </w:tcPr>
          <w:p>
            <w:pPr>
              <w:spacing w:after="0"/>
              <w:rPr>
                <w:sz w:val="17"/>
                <w:szCs w:val="17"/>
                <w:color w:val="auto"/>
              </w:rPr>
            </w:pPr>
          </w:p>
        </w:tc>
        <w:tc>
          <w:tcPr>
            <w:tcW w:w="6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Sarbanes-Oxley Act of 2002.</w:t>
            </w:r>
          </w:p>
        </w:tc>
        <w:tc>
          <w:tcPr>
            <w:tcW w:w="5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materials from Ryman Hospitality Properties, Inc.’s Quarterly Report on Form 10-Q for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quarterly period ended September 30, 2024, formatted in Inline XBRL (eXtensible Business</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Reporting Language): (i) Condensed Consolidated Balance Sheets (unaudited) at September 30, 2024</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 December 31, 2023, (ii) Condensed Consolidated Statements of Operations and Comprehensive</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(unaudited) for the three and nine months ended September 30, 2024 and 2023, (iii)</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nine months ended September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30, 2024 and 2023, (iv) Condensed Consolidated Statements of Equity and Noncontrolling Interest</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(unaudited) for the three months and nine months ended September 30, 2024 and 2023, and (v) Notes</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Condensed Consolidated Financial Statements (unaudited).</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160" w:type="dxa"/>
            <w:vAlign w:val="bottom"/>
          </w:tcPr>
          <w:p>
            <w:pPr>
              <w:spacing w:after="0"/>
              <w:rPr>
                <w:sz w:val="24"/>
                <w:szCs w:val="24"/>
                <w:color w:val="auto"/>
              </w:rPr>
            </w:pPr>
          </w:p>
        </w:tc>
        <w:tc>
          <w:tcPr>
            <w:tcW w:w="57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3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5, 2024</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4720" w:type="dxa"/>
            <w:vAlign w:val="bottom"/>
          </w:tcPr>
          <w:p>
            <w:pPr>
              <w:spacing w:after="0"/>
              <w:rPr>
                <w:sz w:val="16"/>
                <w:szCs w:val="16"/>
                <w:color w:val="auto"/>
              </w:rPr>
            </w:pPr>
          </w:p>
        </w:tc>
      </w:t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5, 2024</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Jennifer Hutcheson</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c>
          <w:tcPr>
            <w:tcW w:w="5220" w:type="dxa"/>
            <w:vAlign w:val="bottom"/>
          </w:tcPr>
          <w:p>
            <w:pPr>
              <w:spacing w:after="0"/>
              <w:rPr>
                <w:sz w:val="16"/>
                <w:szCs w:val="16"/>
                <w:color w:val="auto"/>
              </w:rPr>
            </w:pPr>
          </w:p>
        </w:tc>
      </w:tr>
      <w:tr>
        <w:trPr>
          <w:trHeight w:val="216"/>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680" w:type="dxa"/>
            <w:vAlign w:val="bottom"/>
          </w:tcPr>
          <w:p>
            <w:pPr>
              <w:spacing w:after="0"/>
              <w:rPr>
                <w:sz w:val="20"/>
                <w:szCs w:val="20"/>
                <w:color w:val="auto"/>
              </w:rPr>
            </w:pP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September 30, 2024,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November 5, 2024</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right="3140"/>
        <w:spacing w:after="0" w:line="260" w:lineRule="auto"/>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 November 5, 2024</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upperLetter"/>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22"/>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7" Type="http://schemas.openxmlformats.org/officeDocument/2006/relationships/hyperlink" Target="http://www.sec.gov/Archives/edgar/data/1040829/000119312512410191/d419132dex31.htm" TargetMode="External"/><Relationship Id="rId58" Type="http://schemas.openxmlformats.org/officeDocument/2006/relationships/hyperlink" Target="https://www.sec.gov/Archives/edgar/data/1040829/000155837023002012/rhp-20221231xex3d2.htm" TargetMode="External"/><Relationship Id="rId59" Type="http://schemas.openxmlformats.org/officeDocument/2006/relationships/hyperlink" Target="https://www.sec.gov/Archives/edgar/data/1040829/000155837024010587/rhp-20240630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2024-11-05T13:47:41Z</dcterms:created>
  <dcterms:modified xsi:type="dcterms:W3CDTF">2024-11-05T13:47:41Z</dcterms:modified>
</cp:coreProperties>
</file>