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452120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ind w:left="1"/>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421" w:right="1120" w:hanging="3421"/>
        <w:spacing w:after="0" w:line="239"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2019</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821" w:right="1100" w:hanging="3821"/>
        <w:spacing w:after="0" w:line="239"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57" w:lineRule="exact"/>
        <w:rPr>
          <w:sz w:val="24"/>
          <w:szCs w:val="24"/>
          <w:color w:val="auto"/>
        </w:rPr>
      </w:pPr>
    </w:p>
    <w:p>
      <w:pPr>
        <w:ind w:left="3221"/>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121"/>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61"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3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73-0664379</w:t>
            </w:r>
          </w:p>
        </w:tc>
        <w:tc>
          <w:tcPr>
            <w:tcW w:w="220" w:type="dxa"/>
            <w:vAlign w:val="bottom"/>
          </w:tcPr>
          <w:p>
            <w:pPr>
              <w:spacing w:after="0"/>
              <w:rPr>
                <w:sz w:val="17"/>
                <w:szCs w:val="17"/>
                <w:color w:val="auto"/>
              </w:rPr>
            </w:pPr>
          </w:p>
        </w:tc>
      </w:tr>
      <w:tr>
        <w:trPr>
          <w:trHeight w:val="222"/>
        </w:trPr>
        <w:tc>
          <w:tcPr>
            <w:tcW w:w="5360" w:type="dxa"/>
            <w:vAlign w:val="bottom"/>
            <w:gridSpan w:val="3"/>
          </w:tcPr>
          <w:p>
            <w:pPr>
              <w:jc w:val="center"/>
              <w:ind w:right="3050"/>
              <w:spacing w:after="0"/>
              <w:rPr>
                <w:sz w:val="20"/>
                <w:szCs w:val="20"/>
                <w:color w:val="auto"/>
              </w:rPr>
            </w:pPr>
            <w:r>
              <w:rPr>
                <w:rFonts w:ascii="Arial" w:cs="Arial" w:eastAsia="Arial" w:hAnsi="Arial"/>
                <w:sz w:val="18"/>
                <w:szCs w:val="18"/>
                <w:color w:val="auto"/>
                <w:w w:val="91"/>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360" w:type="dxa"/>
            <w:vAlign w:val="bottom"/>
            <w:gridSpan w:val="3"/>
          </w:tcPr>
          <w:p>
            <w:pPr>
              <w:jc w:val="center"/>
              <w:ind w:right="3050"/>
              <w:spacing w:after="0"/>
              <w:rPr>
                <w:sz w:val="20"/>
                <w:szCs w:val="20"/>
                <w:color w:val="auto"/>
              </w:rPr>
            </w:pPr>
            <w:r>
              <w:rPr>
                <w:rFonts w:ascii="Arial" w:cs="Arial" w:eastAsia="Arial" w:hAnsi="Arial"/>
                <w:sz w:val="18"/>
                <w:szCs w:val="18"/>
                <w:color w:val="auto"/>
                <w:w w:val="92"/>
              </w:rPr>
              <w:t>Incorporation or Organization)</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Identification No.)</w:t>
            </w:r>
          </w:p>
        </w:tc>
      </w:tr>
      <w:tr>
        <w:trPr>
          <w:trHeight w:val="350"/>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92"/>
              </w:rPr>
              <w:t>One Gaylord Drive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ind w:left="1"/>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741"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27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Title of Each Class</w:t>
            </w:r>
          </w:p>
        </w:tc>
        <w:tc>
          <w:tcPr>
            <w:tcW w:w="23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Trading Symbol(s)</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par</w:t>
            </w:r>
          </w:p>
        </w:tc>
        <w:tc>
          <w:tcPr>
            <w:tcW w:w="460" w:type="dxa"/>
            <w:vAlign w:val="bottom"/>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RHP</w:t>
            </w:r>
          </w:p>
        </w:tc>
        <w:tc>
          <w:tcPr>
            <w:tcW w:w="400" w:type="dxa"/>
            <w:vAlign w:val="bottom"/>
          </w:tcPr>
          <w:p>
            <w:pPr>
              <w:spacing w:after="0"/>
              <w:rPr>
                <w:sz w:val="16"/>
                <w:szCs w:val="16"/>
                <w:color w:val="auto"/>
              </w:rPr>
            </w:pPr>
          </w:p>
        </w:tc>
        <w:tc>
          <w:tcPr>
            <w:tcW w:w="2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27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value $.01</w:t>
            </w:r>
          </w:p>
        </w:tc>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2" w:lineRule="exact"/>
        <w:rPr>
          <w:sz w:val="24"/>
          <w:szCs w:val="24"/>
          <w:color w:val="auto"/>
        </w:rPr>
      </w:pPr>
    </w:p>
    <w:p>
      <w:pPr>
        <w:ind w:left="1" w:right="1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
        <w:spacing w:after="0" w:line="242" w:lineRule="exact"/>
        <w:rPr>
          <w:sz w:val="20"/>
          <w:szCs w:val="20"/>
          <w:color w:val="auto"/>
        </w:rPr>
      </w:pPr>
      <w:r>
        <w:rPr>
          <w:rFonts w:ascii="Arial" w:cs="Arial" w:eastAsia="Arial" w:hAnsi="Arial"/>
          <w:sz w:val="18"/>
          <w:szCs w:val="18"/>
          <w:color w:val="auto"/>
        </w:rPr>
        <w:t xml:space="preserve">(2) has been subject to such filing requirements for the past 90 days.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01" w:lineRule="exact"/>
        <w:rPr>
          <w:sz w:val="24"/>
          <w:szCs w:val="24"/>
          <w:color w:val="auto"/>
        </w:rPr>
      </w:pPr>
    </w:p>
    <w:p>
      <w:pPr>
        <w:ind w:left="1" w:right="80"/>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14" w:lineRule="exact"/>
        <w:rPr>
          <w:sz w:val="24"/>
          <w:szCs w:val="24"/>
          <w:color w:val="auto"/>
        </w:rPr>
      </w:pPr>
    </w:p>
    <w:p>
      <w:pPr>
        <w:ind w:left="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p>
      <w:pPr>
        <w:ind w:left="1"/>
        <w:spacing w:after="0" w:line="228" w:lineRule="exact"/>
        <w:rPr>
          <w:sz w:val="20"/>
          <w:szCs w:val="20"/>
          <w:color w:val="auto"/>
        </w:rPr>
      </w:pPr>
      <w:r>
        <w:rPr>
          <w:rFonts w:ascii="Arial" w:cs="Arial" w:eastAsia="Arial" w:hAnsi="Arial"/>
          <w:sz w:val="17"/>
          <w:szCs w:val="17"/>
          <w:color w:val="auto"/>
        </w:rPr>
        <w:t xml:space="preserve">Large accelerated filer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Accelerated filer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Non-accelerated filer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Smaller reporting company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Emerging growth company </w:t>
      </w:r>
      <w:r>
        <w:rPr>
          <w:rFonts w:ascii="Arial Unicode MS" w:cs="Arial Unicode MS" w:eastAsia="Arial Unicode MS" w:hAnsi="Arial Unicode MS"/>
          <w:sz w:val="17"/>
          <w:szCs w:val="17"/>
          <w:color w:val="auto"/>
        </w:rPr>
        <w:t>☐</w:t>
      </w:r>
    </w:p>
    <w:p>
      <w:pPr>
        <w:spacing w:after="0" w:line="156" w:lineRule="exact"/>
        <w:rPr>
          <w:sz w:val="24"/>
          <w:szCs w:val="24"/>
          <w:color w:val="auto"/>
        </w:rPr>
      </w:pPr>
    </w:p>
    <w:p>
      <w:pPr>
        <w:ind w:left="1"/>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82" w:lineRule="exact"/>
        <w:rPr>
          <w:sz w:val="24"/>
          <w:szCs w:val="24"/>
          <w:color w:val="auto"/>
        </w:rPr>
      </w:pPr>
    </w:p>
    <w:p>
      <w:pPr>
        <w:ind w:left="1" w:right="86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17" w:lineRule="exact"/>
        <w:rPr>
          <w:sz w:val="24"/>
          <w:szCs w:val="24"/>
          <w:color w:val="auto"/>
        </w:rPr>
      </w:pPr>
    </w:p>
    <w:tbl>
      <w:tblPr>
        <w:tblLayout w:type="fixed"/>
        <w:tblInd w:w="1" w:type="dxa"/>
        <w:tblCellMar>
          <w:top w:w="0" w:type="dxa"/>
          <w:left w:w="0" w:type="dxa"/>
          <w:bottom w:w="0" w:type="dxa"/>
          <w:right w:w="0" w:type="dxa"/>
        </w:tblCellMar>
      </w:tblPr>
      <w:tr>
        <w:trPr>
          <w:trHeight w:val="234"/>
        </w:trPr>
        <w:tc>
          <w:tcPr>
            <w:tcW w:w="5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July 31, 2019</w:t>
            </w:r>
          </w:p>
        </w:tc>
      </w:tr>
      <w:tr>
        <w:trPr>
          <w:trHeight w:val="224"/>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51,443,449 shares</w:t>
            </w:r>
          </w:p>
        </w:tc>
      </w:tr>
      <w:tr>
        <w:trPr>
          <w:trHeight w:val="94"/>
        </w:trPr>
        <w:tc>
          <w:tcPr>
            <w:tcW w:w="4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r>
      <w:tr>
        <w:trPr>
          <w:trHeight w:val="82"/>
        </w:trPr>
        <w:tc>
          <w:tcPr>
            <w:tcW w:w="48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r>
      <w:tr>
        <w:trPr>
          <w:trHeight w:val="682"/>
        </w:trPr>
        <w:tc>
          <w:tcPr>
            <w:tcW w:w="4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665" w:right="9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60" w:type="dxa"/>
            <w:vAlign w:val="bottom"/>
            <w:gridSpan w:val="15"/>
          </w:tcPr>
          <w:p>
            <w:pPr>
              <w:jc w:val="center"/>
              <w:ind w:right="1800"/>
              <w:spacing w:after="0"/>
              <w:rPr>
                <w:sz w:val="20"/>
                <w:szCs w:val="20"/>
                <w:color w:val="auto"/>
              </w:rPr>
            </w:pPr>
            <w:r>
              <w:rPr>
                <w:rFonts w:ascii="Arial" w:cs="Arial" w:eastAsia="Arial" w:hAnsi="Arial"/>
                <w:sz w:val="18"/>
                <w:szCs w:val="18"/>
                <w:b w:val="1"/>
                <w:bCs w:val="1"/>
                <w:color w:val="auto"/>
              </w:rPr>
              <w:t>RYMAN HOSPITALITY PROPERTIES, INC.</w:t>
            </w:r>
          </w:p>
        </w:tc>
        <w:tc>
          <w:tcPr>
            <w:tcW w:w="800" w:type="dxa"/>
            <w:vAlign w:val="bottom"/>
          </w:tcPr>
          <w:p>
            <w:pPr>
              <w:spacing w:after="0"/>
              <w:rPr>
                <w:sz w:val="20"/>
                <w:szCs w:val="20"/>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9"/>
              </w:rPr>
              <w:t>FORM 10-Q</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12"/>
          </w:tcPr>
          <w:p>
            <w:pPr>
              <w:jc w:val="center"/>
              <w:ind w:right="2200"/>
              <w:spacing w:after="0"/>
              <w:rPr>
                <w:sz w:val="20"/>
                <w:szCs w:val="20"/>
                <w:color w:val="auto"/>
              </w:rPr>
            </w:pPr>
            <w:r>
              <w:rPr>
                <w:rFonts w:ascii="Arial" w:cs="Arial" w:eastAsia="Arial" w:hAnsi="Arial"/>
                <w:sz w:val="18"/>
                <w:szCs w:val="18"/>
                <w:b w:val="1"/>
                <w:bCs w:val="1"/>
                <w:color w:val="auto"/>
                <w:w w:val="91"/>
              </w:rPr>
              <w:t>For the Quarter Ended June 30, 2019</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385"/>
        </w:trPr>
        <w:tc>
          <w:tcPr>
            <w:tcW w:w="82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 – June 30, 2019 and December 31, 2018</w:t>
              </w:r>
            </w:hyperlink>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(Unaudited) -</w:t>
              </w:r>
            </w:hyperlink>
          </w:p>
        </w:tc>
        <w:tc>
          <w:tcPr>
            <w:tcW w:w="3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 the Three Months and Six Months Ended June 30, 2019 and 2018</w:t>
              </w:r>
            </w:hyperlink>
          </w:p>
        </w:tc>
        <w:tc>
          <w:tcPr>
            <w:tcW w:w="2020" w:type="dxa"/>
            <w:vAlign w:val="bottom"/>
            <w:gridSpan w:val="6"/>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For the Six Months Ended</w:t>
              </w:r>
            </w:hyperlink>
          </w:p>
        </w:tc>
        <w:tc>
          <w:tcPr>
            <w:tcW w:w="36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2019 and 2018</w:t>
              </w:r>
            </w:hyperlink>
          </w:p>
        </w:tc>
        <w:tc>
          <w:tcPr>
            <w:tcW w:w="5320" w:type="dxa"/>
            <w:vAlign w:val="bottom"/>
            <w:gridSpan w:val="1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 - For the</w:t>
              </w:r>
            </w:hyperlink>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Three Months and Six Months Ended June 30, 2019 and 2018</w:t>
              </w:r>
            </w:hyperlink>
          </w:p>
        </w:tc>
        <w:tc>
          <w:tcPr>
            <w:tcW w:w="1500" w:type="dxa"/>
            <w:vAlign w:val="bottom"/>
            <w:tcBorders>
              <w:top w:val="single" w:sz="8" w:color="0000EE"/>
            </w:tcBorders>
            <w:gridSpan w:val="3"/>
          </w:tcPr>
          <w:p>
            <w:pPr>
              <w:spacing w:after="0"/>
              <w:rPr>
                <w:sz w:val="17"/>
                <w:szCs w:val="17"/>
                <w:color w:val="auto"/>
              </w:rPr>
            </w:pPr>
          </w:p>
        </w:tc>
        <w:tc>
          <w:tcPr>
            <w:tcW w:w="108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0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2. Management’s Discussion and Analysis of Financial Condition and Results of Operations.</w:t>
              </w:r>
            </w:hyperlink>
          </w:p>
        </w:tc>
        <w:tc>
          <w:tcPr>
            <w:tcW w:w="5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2"/>
        </w:trPr>
        <w:tc>
          <w:tcPr>
            <w:tcW w:w="660" w:type="dxa"/>
            <w:vAlign w:val="bottom"/>
          </w:tcPr>
          <w:p>
            <w:pPr>
              <w:spacing w:after="0"/>
              <w:rPr>
                <w:sz w:val="24"/>
                <w:szCs w:val="24"/>
                <w:color w:val="auto"/>
              </w:rPr>
            </w:pPr>
          </w:p>
        </w:tc>
        <w:tc>
          <w:tcPr>
            <w:tcW w:w="4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3. Quantitative and Qualitative Disclosures About Market Risk.</w:t>
              </w:r>
            </w:hyperlink>
          </w:p>
        </w:tc>
        <w:tc>
          <w:tcPr>
            <w:tcW w:w="264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826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Part II - Other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1. Legal Proceedings.</w:t>
              </w:r>
            </w:hyperlink>
          </w:p>
        </w:tc>
        <w:tc>
          <w:tcPr>
            <w:tcW w:w="5660" w:type="dxa"/>
            <w:vAlign w:val="bottom"/>
            <w:gridSpan w:val="1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6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1A. Risk Factors.</w:t>
              </w:r>
            </w:hyperlink>
          </w:p>
        </w:tc>
        <w:tc>
          <w:tcPr>
            <w:tcW w:w="5960" w:type="dxa"/>
            <w:vAlign w:val="bottom"/>
            <w:gridSpan w:val="1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 Unregistered Sales of Equity Securities and Use of Proceeds.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60" w:type="dxa"/>
            <w:vAlign w:val="bottom"/>
          </w:tcPr>
          <w:p>
            <w:pPr>
              <w:spacing w:after="0"/>
              <w:rPr>
                <w:sz w:val="24"/>
                <w:szCs w:val="24"/>
                <w:color w:val="auto"/>
              </w:rPr>
            </w:pPr>
          </w:p>
        </w:tc>
        <w:tc>
          <w:tcPr>
            <w:tcW w:w="4940" w:type="dxa"/>
            <w:vAlign w:val="bottom"/>
            <w:tcBorders>
              <w:top w:val="single" w:sz="8" w:color="0000EE"/>
            </w:tcBorders>
            <w:gridSpan w:val="1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 Defaults Upon Senior Securities.</w:t>
              </w:r>
            </w:hyperlink>
          </w:p>
        </w:tc>
        <w:tc>
          <w:tcPr>
            <w:tcW w:w="266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60" w:type="dxa"/>
            <w:vAlign w:val="bottom"/>
          </w:tcPr>
          <w:p>
            <w:pPr>
              <w:spacing w:after="0"/>
              <w:rPr>
                <w:sz w:val="24"/>
                <w:szCs w:val="24"/>
                <w:color w:val="auto"/>
              </w:rPr>
            </w:pPr>
          </w:p>
        </w:tc>
        <w:tc>
          <w:tcPr>
            <w:tcW w:w="2920" w:type="dxa"/>
            <w:vAlign w:val="bottom"/>
            <w:tcBorders>
              <w:top w:val="single" w:sz="8" w:color="0000EE"/>
            </w:tcBorders>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 Mine Safety Disclosures.</w:t>
              </w:r>
            </w:hyperlink>
          </w:p>
        </w:tc>
        <w:tc>
          <w:tcPr>
            <w:tcW w:w="468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6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4"/>
          </w:tcPr>
          <w:p>
            <w:pPr>
              <w:spacing w:after="0"/>
              <w:rPr>
                <w:sz w:val="24"/>
                <w:szCs w:val="24"/>
                <w:color w:val="auto"/>
              </w:rPr>
            </w:pPr>
          </w:p>
        </w:tc>
        <w:tc>
          <w:tcPr>
            <w:tcW w:w="524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6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Item 6. Exhibits.</w:t>
              </w:r>
            </w:hyperlink>
          </w:p>
        </w:tc>
        <w:tc>
          <w:tcPr>
            <w:tcW w:w="6340" w:type="dxa"/>
            <w:vAlign w:val="bottom"/>
            <w:gridSpan w:val="1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826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8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rPr>
              <w:t>Property and equipment, net of accumulated depreciation (including $997,000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$1,018,499 from VIEs, respectively)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$ 3,134,206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$ 3,149,095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Cash and cash equivalents - unrestricted (including $32,455 and $11,648 from VIEs,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w w:val="95"/>
              </w:rPr>
              <w:t>Cash and cash equivalents - restricted (including $20,770 and $5 from VIEs, respectively)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65,252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receivable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w w:val="96"/>
              </w:rPr>
              <w:t>Trade receivables, less allowance of $753 and $763, respectively (including $17,229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$2,019 from VIEs, respectively)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90,532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 assets, net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w w:val="92"/>
              </w:rPr>
              <w:t>Prepaid expenses and other assets (including $19,780 and $20,419 from VIEs, respectively)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85,310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(including $222,367 and $241,973 from VIEs, respectively)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$ 3,851,917</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$ 3,853,883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LIABILITIES AND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Debt and finance lease obligations (including $541,197 and $494,578 from VIEs,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$ 2,494,103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$ 2,441,895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rPr>
              <w:t>Accounts payable and accrued liabilities (including $50,442 and $70,215 from VIEs,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respectively)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244,418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payable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Deferred management rights proceeds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176,879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61,850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Noncontrolling interest in consolidated joint venture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287,718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1"/>
              </w:rPr>
              <w:t>Preferred stock, $.01 par value, 100,000 shares authorized, no shares issued or outstanding</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Common stock, $.01 par value, 400,000 shares authorized, 51,443 and 51,336 shares issued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respectively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901,129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of 599 and 592 shares, at cost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(420,408)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435,024</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$ 3,851,917</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$ 3,853,883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OPERATIONS AND COMPREHENSIVE INCOME (Unaudited)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Rooms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144,704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121,745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276,916</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229,309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173,030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141,053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344,173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273,992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407,719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333,934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778,494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622,304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72,394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182,039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144,372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181,466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152,615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Management fees,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hotel 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227,705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187,821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454,728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371,739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Entertainment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58,700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Preopening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106,562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322,403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257,235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639,214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499,661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85,316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139,280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122,643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(65,579)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joint ventures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(10,206)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68,954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82,885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w w:val="95"/>
              </w:rPr>
              <w:t>Net loss attributable to noncontrolling interest in consolidated joint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venture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9,837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available to common stockholders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 available to common stockholders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Diluted income per share available to common stockholders</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0.95</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Comprehensive income, net of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46,382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55,630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69,161</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83,047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Comprehensive loss, net of taxes, attributable to noncontrolling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20" w:type="dxa"/>
            <w:vAlign w:val="bottom"/>
          </w:tcPr>
          <w:p>
            <w:pPr>
              <w:spacing w:after="0" w:line="182" w:lineRule="exact"/>
              <w:rPr>
                <w:sz w:val="20"/>
                <w:szCs w:val="20"/>
                <w:color w:val="auto"/>
              </w:rPr>
            </w:pPr>
            <w:r>
              <w:rPr>
                <w:rFonts w:ascii="Arial" w:cs="Arial" w:eastAsia="Arial" w:hAnsi="Arial"/>
                <w:sz w:val="18"/>
                <w:szCs w:val="18"/>
                <w:color w:val="auto"/>
              </w:rPr>
              <w:t>Comprehensive income, net of taxes, available to common</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49,481</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55,630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78,998</w:t>
            </w:r>
          </w:p>
        </w:tc>
        <w:tc>
          <w:tcPr>
            <w:tcW w:w="160" w:type="dxa"/>
            <w:vAlign w:val="bottom"/>
          </w:tcPr>
          <w:p>
            <w:pPr>
              <w:spacing w:after="0"/>
              <w:rPr>
                <w:sz w:val="15"/>
                <w:szCs w:val="15"/>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83,047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30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86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68,954</w:t>
            </w: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82,885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Amounts to reconcile net income to net cash flows provided by operating activities: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Provision for deferred income taxes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8,187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7,065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3,866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Write-off of deferred financing costs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Loss from joint ventures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 expense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Changes in:</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receivables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rPr>
                <w:sz w:val="20"/>
                <w:szCs w:val="20"/>
                <w:color w:val="auto"/>
              </w:rPr>
            </w:pPr>
            <w:r>
              <w:rPr>
                <w:rFonts w:ascii="Arial" w:cs="Arial" w:eastAsia="Arial" w:hAnsi="Arial"/>
                <w:sz w:val="16"/>
                <w:szCs w:val="16"/>
                <w:color w:val="auto"/>
              </w:rPr>
              <w:t>Accounts payable and accrued liabilities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(32,925)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(4,268)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assets and liabilities</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flows provided by operating activities</w:t>
            </w: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131,715</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and equipment</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(69,074)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Collection of notes receivable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10,446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remaining interest in Opry City Stage, net of cash acquired</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investing activities</w:t>
            </w: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(6,886)</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flows used in investing activities</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(60,910)</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(106,187)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Net borrowings under revolving credit facility</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80,500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under term loan B</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Borrowings under Gaylord Rockies construction and mezzanine loans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37,653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financing costs paid</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Payment of dividends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(90,724)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(85,110)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 from consolidated joint venture to noncontrolling interest partners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Payment of tax withholdings for share-based compensation</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(3,876)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(3,771)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financing activities</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flows used in financing activities</w:t>
            </w: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(57,709)</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(10,278)</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20,005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149,089</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2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680" w:type="dxa"/>
            <w:vAlign w:val="bottom"/>
          </w:tcPr>
          <w:p>
            <w:pPr>
              <w:spacing w:after="0"/>
              <w:rPr>
                <w:sz w:val="20"/>
                <w:szCs w:val="20"/>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169,094</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93,960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Reconciliation of cash, cash equivalents, and restricted cash to balance sheet: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 - unrestricted</w:t>
            </w:r>
          </w:p>
        </w:tc>
        <w:tc>
          <w:tcPr>
            <w:tcW w:w="86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103,842</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Cash and cash equivalents - restricted</w:t>
            </w: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65,252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32,181</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cash equivalents, and restricted cash, end of period</w:t>
            </w: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169,094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93,960</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Treasury</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December 31, 2017</w:t>
            </w:r>
          </w:p>
        </w:tc>
        <w:tc>
          <w:tcPr>
            <w:tcW w:w="1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896,759</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(13,253)</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(479,170)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(26,692)</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378,156</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27,339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27,339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Transition adjustment related to</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adoption of ASU 2014-09</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(134)</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(134)</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income,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net of income taxes</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(454)</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(43,461)</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(43,748)</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options surrendered</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(3,692)</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(3,691)</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expense</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BALANCE, March 31, 2018</w:t>
            </w: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513</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895,157</w:t>
            </w:r>
          </w:p>
        </w:tc>
        <w:tc>
          <w:tcPr>
            <w:tcW w:w="1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(13,707)</w:t>
            </w:r>
          </w:p>
        </w:tc>
        <w:tc>
          <w:tcPr>
            <w:tcW w:w="1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(495,426)</w:t>
            </w:r>
          </w:p>
        </w:tc>
        <w:tc>
          <w:tcPr>
            <w:tcW w:w="1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(26,614)</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359,923</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55,546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55,546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income,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net of income taxes</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(488)</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(43,399)</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(43,785)</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options surrendered</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(80)</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expense</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BALANCE, June 30, 2018</w:t>
            </w: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513</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897,185</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(14,195)</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(483,279)</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(26,530)</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373,694</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BALANCE, December 31, 2018</w:t>
            </w:r>
          </w:p>
        </w:tc>
        <w:tc>
          <w:tcPr>
            <w:tcW w:w="100" w:type="dxa"/>
            <w:vAlign w:val="bottom"/>
          </w:tcPr>
          <w:p>
            <w:pPr>
              <w:ind w:left="20"/>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513</w:t>
            </w:r>
          </w:p>
        </w:tc>
        <w:tc>
          <w:tcPr>
            <w:tcW w:w="14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900,795</w:t>
            </w:r>
          </w:p>
        </w:tc>
        <w:tc>
          <w:tcPr>
            <w:tcW w:w="16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(15,183)</w:t>
            </w: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(388,524)</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(28,024)</w:t>
            </w: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469,577</w:t>
            </w:r>
          </w:p>
        </w:tc>
        <w:tc>
          <w:tcPr>
            <w:tcW w:w="140" w:type="dxa"/>
            <w:vAlign w:val="bottom"/>
          </w:tcPr>
          <w:p>
            <w:pPr>
              <w:spacing w:after="0"/>
              <w:rPr>
                <w:sz w:val="14"/>
                <w:szCs w:val="14"/>
                <w:color w:val="auto"/>
              </w:rPr>
            </w:pP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287,433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29,408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29,408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Adjustment of noncontrolling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interest to redemption value</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(10,420)</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(10,420)</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10,420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Transition adjustment related to</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adoption of ASU 2018-02</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(2,707)</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income,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net of income taxes</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(504)</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(46,076)</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(46,412)</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options surrendered</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(3,825)</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(3,824)</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expense</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BALANCE, March 31, 2019</w:t>
            </w: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514</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899,164</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(15,687)</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(412,905)</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(30,622)</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440,464</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291,115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ind w:left="120"/>
              <w:spacing w:after="0" w:line="143"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49,383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49,383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(3,099)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Adjustment of noncontrolling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interest to redemption value</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(10,293)</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(10,293)</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Other comprehensive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of income taxes</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(46,593)</w:t>
            </w:r>
          </w:p>
        </w:tc>
        <w:tc>
          <w:tcPr>
            <w:tcW w:w="8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(46,500)</w:t>
            </w:r>
          </w:p>
        </w:tc>
        <w:tc>
          <w:tcPr>
            <w:tcW w:w="1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Distribution from consolidated</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joint venture to noncontrolling</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partners</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20"/>
              <w:spacing w:after="0"/>
              <w:rPr>
                <w:sz w:val="20"/>
                <w:szCs w:val="20"/>
                <w:color w:val="auto"/>
              </w:rPr>
            </w:pPr>
            <w:r>
              <w:rPr>
                <w:rFonts w:ascii="Arial" w:cs="Arial" w:eastAsia="Arial" w:hAnsi="Arial"/>
                <w:sz w:val="15"/>
                <w:szCs w:val="15"/>
                <w:color w:val="auto"/>
              </w:rPr>
              <w:t>options surrendered</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(63)</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expense</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line="156" w:lineRule="exact"/>
              <w:rPr>
                <w:sz w:val="20"/>
                <w:szCs w:val="20"/>
                <w:color w:val="auto"/>
              </w:rPr>
            </w:pPr>
            <w:r>
              <w:rPr>
                <w:rFonts w:ascii="Arial" w:cs="Arial" w:eastAsia="Arial" w:hAnsi="Arial"/>
                <w:sz w:val="15"/>
                <w:szCs w:val="15"/>
                <w:color w:val="auto"/>
              </w:rPr>
              <w:t>BALANCE, June 30, 2019</w:t>
            </w: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514</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901,129</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(15,687)</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(420,408)</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(30,524)</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435,024</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287,718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560"/>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2013, Ryman Hospitality Properties, Inc. (“Ryman”) and its subsidiaries (collectively with Ryman,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began operating as a real estate investment trust (“REIT”) for federal income tax purposes, specializing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group-oriented, destination hotel assets in urban and resort markets. The Company’s owned assets include a network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upscale, meetings-focused resorts that are managed by Marriott International, Inc. (“Marriott”) under the Gaylord Hotels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brand. These resorts, which the Company refers to as the Gaylord Hotels properties, consist of the Gaylord Opryland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Resort &amp; Convention Center in Nashville, Tennessee (“Gaylord Opryland”), the Gaylord Palms Resort &amp; Convention Center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near Orlando, Florida (“Gaylord Palms”), the Gaylord Texan Resort &amp; Convention Center near Dallas, Texas (“Gaylord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Texan”) and the Gaylord National Resort &amp; Convention Center near Washington D.C. (“Gaylord National”).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owned hotel assets managed by Marriott include the Inn at Opryland, an overflow hotel adjacent to Gaylord Opryland,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AC Hotel at National Harbor, Washington D.C. (“AC Hotel”), an overflow hotel adjacent to Gaylord National.</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June 30, 2019, the Company also owns a 61.2% interest in a joint venture (the “Gaylord Rockies joint venture”) that owns the Gaylord Rockies Resort &amp; Convention Center near Denver, Colorado (“Gaylord Rockies”), which opened in December 2018 and is managed by Marriott. As further discussed in the Company’s Annual Report on Form 10-K for the year ended December 31, 2018, management has concluded that the Company is the primary beneficiary of this variable interest entity. As such, the Company has consolidated the assets, liabilities and results of operations of the Gaylord Rockies joint venture in the accompanying condensed consolidated financial statements. The portion of the Gaylord Rockies joint venture that the Company does not own is recorded as noncontrolling interest in consolidated joint venture in the accompanying condensed consolidated balance sheet, and any adjustment necessary to reflect the noncontrolling interest at its redemption value is shown in the accompanying condensed consolidated statement of stockholders’ equity. Creditors of the Gaylord Rockies joint venture have no recourse to the general credit of the Company, except with respect to certain limited loan guarantees as discussed in Note 13, “Commitments and Contingencies” and Note 17, “Subsequent Events,” to the condensed consolidated financial statements included herein.</w:t>
      </w:r>
    </w:p>
    <w:p>
      <w:pPr>
        <w:spacing w:after="0" w:line="1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with a flagship location in Nashville that opened in May 2018; and three Nashville-based assets managed by Marriott – Gaylord Springs Golf Links, the Wildhorse Saloon, and the General Jackson Showboat.</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2018.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Issued Accounting Standards</w:t>
      </w:r>
    </w:p>
    <w:p>
      <w:pPr>
        <w:spacing w:after="0" w:line="19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that requires lessees to record most leases on their balance sheet but recognize expenses on their</w:t>
      </w:r>
    </w:p>
    <w:p>
      <w:pPr>
        <w:sectPr>
          <w:pgSz w:w="11900" w:h="16838" w:orient="portrait"/>
          <w:cols w:equalWidth="0" w:num="1">
            <w:col w:w="9040"/>
          </w:cols>
          <w:pgMar w:left="1420" w:top="517" w:right="14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income statements in a manner similar to previous accounting. The ASU also eliminates the required use of bright-line tests for determining lease classification. The Company adopted this standard as of January 1, 2019 using the modified retrospective approach. Existing leases were recorded at the adoption date and comparative periods were not restated and are presented based on previously existing guidance. The Company also adopted several practical expedients, which allowed the Company to avoid reassessing (i) whether an expired or existing contract meets the definition of a lease; (ii) the lease classification at the adoption date for existing leases; and (iii) whether costs previously capitalized as initial direct costs would continue to be amortized. In addition, the Company elected to adopt a practical expedient that allows the Company to avoid reassessing existing or expired land easements that were not previously accounted for as a lease, as well as a practical expedient that allows the Company to avoid separating nonlease components from lease components and instead to account for each separate lease component and related nonlease component as a single lease component. As permitted, the Company has elected to not apply the recognition requirements of this ASU to short-term leases. Adoption of the new standard resulted in the recording of right-of-use assets and lease liabilities of $100.9 million as of January 1, 2019. However, after consideration of the Company’s previous straight-line lease liability of $100.1 million, as discussed more fully in the Company’s 2018 Annual Report on Form 10-K, the Company recorded $0.8 million in net right-of-use assets related to its operating leases as of January 1, 2019, which are recorded in prepaid expenses and other assets in the accompanying condensed consolidated financial statements. See Note 5, “Property and Equipment,” and Note 9, “Leases,” to the condensed consolidated financial statements included herein for additional disclosures regarding the Company’s leases.</w:t>
      </w:r>
    </w:p>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 – Credit Losses –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on Financial Instruments</w:t>
      </w:r>
      <w:r>
        <w:rPr>
          <w:rFonts w:ascii="Arial" w:cs="Arial" w:eastAsia="Arial" w:hAnsi="Arial"/>
          <w:sz w:val="16"/>
          <w:szCs w:val="16"/>
          <w:color w:val="auto"/>
        </w:rPr>
        <w:t>,” which will change how entities measure credit losses for most financial assets and certain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An entity will apply these amendments with a modified-retrospective approach, with a cumulative-effect adjustment to retained earnings as of the beginning of the period of adoption. For debt securities for which an other-than-temporary impairment has been previously recognized, a prospective transition approach is required. The ASU is effective for the Company in the first quarter of 2020. The Company is currently evaluating the effects of this ASU on its financial statements, and such effects have not yet been determined.</w:t>
      </w:r>
    </w:p>
    <w:p>
      <w:pPr>
        <w:spacing w:after="0" w:line="1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which gives entities the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reclassify to retained earnings tax effects related to items that have been stranded in accumulated other comprehensive income as a result of the Tax Cuts and Jobs Act (“TCJA”). An entity that elects to reclassify these amounts must reclassify stranded tax effects related to the TCJA’s change in US federal tax rate for all items accounted for in other comprehensive income. These entities can also elect to reclassify other stranded effects that relate to the TCJA but do not directly relate to the change in the federal tax rate. The Company adopted this ASU in the first quarter of 2019, and the Company recorded a transition adjustment of $2.7 million, which is reflected as a reclassification from accumulated other comprehensive loss to accumulated deficit in the accompanying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w:t>
      </w:r>
    </w:p>
    <w:p>
      <w:pPr>
        <w:sectPr>
          <w:pgSz w:w="11900" w:h="16838" w:orient="portrait"/>
          <w:cols w:equalWidth="0" w:num="1">
            <w:col w:w="9040"/>
          </w:cols>
          <w:pgMar w:left="1420" w:top="517" w:right="14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319"/>
        <w:spacing w:after="0" w:line="312" w:lineRule="auto"/>
        <w:rPr>
          <w:sz w:val="20"/>
          <w:szCs w:val="20"/>
          <w:color w:val="auto"/>
        </w:rPr>
      </w:pPr>
      <w:r>
        <w:rPr>
          <w:rFonts w:ascii="Arial" w:cs="Arial" w:eastAsia="Arial" w:hAnsi="Arial"/>
          <w:sz w:val="16"/>
          <w:szCs w:val="16"/>
          <w:color w:val="auto"/>
        </w:rPr>
        <w:t>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6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$ 106,068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$ 208,760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172,546</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Hotel transient rooms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38,636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68,156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56,763</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197,987</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94,456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76,005</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53,566</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21,960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35,583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32,067</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18,385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14,976</w:t>
            </w:r>
          </w:p>
        </w:tc>
      </w:tr>
      <w:tr>
        <w:trPr>
          <w:trHeight w:val="21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$ 407,719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333,934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$ 778,494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622,304</w:t>
            </w:r>
          </w:p>
        </w:tc>
      </w:tr>
      <w:tr>
        <w:trPr>
          <w:trHeight w:val="20"/>
        </w:trPr>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76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$ 187,945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177,660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Gaylord Palms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50,274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107,273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108,170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116,968</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Gaylord National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143,758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140,443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AC Hotel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5,882</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 and other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Total Hospitality segment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357,129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291,756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$ 694,639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556,867</w:t>
            </w: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Company’s Entertainment segment revenues are concentrated in Nashville, Tennessee.</w:t>
      </w:r>
    </w:p>
    <w:p>
      <w:pPr>
        <w:spacing w:after="0" w:line="198" w:lineRule="exact"/>
        <w:rPr>
          <w:sz w:val="20"/>
          <w:szCs w:val="20"/>
          <w:color w:val="auto"/>
        </w:rPr>
      </w:pPr>
    </w:p>
    <w:p>
      <w:pPr>
        <w:ind w:right="7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June 30, 2019 and December 31, 2018, the Company had $77.1 million and $69.3 million, respectively, in deferred revenues, which are included in accounts payable and accrued liabilities in the accompanying condensed consolidated balance sheets. Of the amount outstanding at December 31, 2018, approximately $47.6 million was recognized in revenue during the six months ended June 30,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6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38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51,440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51,303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51,395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51,259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51,826</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51,476</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51,830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51,459</w:t>
            </w:r>
          </w:p>
        </w:tc>
      </w:tr>
      <w:tr>
        <w:trPr>
          <w:trHeight w:val="20"/>
        </w:trPr>
        <w:tc>
          <w:tcPr>
            <w:tcW w:w="4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9"/>
        <w:spacing w:after="0" w:line="342" w:lineRule="auto"/>
        <w:rPr>
          <w:sz w:val="20"/>
          <w:szCs w:val="20"/>
          <w:color w:val="auto"/>
        </w:rPr>
      </w:pPr>
      <w:r>
        <w:rPr>
          <w:rFonts w:ascii="Arial" w:cs="Arial" w:eastAsia="Arial" w:hAnsi="Arial"/>
          <w:sz w:val="16"/>
          <w:szCs w:val="16"/>
          <w:color w:val="auto"/>
        </w:rPr>
        <w:t>As more fully discussed in Note 13, “Commitments and Contingencies,” to the condensed consolidated financial statements included herein, certain affiliates of Ares Management, L.P. (“Ares”) have a put right to require the Company</w:t>
      </w:r>
    </w:p>
    <w:p>
      <w:pPr>
        <w:sectPr>
          <w:pgSz w:w="11900" w:h="16838" w:orient="portrait"/>
          <w:cols w:equalWidth="0" w:num="1">
            <w:col w:w="9039"/>
          </w:cols>
          <w:pgMar w:left="1420" w:top="517" w:right="1440" w:bottom="144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purchase their joint venture interests in the Gaylord Rockies joint venture in consideration of cash or operating partnership units (“OP Units”) of RHP Hotel Properties, LP (the “Operating Partnership”). Any OP Units issued by the Operating Partnership to the certain affiliates of Ares will be redeemable at the option of the holders thereof for shares of the Company’s common stock on a one-for-one basis, subject to certain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balance in accumulated other comprehensive loss is comprised of amounts related to the Company’s minimum pension liability and amounts related to an other-than-temporary impairment of a held-to-maturity investment with respect to the notes receivable discussed in Note 6, “Notes Receivable,” to the condensed consolidated financial statements included herein, and Note 3, “Notes Receivable,” to the consolidated financial statements included in the Company’s Annual Report on Form 10-K for the year ended December 31, 2018. Changes in accumulated other comprehensive loss by component for the six months ended June 30, 2019 and 2018 consisted of the following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rPr>
              <w:t>Minimum</w:t>
            </w:r>
          </w:p>
        </w:tc>
        <w:tc>
          <w:tcPr>
            <w:tcW w:w="1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Temporary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other comprehensive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Transition adjustment related to adoption of ASU 2018-02 (see Note 1)</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Arial" w:cs="Arial" w:eastAsia="Arial" w:hAnsi="Arial"/>
                <w:sz w:val="18"/>
                <w:szCs w:val="18"/>
                <w:color w:val="auto"/>
              </w:rPr>
              <w:t>Balance, June 30, 2019</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rPr>
              <w:t>Minimum</w:t>
            </w:r>
          </w:p>
        </w:tc>
        <w:tc>
          <w:tcPr>
            <w:tcW w:w="1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Temporary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other comprehensive income (loss)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Property and equipment, including right-of-use finance lease assets, at June 30, 2019 and December 31, 2018 is recorded at cost (except for right-of-use finance lease assets) and summarized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74"/>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Buildings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3,416,455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3,379,041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4,757,918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4,688,518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Accumulated depreciation and amortization</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(1,623,712)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(1,539,423)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ind w:left="920"/>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3,134,206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3,149,095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40" w:type="dxa"/>
            <w:vAlign w:val="bottom"/>
            <w:vMerge w:val="restart"/>
          </w:tcPr>
          <w:p>
            <w:pPr>
              <w:jc w:val="right"/>
              <w:ind w:right="12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further discussed in the Company’s Annual Report on Form 10-K for the year ended December 31, 2018, in connection with the development of Gaylord National, the Company is currently holding two issuances of governmental bonds with a total carrying value of $113.3 million and $111.0 million at June 30, 2019 and December 31, 2018, respectively.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2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During the three months ended June 30, 2019 and 2018, the Company recorded interest income of $2.6 million and $2.7 million, respectively, on these bonds. During the six months ended June 30, 2019 and 2018, the Company recorded interest income of $5.1 million and $5.3 million, respectively, on these bonds. The Company received payments of $3.0 million and $3.1 million during the six months ended June 30, 2019 and 2018, respectively, relating to these bonds.</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further discussed in the Company’s Annual Report on Form 10-K for the year ended December 31, 2018, in connection with the development of certain infrastructure adjacent to Gaylord Rockies, at December 31, 2018, the Gaylord Rockies joint venture was holding two issuances of governmental bonds with a carrying value of $11.2 million, including interest. The debt service and principal payments on such bonds were payable from tax increments and special hotel rental taxes generated from the surrounding development through the maturity dates of December 1, 2030 and December 1, 2040, respectively. In April 2019, these bonds were redeemed by the issuer, and the joint venture received the outstanding principal and interest, which resulted in no impact to the Company’s condensed consolidated statement of operations for the six months ended June 30,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debt and finance lease obligations at June 30, 2019 and December 31, 2018 consisted of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182"/>
        </w:trPr>
        <w:tc>
          <w:tcPr>
            <w:tcW w:w="20" w:type="dxa"/>
            <w:vAlign w:val="bottom"/>
          </w:tcPr>
          <w:p>
            <w:pPr>
              <w:spacing w:after="0"/>
              <w:rPr>
                <w:sz w:val="15"/>
                <w:szCs w:val="15"/>
                <w:color w:val="auto"/>
              </w:rPr>
            </w:pPr>
          </w:p>
        </w:tc>
        <w:tc>
          <w:tcPr>
            <w:tcW w:w="6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$700M Revolving Credit Facility, interest at LIBOR plus 1.80%, maturing May 23, 2021, less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 of $5,245 and $6,542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523,755</w:t>
            </w:r>
          </w:p>
        </w:tc>
        <w:tc>
          <w:tcPr>
            <w:tcW w:w="1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518,458</w:t>
            </w: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$200M Term Loan A, interest at LIBOR plus 1.75%, maturing May 23, 2022, less unamortized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deferred financing costs of $1,048 and $1,220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198,952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198,780</w:t>
            </w: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$500M Term Loan B, interest at LIBOR plus 2.00%, maturing May 11, 2024, less unamortized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of $4,867 and $5,307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485,133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485,943</w:t>
            </w: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7"/>
              </w:rPr>
              <w:t>$350M Senior Notes, interest at 5.0%, maturing April 15, 2021, less unamortized deferred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financing costs of $1,882 and $2,385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348,118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347,615</w:t>
            </w: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$400M Senior Notes, interest at 5.0%, maturing April 15, 2023, less unamortized deferred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of $3,660 and $4,097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396,340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395,903</w:t>
            </w: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8"/>
              </w:rPr>
              <w:t>$500M Construction Loan (Gaylord Rockies joint venture), interest at LIBOR plus 3.25%,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w w:val="94"/>
              </w:rPr>
              <w:t>maturing December 18, 2019, less unamortized deferred financing costs of $903 and $1,807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494,361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457,090</w:t>
            </w: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$39M Mezzanine Loan (Gaylord Rockies joint venture), interest at LIBOR plus 7.00%,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6"/>
              </w:rPr>
              <w:t>maturing December 18, 2019, less unamortized deferred financing costs of $113 and $227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37,488</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2,494,103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2,441,895</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amounts due within one year consist of the amortization payments for the $500 million term loan B of 1.0% of the original principal balance, as described in the Company’s Annual Report on Form 10-K for the year ended December 31, 2018. In July 2019, the Gaylord Rockies joint venture refinanced the $500 million construction loan and $39 million mezzanine loan, as discussed further in Note 17, “Subsequent Events.”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the Company was in compliance with all of its covenants related to its outstanding debt.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202" w:lineRule="exact"/>
        <w:rPr>
          <w:sz w:val="20"/>
          <w:szCs w:val="20"/>
          <w:color w:val="auto"/>
        </w:rPr>
      </w:pPr>
    </w:p>
    <w:p>
      <w:pPr>
        <w:ind w:right="39"/>
        <w:spacing w:after="0" w:line="291" w:lineRule="auto"/>
        <w:rPr>
          <w:sz w:val="20"/>
          <w:szCs w:val="20"/>
          <w:color w:val="auto"/>
        </w:rPr>
      </w:pPr>
      <w:r>
        <w:rPr>
          <w:rFonts w:ascii="Arial" w:cs="Arial" w:eastAsia="Arial" w:hAnsi="Arial"/>
          <w:sz w:val="16"/>
          <w:szCs w:val="16"/>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 line basis over the 65-year term of the hotel management agreements, including extensions, as a reduction in management fee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ind w:right="59"/>
        <w:spacing w:after="0" w:line="255" w:lineRule="auto"/>
        <w:rPr>
          <w:sz w:val="20"/>
          <w:szCs w:val="20"/>
          <w:color w:val="auto"/>
        </w:rPr>
      </w:pPr>
      <w:r>
        <w:rPr>
          <w:rFonts w:ascii="Arial" w:cs="Arial" w:eastAsia="Arial" w:hAnsi="Arial"/>
          <w:sz w:val="18"/>
          <w:szCs w:val="18"/>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one to forty years, at the Company’s discretion. Extension options are not included in the Company’s calculation of its right-of-use assets and lease liabilities.</w:t>
      </w:r>
    </w:p>
    <w:p>
      <w:pPr>
        <w:spacing w:after="0" w:line="193" w:lineRule="exact"/>
        <w:rPr>
          <w:sz w:val="20"/>
          <w:szCs w:val="20"/>
          <w:color w:val="auto"/>
        </w:rPr>
      </w:pPr>
    </w:p>
    <w:p>
      <w:pPr>
        <w:ind w:right="39"/>
        <w:spacing w:after="0" w:line="286" w:lineRule="auto"/>
        <w:rPr>
          <w:sz w:val="20"/>
          <w:szCs w:val="20"/>
          <w:color w:val="auto"/>
        </w:rPr>
      </w:pPr>
      <w:r>
        <w:rPr>
          <w:rFonts w:ascii="Arial" w:cs="Arial" w:eastAsia="Arial" w:hAnsi="Arial"/>
          <w:sz w:val="17"/>
          <w:szCs w:val="17"/>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66" w:lineRule="exact"/>
        <w:rPr>
          <w:sz w:val="20"/>
          <w:szCs w:val="20"/>
          <w:color w:val="auto"/>
        </w:rPr>
      </w:pPr>
    </w:p>
    <w:p>
      <w:pPr>
        <w:ind w:right="79"/>
        <w:spacing w:after="0" w:line="257" w:lineRule="auto"/>
        <w:rPr>
          <w:sz w:val="20"/>
          <w:szCs w:val="20"/>
          <w:color w:val="auto"/>
        </w:rPr>
      </w:pPr>
      <w:r>
        <w:rPr>
          <w:rFonts w:ascii="Arial" w:cs="Arial" w:eastAsia="Arial" w:hAnsi="Arial"/>
          <w:sz w:val="18"/>
          <w:szCs w:val="18"/>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Company’s lease costs for the three months and six months ended June 30, 2019 are as follows (in thousands):</w:t>
      </w:r>
    </w:p>
    <w:p>
      <w:pPr>
        <w:spacing w:after="0" w:line="229"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5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Ended</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Ended</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59"/>
        <w:spacing w:after="0" w:line="277" w:lineRule="auto"/>
        <w:rPr>
          <w:sz w:val="20"/>
          <w:szCs w:val="20"/>
          <w:color w:val="auto"/>
        </w:rPr>
      </w:pPr>
      <w:r>
        <w:rPr>
          <w:rFonts w:ascii="Arial" w:cs="Arial" w:eastAsia="Arial" w:hAnsi="Arial"/>
          <w:sz w:val="18"/>
          <w:szCs w:val="18"/>
          <w:color w:val="auto"/>
        </w:rPr>
        <w:t>Lease expense for operating leases for the three months and six months ended June 30, 2018 was $3.4 million and $6.6 million, respectively.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at June 30, 2019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Year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Year 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577,002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606,235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(501,517)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present value of minimum payments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104,718</w:t>
            </w:r>
          </w:p>
        </w:tc>
        <w:tc>
          <w:tcPr>
            <w:tcW w:w="2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w w:val="92"/>
              </w:rPr>
              <w:t>The remaining lease term and discount rate for the Company’s leases are as follows:</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4"/>
          </w:tcPr>
          <w:p>
            <w:pPr>
              <w:ind w:left="20"/>
              <w:spacing w:after="0"/>
              <w:rPr>
                <w:sz w:val="20"/>
                <w:szCs w:val="20"/>
                <w:color w:val="auto"/>
              </w:rPr>
            </w:pPr>
            <w:r>
              <w:rPr>
                <w:rFonts w:ascii="Arial" w:cs="Arial" w:eastAsia="Arial" w:hAnsi="Arial"/>
                <w:sz w:val="18"/>
                <w:szCs w:val="18"/>
                <w:color w:val="auto"/>
                <w:w w:val="92"/>
              </w:rPr>
              <w:t>51.3 years</w:t>
            </w: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2"/>
              </w:rPr>
              <w:t>10.6 years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6.8 %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gridSpan w:val="3"/>
          </w:tcPr>
          <w:p>
            <w:pPr>
              <w:ind w:left="120"/>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PLANS:</w:t>
      </w:r>
    </w:p>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six months ended June 30, 2019, the Company granted 0.1 million restricted stock units with a weighted-average grant date fair value of $90.05 per unit. There were 0.3 million and 0.4 million restricted stock units outstanding at June 30, 2019 and December 31, 2018, respectively.</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compensation expense that has been charged against pre-tax income for all of the Company’s stock-based compensation plans was $1.9 million and $2.0 million for the three months ended June 30, 2019 and 2018, respectively, and $4.0 million and $3.9 million for the six months ended June 30, 2019 and 2018,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BENEFITS OTHER THAN PENSION PLANS:</w:t>
      </w:r>
    </w:p>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Net periodic pension (income) expense reflected in other gains and (losses), net in the accompanying condensed consolidated statements of operations included the following components for the respective periods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ind w:left="3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(2,172)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ind w:left="920"/>
              <w:spacing w:after="0"/>
              <w:rPr>
                <w:sz w:val="20"/>
                <w:szCs w:val="20"/>
                <w:color w:val="auto"/>
              </w:rPr>
            </w:pPr>
            <w:r>
              <w:rPr>
                <w:rFonts w:ascii="Arial" w:cs="Arial" w:eastAsia="Arial" w:hAnsi="Arial"/>
                <w:sz w:val="18"/>
                <w:szCs w:val="18"/>
                <w:color w:val="auto"/>
                <w:w w:val="94"/>
              </w:rPr>
              <w:t>Total net periodic pension (income) expense</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postretirement benefit income reflected in other gains and (losses), net in the accompanying condensed consolidated statements of operations included the following components for the respective periods (in thousands):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Total net postretirement benefit income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w:t>
      </w:r>
    </w:p>
    <w:p>
      <w:pPr>
        <w:spacing w:after="0" w:line="11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recorded an income tax provision of $8.2 million and $5.7 million for the three months ended June 30, 2019 and 2018, respectively, and $10.2 million and $7.9 million for the six months ended June 30, 2019 and 2018, respectively. These results differ from the statutory rate primarily due to the REIT dividends paid deduction.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and December 31, 2018, the Company had no unrecognized tax benefits.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Gaylord Rockies joint venture agreements, certain affiliates of Ares have a put right to require the Company to purchase their joint venture interests at a defined appraised value during an annual window period, or under certain other circumstances, in consideration of cash or OP Units of the Operating Partnership. Such OP Units have economic terms that are substantially similar to shares of the Company’s common stock. Any OP Units issued by the Operating Partnership to the Ares affiliates will be redeemable at the option of the holders thereof for shares of the Company’s common stock on a one-for-one basis, subject to certain adjustments.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Affiliates of RIDA Development Corporation (“RIDA”) also have a put right at a defined appraised value for cash, which will become exercisable at the earlier of December 31, 2023 or the date on which a certain change of control of RIDA occurs.</w:t>
      </w:r>
    </w:p>
    <w:p>
      <w:pPr>
        <w:spacing w:after="0" w:line="14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connection with its investment in the Gaylord Rockies joint venture, the Company provided a completion guarantee under each of the construction loan and mezzanine loan capped at its pro rata share of all costs necessary to complete the project within the time specified in the Gaylord Rockies joint venture’s loan documents. As of June 30, 2019, the Company had not recorded any liability in the condensed consolidated balance sheet associated with these guarantees. See Note 17, “Subsequent Events,” for further discussion regarding the refinancing completed in July 2019.</w:t>
      </w:r>
    </w:p>
    <w:p>
      <w:pPr>
        <w:spacing w:after="0" w:line="11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April 2019, a subsidiary of the Company entered into a joint venture with Gray Television, Inc. to create and distribute a linear multicast and over-the-top channel dedicated to the country music lifestyle (“New Country Ventures”). The Company acquired a 50% equity interest in this joint venture for an initial capital contribution of $2.0 million. In addition, the joint venture agreement requires the Company to contribute up to an additional $13.0 million through December 31, 2021. The Company accounts for its investment in this joint venture under the equity method of accounting.</w:t>
      </w:r>
    </w:p>
    <w:p>
      <w:pPr>
        <w:spacing w:after="0" w:line="13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89"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On February 26, 2019, the Company’s board of directors declared the Company’s first quarter 2019 cash dividend in the amount of $0.90 per share of common stock, or an aggregate of approximately $46.3 million in cash, which was paid on April 15, 2019 to stockholders of record as of the close of business on March 29, 2019.</w:t>
      </w:r>
    </w:p>
    <w:p>
      <w:pPr>
        <w:spacing w:after="0" w:line="1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On June 18, 2019, the Company’s board of directors declared the Company’s second quarter 2019 cash dividend in the amount of $0.90 per share of common stock, or an aggregate of approximately $46.3 million in cash, which was paid on July 15, 2019 to stockholders of record as of the close of business on June 28,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18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June 30, 2019 and December 31, 2018, the Company held certain assets that are required to be measured at fair value on a recurring basis. These included investments held in conjunction with the Company’s non-qualified contributory deferred compensation plan. These investments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3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had no liabilities required to be measured at fair value at June 30, 2019 and December 31, 2018. The Company’s assets measured at fair value on a recurring basis at June 30, 2019 and December 31, 2018, were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Observable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Identical Assets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8"/>
              </w:rPr>
              <w:t>24,687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00"/>
              <w:spacing w:after="0"/>
              <w:rPr>
                <w:sz w:val="20"/>
                <w:szCs w:val="20"/>
                <w:color w:val="auto"/>
              </w:rPr>
            </w:pPr>
            <w:r>
              <w:rPr>
                <w:rFonts w:ascii="Arial" w:cs="Arial" w:eastAsia="Arial" w:hAnsi="Arial"/>
                <w:sz w:val="18"/>
                <w:szCs w:val="18"/>
                <w:color w:val="auto"/>
                <w:w w:val="98"/>
              </w:rPr>
              <w:t>24,687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the assets and liabilities held by the Company at June 30, 2019 are not required to be recorded at fair value, and the carrying value of these assets and liabilities approximate fair value.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680" w:right="600" w:hanging="320"/>
        <w:spacing w:after="0" w:line="256"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Gaylord Opryland, Gaylord Palms, Gaylord Texan, Gaylord National, the Inn at</w:t>
      </w:r>
      <w:r>
        <w:rPr>
          <w:rFonts w:ascii="Arial" w:cs="Arial" w:eastAsia="Arial" w:hAnsi="Arial"/>
          <w:sz w:val="18"/>
          <w:szCs w:val="18"/>
          <w:i w:val="1"/>
          <w:iCs w:val="1"/>
          <w:color w:val="auto"/>
        </w:rPr>
        <w:t xml:space="preserve"> </w:t>
      </w:r>
      <w:r>
        <w:rPr>
          <w:rFonts w:ascii="Arial" w:cs="Arial" w:eastAsia="Arial" w:hAnsi="Arial"/>
          <w:sz w:val="18"/>
          <w:szCs w:val="18"/>
          <w:color w:val="auto"/>
        </w:rPr>
        <w:t>Opryland, the AC Hotel, and the Company’s investment in the Gaylord Rockies joint venture (which is consolidated below beginning January 1, 2019);</w:t>
      </w:r>
    </w:p>
    <w:p>
      <w:pPr>
        <w:ind w:left="680" w:right="220" w:hanging="320"/>
        <w:spacing w:after="0" w:line="281"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Entertainment</w:t>
      </w:r>
      <w:r>
        <w:rPr>
          <w:rFonts w:ascii="Arial" w:cs="Arial" w:eastAsia="Arial" w:hAnsi="Arial"/>
          <w:sz w:val="16"/>
          <w:szCs w:val="16"/>
          <w:color w:val="auto"/>
        </w:rPr>
        <w:t>, which includes the Grand Ole Opry, the Ryman Auditorium, WSM-AM, Ole Red,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 in New Country Ventures, and the Company’s Nashville-based attractions; and</w:t>
      </w:r>
    </w:p>
    <w:p>
      <w:pPr>
        <w:spacing w:after="0" w:line="1" w:lineRule="exact"/>
        <w:rPr>
          <w:rFonts w:ascii="Arial" w:cs="Arial" w:eastAsia="Arial" w:hAnsi="Arial"/>
          <w:sz w:val="16"/>
          <w:szCs w:val="16"/>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357,129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291,756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694,639</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556,867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Corporate and 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407,719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333,934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778,494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622,304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50,331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27,233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100,464</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Other</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106,562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79,093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76,702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139,447</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131,695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Corporate and 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(17,903)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operating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139,280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(19,625)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(65,579)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(36,354)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Income (loss) from joint ventures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gains and (losses), net</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8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On July 2, 2019, Aurora Convention Center Hotel, LLC and Aurora Convention Center Hotel Lessee, LLC, subsidiaries of the entities comprising the Gaylord Rockies joint venture, entered into a Second Amended and Restated Loan Agreement (the “Gaylord Rockies Loan Agreement”) with Wells Fargo Bank, National Association, as administrative agent, which refinanced the Gaylord Rockies joint venture’s existing $500 million construction loan and $39 million mezzanine loan, which were scheduled to mature in December 2019. The Gaylord Rockies Loan Agreement consists of an $800.0 million secured term loan facility and also includes the option for an additional $80.0 million of borrowing capacity should the Gaylord Rockies joint venture decide to pursue a future expansion of Gaylord Rockies. The Gaylord Rockies Loan Agreement matures July 2, 2023 with three, one-year extension options, subject to certain requirements in the Gaylord Rockies Loan Agreement, and bears interest at LIBOR plus 2.50%. Simultaneous with closing, the Gaylord</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Rockies joint venture entered into an interest rate swap to fix the LIBOR portion of the interest rate at 1.65% for the first three years of the loan. The Company has designated this interest rate swap as an effective cash flow hedge.</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proceeds from the Gaylord Rockies Loan Agreement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The Company received a distribution of approximately $153 million, which was used to repay a portion of the outstanding indebtedness under the Company’s $700 million revolving credit facility.</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Gaylord Rockies Loan Agreement is secured by a deed of trust lien on the Gaylord Rockies real estate and related assets. The Company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Agreement. There is also a completion guarantee in the event the expansion is pursued.</w:t>
      </w:r>
    </w:p>
    <w:p>
      <w:pPr>
        <w:spacing w:after="0" w:line="1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a result of the refinancing, the Gaylord Rockies joint venture expects to write off approximately $1.1 million of deferred financing costs, which will be recorded as interest expense in the condensed consolidated financial statements for the three and nine months ended September 30, 2019.</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prescribed in the September 13, 2018 Purchase Agreement by and among the Company and affiliates of RIDA and Ares, on July 31, 2019, the Company purchased an additional 0.9% interest in the Gaylord Rockies joint venture for a purchase price of $5.5 million, net of closing true-ups. Subsequent to this transaction, the Company now owns 62.1% of the Gaylord Rockies joint venture. The Company does not expect this purchase to have a material impact on the Company’s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INFORMATION CONCERNING GUARANTOR AND NON-GUARANTOR SUBSIDIARIES:</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$350 Million 5% Senior Notes and the $400 Million 5% Senior Notes were each issued by the Operating Partnership and RHP Finance Corporation and are guaranteed on a senior unsecured basis by the Company, each of the Company’s four wholly-owned subsidiaries that own the Gaylord Hotels properties, and certain other of the Company’s subsidiaries, each of which guarantees the Operating Partnership’s Fifth Amended and Restated Credit Agreement, as amended (such subsidiary guarantors, together with the Company, the “Guarantors”). The subsidiary Guarantors are 100% owned, and the guarantees are full and unconditional and joint and several. Not all of the Company’s subsidiaries have guaranteed the Company’s $350 Million 5% Senior Notes and the $400 Million 5% Senior Notes.</w:t>
      </w:r>
    </w:p>
    <w:p>
      <w:pPr>
        <w:spacing w:after="0" w:line="1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June 30,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Guarantor</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1,633,805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1,500,401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3,134,206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65,252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income tax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7"/>
              </w:rPr>
              <w:t>Prepaid expenses and 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2,009,211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(2,009,211)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1,080,405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2,950,457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710,065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1,893,053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(6,633,980)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1,080,435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2,966,043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4,352,685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4,124,857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(8,672,103)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3,851,917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2"/>
              </w:rPr>
              <w:t>Debt and capital lease 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1,952,297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2,494,103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234,341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proceeds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176,879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(2,009,211)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4"/>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joint venture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2,895,842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2,662,431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(5,967,019)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1,347,386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4,243,229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2,386,295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(6,633,980)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00" w:type="dxa"/>
            <w:vAlign w:val="bottom"/>
          </w:tcPr>
          <w:p>
            <w:pPr>
              <w:ind w:left="420"/>
              <w:spacing w:after="0" w:line="182" w:lineRule="exact"/>
              <w:rPr>
                <w:sz w:val="20"/>
                <w:szCs w:val="20"/>
                <w:color w:val="auto"/>
              </w:rPr>
            </w:pPr>
            <w:r>
              <w:rPr>
                <w:rFonts w:ascii="Arial" w:cs="Arial" w:eastAsia="Arial" w:hAnsi="Arial"/>
                <w:sz w:val="18"/>
                <w:szCs w:val="18"/>
                <w:color w:val="auto"/>
              </w:rPr>
              <w:t>Total liabilities and</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1,080,435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2,966,043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4,352,685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4,124,857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(8,672,103)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3,851,917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2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December 31,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Guarantor</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1,646,946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1,502,149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3,149,095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income tax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7"/>
              </w:rPr>
              <w:t>Prepaid expenses and 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1,895,086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(1,895,086)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1,101,740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2,950,457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710,516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1,898,756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(6,661,469)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1,101,821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2,951,148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4,252,158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4,106,565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(8,557,809)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2"/>
              </w:rPr>
              <w:t>Debt and capital lease 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1,946,699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2,441,895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255,089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proceeds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587,175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846,478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(1,895,086)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consolidated joint venture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287,433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900,795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2,895,842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2,668,134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(6,063,098)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1,248,994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(270,084)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(624,006)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4,144,837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2,372,413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(6,661,469)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0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Total liabilities and</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1,101,821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2,951,148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4,252,158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4,106,565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(8,557,809)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2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June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Rooms</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144,704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173,030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81,066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(95,290)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81,066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422,492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407,719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12,245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170,159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Total hotel operating expenses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12,245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307,337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31,677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385,060</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322,403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49,389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(25,105)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49,389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subsidiaries’ earnings,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47,360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46,284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(25,105)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49,381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100"/>
              <w:spacing w:after="0"/>
              <w:rPr>
                <w:sz w:val="20"/>
                <w:szCs w:val="20"/>
                <w:color w:val="auto"/>
              </w:rPr>
            </w:pPr>
            <w:r>
              <w:rPr>
                <w:rFonts w:ascii="Arial" w:cs="Arial" w:eastAsia="Arial" w:hAnsi="Arial"/>
                <w:sz w:val="18"/>
                <w:szCs w:val="18"/>
                <w:color w:val="auto"/>
                <w:w w:val="94"/>
              </w:rPr>
              <w:t>Comprehensive income (loss), net of taxes</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46,382</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(25,105)</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49,381</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23,182</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(47,458)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46,382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00"/>
              <w:spacing w:after="0" w:line="156" w:lineRule="exact"/>
              <w:rPr>
                <w:sz w:val="20"/>
                <w:szCs w:val="20"/>
                <w:color w:val="auto"/>
              </w:rPr>
            </w:pPr>
            <w:r>
              <w:rPr>
                <w:rFonts w:ascii="Arial" w:cs="Arial" w:eastAsia="Arial" w:hAnsi="Arial"/>
                <w:sz w:val="18"/>
                <w:szCs w:val="18"/>
                <w:color w:val="auto"/>
              </w:rPr>
              <w:t>Net income (loss) available to common</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49,383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(25,105)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49,381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23,084</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(47,360)</w:t>
            </w:r>
          </w:p>
        </w:tc>
        <w:tc>
          <w:tcPr>
            <w:tcW w:w="14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shareholders</w:t>
            </w:r>
          </w:p>
        </w:tc>
        <w:tc>
          <w:tcPr>
            <w:tcW w:w="28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ind w:left="100"/>
              <w:spacing w:after="0" w:line="195" w:lineRule="exact"/>
              <w:rPr>
                <w:sz w:val="20"/>
                <w:szCs w:val="20"/>
                <w:color w:val="auto"/>
              </w:rPr>
            </w:pPr>
            <w:r>
              <w:rPr>
                <w:rFonts w:ascii="Arial" w:cs="Arial" w:eastAsia="Arial" w:hAnsi="Arial"/>
                <w:sz w:val="18"/>
                <w:szCs w:val="18"/>
                <w:color w:val="auto"/>
                <w:w w:val="93"/>
              </w:rPr>
              <w:t>Comprehensive income (loss), net of taxes,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49,481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5"/>
              </w:rPr>
              <w:t>(25,105)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49,381</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23,182</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(47,458)</w:t>
            </w:r>
          </w:p>
        </w:tc>
        <w:tc>
          <w:tcPr>
            <w:tcW w:w="140" w:type="dxa"/>
            <w:vAlign w:val="bottom"/>
          </w:tcPr>
          <w:p>
            <w:pPr>
              <w:spacing w:after="0"/>
              <w:rPr>
                <w:sz w:val="13"/>
                <w:szCs w:val="13"/>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49,481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available to common shareholders</w:t>
            </w:r>
          </w:p>
        </w:tc>
        <w:tc>
          <w:tcPr>
            <w:tcW w:w="28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Rooms</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121,745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76,773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76,773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338,352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Rooms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11,050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142,341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(76,658)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Total hotel operating expenses</w:t>
            </w: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11,050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253,429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28,395</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307,110</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(2,557)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48,378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(19,618)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from joint ventures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(2,557)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(19,982)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48,378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35,383</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subsidiaries’ earnings, net</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58,103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55,546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(19,982)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47,929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tcPr>
          <w:p>
            <w:pPr>
              <w:ind w:left="100"/>
              <w:spacing w:after="0"/>
              <w:rPr>
                <w:sz w:val="20"/>
                <w:szCs w:val="20"/>
                <w:color w:val="auto"/>
              </w:rPr>
            </w:pPr>
            <w:r>
              <w:rPr>
                <w:rFonts w:ascii="Arial" w:cs="Arial" w:eastAsia="Arial" w:hAnsi="Arial"/>
                <w:sz w:val="18"/>
                <w:szCs w:val="18"/>
                <w:color w:val="auto"/>
              </w:rPr>
              <w:t>Comprehensive income (loss)</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55,630</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(19,982)</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47,929</w:t>
            </w: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30,240</w:t>
            </w: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(58,187)</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Six Months Ended June 30,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Guarantors</w:t>
            </w: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276,916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276,916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344,173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344,173</w:t>
            </w: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161,476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102,043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(189,969)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73,550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83,855</w:t>
            </w:r>
          </w:p>
        </w:tc>
        <w:tc>
          <w:tcPr>
            <w:tcW w:w="0" w:type="dxa"/>
            <w:vAlign w:val="bottom"/>
          </w:tcPr>
          <w:p>
            <w:pPr>
              <w:spacing w:after="0"/>
              <w:rPr>
                <w:sz w:val="1"/>
                <w:szCs w:val="1"/>
                <w:color w:val="auto"/>
              </w:rPr>
            </w:pPr>
          </w:p>
        </w:tc>
      </w:tr>
      <w:tr>
        <w:trPr>
          <w:trHeight w:val="210"/>
        </w:trPr>
        <w:tc>
          <w:tcPr>
            <w:tcW w:w="35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161,476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808,060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(191,042)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778,494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71,068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182,039</w:t>
            </w: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340,141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(182,972)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181,466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0" w:type="dxa"/>
            <w:vAlign w:val="bottom"/>
          </w:tcPr>
          <w:p>
            <w:pPr>
              <w:spacing w:after="0"/>
              <w:rPr>
                <w:sz w:val="1"/>
                <w:szCs w:val="1"/>
                <w:color w:val="auto"/>
              </w:rPr>
            </w:pPr>
          </w:p>
        </w:tc>
      </w:tr>
      <w:tr>
        <w:trPr>
          <w:trHeight w:val="210"/>
        </w:trPr>
        <w:tc>
          <w:tcPr>
            <w:tcW w:w="352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613,403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(182,972)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454,728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58,700</w:t>
            </w: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(8,017)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106,562</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764,202</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(191,042)</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639,214</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139,280</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(48,665)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(17,341)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(65,579)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(2,136)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(49,387)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98,438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32,245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79,160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(10,160)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71,090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(71,090)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(49,387)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68,954</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120"/>
              <w:spacing w:after="0"/>
              <w:rPr>
                <w:sz w:val="20"/>
                <w:szCs w:val="20"/>
                <w:color w:val="auto"/>
              </w:rPr>
            </w:pPr>
            <w:r>
              <w:rPr>
                <w:rFonts w:ascii="Arial" w:cs="Arial" w:eastAsia="Arial" w:hAnsi="Arial"/>
                <w:sz w:val="18"/>
                <w:szCs w:val="18"/>
                <w:color w:val="auto"/>
                <w:w w:val="99"/>
              </w:rPr>
              <w:t>Comprehensive income (loss), net of taxes</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69,161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(49,387)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98,392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22,292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(71,297)</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69,161</w:t>
            </w:r>
          </w:p>
        </w:tc>
        <w:tc>
          <w:tcPr>
            <w:tcW w:w="0" w:type="dxa"/>
            <w:vAlign w:val="bottom"/>
          </w:tcPr>
          <w:p>
            <w:pPr>
              <w:spacing w:after="0"/>
              <w:rPr>
                <w:sz w:val="1"/>
                <w:szCs w:val="1"/>
                <w:color w:val="auto"/>
              </w:rPr>
            </w:pPr>
          </w:p>
        </w:tc>
      </w:tr>
      <w:tr>
        <w:trPr>
          <w:trHeight w:val="155"/>
        </w:trPr>
        <w:tc>
          <w:tcPr>
            <w:tcW w:w="3520" w:type="dxa"/>
            <w:vAlign w:val="bottom"/>
            <w:shd w:val="clear" w:color="auto" w:fill="CCEEFF"/>
          </w:tcPr>
          <w:p>
            <w:pPr>
              <w:ind w:left="120"/>
              <w:spacing w:after="0" w:line="156" w:lineRule="exact"/>
              <w:rPr>
                <w:sz w:val="20"/>
                <w:szCs w:val="20"/>
                <w:color w:val="auto"/>
              </w:rPr>
            </w:pPr>
            <w:r>
              <w:rPr>
                <w:rFonts w:ascii="Arial" w:cs="Arial" w:eastAsia="Arial" w:hAnsi="Arial"/>
                <w:sz w:val="18"/>
                <w:szCs w:val="18"/>
                <w:color w:val="auto"/>
              </w:rPr>
              <w:t>Net income (loss) available to common</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78,791</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2"/>
              </w:rPr>
              <w:t>(49,387)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98,392</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(71,090)</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shareholders</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120"/>
              <w:spacing w:after="0" w:line="195" w:lineRule="exact"/>
              <w:rPr>
                <w:sz w:val="20"/>
                <w:szCs w:val="20"/>
                <w:color w:val="auto"/>
              </w:rPr>
            </w:pPr>
            <w:r>
              <w:rPr>
                <w:rFonts w:ascii="Arial" w:cs="Arial" w:eastAsia="Arial" w:hAnsi="Arial"/>
                <w:sz w:val="18"/>
                <w:szCs w:val="18"/>
                <w:color w:val="auto"/>
                <w:w w:val="97"/>
              </w:rPr>
              <w:t>Comprehensive income (loss), net of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20" w:type="dxa"/>
            <w:vAlign w:val="bottom"/>
            <w:vMerge w:val="continue"/>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78,998</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2"/>
              </w:rPr>
              <w:t>(49,387)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98,392</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22,292</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(71,297)</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78,998</w:t>
            </w:r>
          </w:p>
        </w:tc>
        <w:tc>
          <w:tcPr>
            <w:tcW w:w="0" w:type="dxa"/>
            <w:vAlign w:val="bottom"/>
          </w:tcPr>
          <w:p>
            <w:pPr>
              <w:spacing w:after="0"/>
              <w:rPr>
                <w:sz w:val="1"/>
                <w:szCs w:val="1"/>
                <w:color w:val="auto"/>
              </w:rPr>
            </w:pPr>
          </w:p>
        </w:tc>
      </w:tr>
      <w:tr>
        <w:trPr>
          <w:trHeight w:val="217"/>
        </w:trPr>
        <w:tc>
          <w:tcPr>
            <w:tcW w:w="3520" w:type="dxa"/>
            <w:vAlign w:val="bottom"/>
          </w:tcPr>
          <w:p>
            <w:pPr>
              <w:ind w:left="120"/>
              <w:spacing w:after="0"/>
              <w:rPr>
                <w:sz w:val="20"/>
                <w:szCs w:val="20"/>
                <w:color w:val="auto"/>
              </w:rPr>
            </w:pPr>
            <w:r>
              <w:rPr>
                <w:rFonts w:ascii="Arial" w:cs="Arial" w:eastAsia="Arial" w:hAnsi="Arial"/>
                <w:sz w:val="18"/>
                <w:szCs w:val="18"/>
                <w:color w:val="auto"/>
              </w:rPr>
              <w:t>available to common shareholders</w:t>
            </w: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Six Months Ended June 30,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Issuer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0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Eliminations</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Guarantors</w:t>
            </w:r>
          </w:p>
        </w:tc>
        <w:tc>
          <w:tcPr>
            <w:tcW w:w="104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229,309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229,309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273,992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273,992</w:t>
            </w: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153,016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(162,064)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53,566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10"/>
        </w:trPr>
        <w:tc>
          <w:tcPr>
            <w:tcW w:w="34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153,016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631,376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(162,088)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622,304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58,987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144,372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144,372</w:t>
            </w: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282,528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(152,790)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152,615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10"/>
        </w:trPr>
        <w:tc>
          <w:tcPr>
            <w:tcW w:w="348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501,652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(152,790)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371,739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49,620</w:t>
            </w: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(9,274)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58,661</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57,078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598,711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(162,088)</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499,661</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122,643</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(36,341)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(36,354)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(5,235)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(37,066)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95,938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88,120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(88,120)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82,885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82,885</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83,047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(37,066)</w:t>
            </w: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95,854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29,494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(88,282)</w:t>
            </w:r>
          </w:p>
        </w:tc>
        <w:tc>
          <w:tcPr>
            <w:tcW w:w="1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83,047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91"/>
              <w:spacing w:after="0"/>
              <w:rPr>
                <w:sz w:val="20"/>
                <w:szCs w:val="20"/>
                <w:color w:val="auto"/>
              </w:rPr>
            </w:pPr>
            <w:r>
              <w:rPr>
                <w:rFonts w:ascii="Arial" w:cs="Arial" w:eastAsia="Arial" w:hAnsi="Arial"/>
                <w:sz w:val="18"/>
                <w:szCs w:val="18"/>
                <w:color w:val="auto"/>
                <w:w w:val="79"/>
              </w:rPr>
              <w:t>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Six Months Ended June 30,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Issuer</w:t>
            </w:r>
          </w:p>
        </w:tc>
        <w:tc>
          <w:tcPr>
            <w:tcW w:w="1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 operating</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27,228</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(51,262)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10,446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(17,812)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(43,098)</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8"/>
              </w:rPr>
              <w:t>Net borrowings under revolving credit facility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Borrowings under Gaylord Rockies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construction and mezzanine loans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37,653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(90,724)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Distribution from consolidated joint venture to</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partners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(10,591)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97"/>
              </w:rPr>
              <w:t>Payment of tax withholdings for share-based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(94,600)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34,141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Net change in cash, cash equivalents,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18,271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Cash, cash equivalents, and restricted cash,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148,297</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149,089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Pr>
          <w:p>
            <w:pPr>
              <w:spacing w:after="0" w:line="182" w:lineRule="exact"/>
              <w:rPr>
                <w:sz w:val="20"/>
                <w:szCs w:val="20"/>
                <w:color w:val="auto"/>
              </w:rPr>
            </w:pPr>
            <w:r>
              <w:rPr>
                <w:rFonts w:ascii="Arial" w:cs="Arial" w:eastAsia="Arial" w:hAnsi="Arial"/>
                <w:sz w:val="18"/>
                <w:szCs w:val="18"/>
                <w:color w:val="auto"/>
                <w:w w:val="89"/>
              </w:rPr>
              <w:t>Cash, cash equivalents, and restricted cash, end</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2,486</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166,568</w:t>
            </w: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169,094</w:t>
            </w:r>
          </w:p>
        </w:tc>
        <w:tc>
          <w:tcPr>
            <w:tcW w:w="0" w:type="dxa"/>
            <w:vAlign w:val="bottom"/>
          </w:tcPr>
          <w:p>
            <w:pPr>
              <w:spacing w:after="0"/>
              <w:rPr>
                <w:sz w:val="1"/>
                <w:szCs w:val="1"/>
                <w:color w:val="auto"/>
              </w:rPr>
            </w:pPr>
          </w:p>
        </w:tc>
      </w:tr>
      <w:tr>
        <w:trPr>
          <w:trHeight w:val="217"/>
        </w:trPr>
        <w:tc>
          <w:tcPr>
            <w:tcW w:w="3520" w:type="dxa"/>
            <w:vAlign w:val="bottom"/>
            <w:gridSpan w:val="2"/>
          </w:tcPr>
          <w:p>
            <w:pPr>
              <w:spacing w:after="0"/>
              <w:rPr>
                <w:sz w:val="20"/>
                <w:szCs w:val="20"/>
                <w:color w:val="auto"/>
              </w:rPr>
            </w:pPr>
            <w:r>
              <w:rPr>
                <w:rFonts w:ascii="Arial" w:cs="Arial" w:eastAsia="Arial" w:hAnsi="Arial"/>
                <w:sz w:val="18"/>
                <w:szCs w:val="18"/>
                <w:color w:val="auto"/>
              </w:rPr>
              <w:t>of period</w:t>
            </w:r>
          </w:p>
        </w:tc>
        <w:tc>
          <w:tcPr>
            <w:tcW w:w="2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Six Months Ended June 30,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Parent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Arial" w:cs="Arial" w:eastAsia="Arial" w:hAnsi="Arial"/>
                <w:sz w:val="14"/>
                <w:szCs w:val="14"/>
                <w:color w:val="auto"/>
              </w:rPr>
              <w:t>(in thousands)</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96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 operating</w:t>
            </w: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(78,374)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(39,789)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(55,564)</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Purchase of remaining interest in Opry City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Stage</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(3,948)</w:t>
            </w: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(6,886)</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(39,789)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(66,398)</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Net borrowings under revolving credit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facility</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(85,110)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w w:val="96"/>
              </w:rPr>
              <w:t>Payment of tax withholdings for share-based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(88,881)</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78,613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Net change in cash, cash equivalents,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14,973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cash equivalents, and restricted cash,</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77,877</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Arial" w:cs="Arial" w:eastAsia="Arial" w:hAnsi="Arial"/>
                <w:sz w:val="18"/>
                <w:szCs w:val="18"/>
                <w:color w:val="auto"/>
                <w:w w:val="97"/>
              </w:rPr>
              <w:t>Cash, cash equivalents, and restricted cash,</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92,850</w:t>
            </w:r>
          </w:p>
        </w:tc>
        <w:tc>
          <w:tcPr>
            <w:tcW w:w="140" w:type="dxa"/>
            <w:vAlign w:val="bottom"/>
          </w:tcPr>
          <w:p>
            <w:pPr>
              <w:spacing w:after="0"/>
              <w:rPr>
                <w:sz w:val="15"/>
                <w:szCs w:val="15"/>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93,960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end of period</w:t>
            </w: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2018, included in our Annual Report on Form 10-K that was filed with the SEC on February 26,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and maintain REIT status for federal income tax purposes; (ii) the holding of our non-qualifying REIT assets in one or more taxable REIT subsidiaries (“TRSs”); (iii) our announced dividend policy, including the frequency and amount of any dividend we may pay; (iv)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 Marriott International, Inc.’s (“Marriott’s”) ability to effectively manage our hotels and other properties; (vi) 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3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changes in interest rates and those factors described in this Quarterly Report on Form 10-Q and our Annual Report on Form 10-K for the year ended December 31, 2018 or described from time to time in our other reports filed with the SEC.</w:t>
      </w:r>
    </w:p>
    <w:p>
      <w:pPr>
        <w:sectPr>
          <w:pgSz w:w="11900" w:h="16838" w:orient="portrait"/>
          <w:cols w:equalWidth="0" w:num="1">
            <w:col w:w="9040"/>
          </w:cols>
          <w:pgMar w:left="1420" w:top="517" w:right="14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operate as a REIT for federal income tax purposes, specializing in group-oriented, destination hotel assets in urban and resort markets. 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 303-room overflow hotel adjacent to Gaylord Opryland, and the AC Hotel at National Harbor, Washington D.C. (“AC Hotel”), a 192-room overflow hotel adjacent to Gaylord National. At June 30, 2019, we also owned a 61.2% interest in the Gaylord Rockies joint venture that owns Gaylord Rockies, which opened in December 2018 and is also managed by Marriott.</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and three Nashville-based assets managed by Marriott – Gaylord Springs Golf Links, the Wildhorse Saloon, and the General Jackson Showboat.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our Annual Report on Form 10-K for the year ended December 31, 2018 for important information regarding forward-looking statements made in this report and risks and uncertainties we face.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more fully discussed in the Company’s Annual Report on Form 10-K for the year ended December 31, 2018, on December 31, 2018, we completed our purchase of additional interests in the Gaylord Rockies joint venture, increasing our ownership to 61.2%. In addition, as discussed in Note 17, “Subsequent Events,” to the condensed consolidated financial statements included herein, on July 31, 2019, we increased our ownership in the Gaylord Rockies joint venture to 62.1%. Our management has concluded that the Company is the primary beneficiary of this variable interest entity (“VIE”) and the financial position and results of operations of the VIE have been consolidated in the accompanying condensed consolidated financial statements included herein. Gaylord Rockies opened on a limited basis in December 2018 and on a fully operational basis in first quarter 2019 and is managed by Marriott.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SoundWaves at Gaylord Opryland</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2018, we opened the indoor portion of a $90 million investment to create a luxury indoor/outdoor waterpark adjacent to Gaylord Opryland, SoundWaves. The project includes approximately 111,000 square feet of indoor water attractions and activities over three levels and approximately 106,000 square feet of outdoor water amenities. The project includes areas for adults, children and families, as well as dining options and bars. The outdoor portion of the project opened in second quarter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9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recently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Pursuant to our current dividend policy, we plan to continue to pay a quarterly cash dividend to shareholders in an amount equal to an annualized payment of at least 50% of adjusted funds from operations (as defined by us) less maintenance capital expenditures or 100% of REIT taxable income, whichever is greater. On February 26, 2019, our board of directors declared our first quarter 2019 cash dividend in the amount of $0.90 per share of common stock, or an aggregate of approximately $46.3 million in cash, which was paid on April 15, 2019 to stockholders of record as of the close of business on March 29, 2019. On June 18, 2019, our board of directors declared our second quarter 2019 cash dividend in the amount of $0.90 per share of common stock, or an aggregate of approximately $46.3 million in cash, which was paid on July 15, 2019 to stockholders of record as of the close of business on June 28, 2019. We currently plan to pay a quarterly cash dividend of $0.90 per share of common stock in October 2019 and January 2020. The declaration, timing and amount of dividends will be determined by action of our board of directors. Our dividend policy may be altered at any time by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Existing Hotel Property Design</w:t>
      </w:r>
      <w:r>
        <w:rPr>
          <w:rFonts w:ascii="Arial" w:cs="Arial" w:eastAsia="Arial" w:hAnsi="Arial"/>
          <w:sz w:val="18"/>
          <w:szCs w:val="18"/>
          <w:color w:val="auto"/>
        </w:rPr>
        <w:t>. Our Gaylord Hotels properties focus on the large group meetings market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Expansion of Hotel Asset Portfolio</w:t>
      </w:r>
      <w:r>
        <w:rPr>
          <w:rFonts w:ascii="Arial" w:cs="Arial" w:eastAsia="Arial" w:hAnsi="Arial"/>
          <w:sz w:val="17"/>
          <w:szCs w:val="17"/>
          <w:color w:val="auto"/>
        </w:rPr>
        <w:t>. While our short-term capital allocation strategy has focused on returning capital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To this end, we recently increased our investment in the Gaylord Rockies joint venture to 62.1%. As a REIT, we do not view independent, large-scale development of resort and convention hotels as a part of our long-term growth strategy.</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in Nashville, Orlando, Gatlinburg Tennessee, and Tishomingo Oklahoma, named after the Shelton hit “Ol’ Red.”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680" w:right="159" w:hanging="320"/>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w:t>
      </w:r>
    </w:p>
    <w:p>
      <w:pPr>
        <w:spacing w:after="0" w:line="129" w:lineRule="exact"/>
        <w:rPr>
          <w:rFonts w:ascii="Arial" w:cs="Arial" w:eastAsia="Arial" w:hAnsi="Arial"/>
          <w:sz w:val="18"/>
          <w:szCs w:val="18"/>
          <w:color w:val="auto"/>
        </w:rPr>
      </w:pPr>
    </w:p>
    <w:p>
      <w:pPr>
        <w:ind w:left="680" w:right="719" w:hanging="320"/>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New Country Ventures, and our other Nashville-based attractions.</w:t>
      </w:r>
    </w:p>
    <w:p>
      <w:pPr>
        <w:spacing w:after="0" w:line="143" w:lineRule="exact"/>
        <w:rPr>
          <w:rFonts w:ascii="Arial" w:cs="Arial" w:eastAsia="Arial" w:hAnsi="Arial"/>
          <w:sz w:val="18"/>
          <w:szCs w:val="18"/>
          <w:color w:val="auto"/>
        </w:rPr>
      </w:pPr>
    </w:p>
    <w:p>
      <w:pPr>
        <w:ind w:left="680" w:hanging="320"/>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For the three months and six months ended June 30, 2019 and 2018, our total revenues were divided among these business segments as follows: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5"/>
              </w:rPr>
              <w:t>Three Months Ended</w:t>
            </w:r>
          </w:p>
        </w:tc>
        <w:tc>
          <w:tcPr>
            <w:tcW w:w="15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9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4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13 %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0 %</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98"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w:t>
      </w:r>
    </w:p>
    <w:p>
      <w:pPr>
        <w:spacing w:after="0" w:line="146" w:lineRule="exact"/>
        <w:rPr>
          <w:sz w:val="20"/>
          <w:szCs w:val="20"/>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184" w:lineRule="exact"/>
        <w:rPr>
          <w:rFonts w:ascii="Arial" w:cs="Arial" w:eastAsia="Arial" w:hAnsi="Arial"/>
          <w:sz w:val="18"/>
          <w:szCs w:val="18"/>
          <w:color w:val="auto"/>
        </w:rPr>
      </w:pPr>
    </w:p>
    <w:p>
      <w:pPr>
        <w:ind w:left="680" w:hanging="320"/>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21" w:lineRule="exact"/>
        <w:rPr>
          <w:rFonts w:ascii="Arial" w:cs="Arial" w:eastAsia="Arial" w:hAnsi="Arial"/>
          <w:sz w:val="16"/>
          <w:szCs w:val="16"/>
          <w:color w:val="auto"/>
        </w:rPr>
      </w:pPr>
    </w:p>
    <w:p>
      <w:pPr>
        <w:ind w:left="680" w:right="479" w:hanging="320"/>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680" w:right="79" w:hanging="320"/>
        <w:spacing w:after="0" w:line="26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0" w:lineRule="exact"/>
        <w:rPr>
          <w:rFonts w:ascii="Arial" w:cs="Arial" w:eastAsia="Arial" w:hAnsi="Arial"/>
          <w:sz w:val="18"/>
          <w:szCs w:val="18"/>
          <w:color w:val="auto"/>
        </w:rPr>
      </w:pPr>
    </w:p>
    <w:p>
      <w:pPr>
        <w:jc w:val="both"/>
        <w:ind w:left="680" w:right="239" w:hanging="320"/>
        <w:spacing w:after="0" w:line="26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54" w:lineRule="exact"/>
        <w:rPr>
          <w:sz w:val="20"/>
          <w:szCs w:val="20"/>
          <w:color w:val="auto"/>
        </w:rPr>
      </w:pPr>
    </w:p>
    <w:p>
      <w:pPr>
        <w:ind w:right="59"/>
        <w:spacing w:after="0" w:line="288"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Almost all of our Hospitality segment revenues are either cash-based or, for meeting and convention groups who meet our credit criteria, billed and collected on a short-term receivables basis. The hospitality industry is capital</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9" w:name="page30"/>
    <w:bookmarkEnd w:id="2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right="840"/>
        <w:spacing w:after="0" w:line="277" w:lineRule="auto"/>
        <w:rPr>
          <w:sz w:val="20"/>
          <w:szCs w:val="20"/>
          <w:color w:val="auto"/>
        </w:rPr>
      </w:pPr>
      <w:r>
        <w:rPr>
          <w:rFonts w:ascii="Arial" w:cs="Arial" w:eastAsia="Arial" w:hAnsi="Arial"/>
          <w:sz w:val="18"/>
          <w:szCs w:val="18"/>
          <w:color w:val="auto"/>
        </w:rPr>
        <w:t>intensive, and we rely on the ability of our hotels to generate operating cash flow to repay debt financing and fund maintenance capital expenditures.</w:t>
      </w:r>
    </w:p>
    <w:p>
      <w:pPr>
        <w:spacing w:after="0" w:line="143" w:lineRule="exact"/>
        <w:rPr>
          <w:sz w:val="20"/>
          <w:szCs w:val="20"/>
          <w:color w:val="auto"/>
        </w:rPr>
      </w:pPr>
    </w:p>
    <w:p>
      <w:pPr>
        <w:ind w:left="20" w:right="40"/>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85" w:lineRule="exact"/>
        <w:rPr>
          <w:sz w:val="20"/>
          <w:szCs w:val="20"/>
          <w:color w:val="auto"/>
        </w:rPr>
      </w:pPr>
    </w:p>
    <w:p>
      <w:pPr>
        <w:jc w:val="both"/>
        <w:ind w:left="20" w:right="120"/>
        <w:spacing w:after="0" w:line="264" w:lineRule="auto"/>
        <w:rPr>
          <w:sz w:val="20"/>
          <w:szCs w:val="20"/>
          <w:color w:val="auto"/>
        </w:rPr>
      </w:pPr>
      <w:r>
        <w:rPr>
          <w:rFonts w:ascii="Arial" w:cs="Arial" w:eastAsia="Arial" w:hAnsi="Arial"/>
          <w:sz w:val="18"/>
          <w:szCs w:val="18"/>
          <w:color w:val="auto"/>
        </w:rPr>
        <w:t>The following table contains our unaudited selected summary financial data for the three months and six months ended June 30, 2019 and 2018. The table also shows the percentage relationships to total revenues and, in the case of segment operating income, its relationship to segment revenues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Unaudited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Unaudited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center"/>
              <w:ind w:left="224"/>
              <w:spacing w:after="0"/>
              <w:rPr>
                <w:sz w:val="20"/>
                <w:szCs w:val="20"/>
                <w:color w:val="auto"/>
              </w:rPr>
            </w:pPr>
            <w:r>
              <w:rPr>
                <w:rFonts w:ascii="Arial" w:cs="Arial" w:eastAsia="Arial" w:hAnsi="Arial"/>
                <w:sz w:val="14"/>
                <w:szCs w:val="14"/>
                <w:b w:val="1"/>
                <w:bCs w:val="1"/>
                <w:color w:val="auto"/>
                <w:w w:val="93"/>
              </w:rPr>
              <w:t>Three Months Ended 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left="224"/>
              <w:spacing w:after="0"/>
              <w:rPr>
                <w:sz w:val="20"/>
                <w:szCs w:val="20"/>
                <w:color w:val="auto"/>
              </w:rPr>
            </w:pPr>
            <w:r>
              <w:rPr>
                <w:rFonts w:ascii="Arial" w:cs="Arial" w:eastAsia="Arial" w:hAnsi="Arial"/>
                <w:sz w:val="14"/>
                <w:szCs w:val="14"/>
                <w:b w:val="1"/>
                <w:bCs w:val="1"/>
                <w:color w:val="auto"/>
                <w:w w:val="92"/>
              </w:rPr>
              <w:t>Six Months Ended 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gridSpan w:val="2"/>
          </w:tcPr>
          <w:p>
            <w:pPr>
              <w:jc w:val="center"/>
              <w:ind w:left="6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gridSpan w:val="2"/>
          </w:tcPr>
          <w:p>
            <w:pPr>
              <w:jc w:val="center"/>
              <w:ind w:left="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56"/>
        </w:trPr>
        <w:tc>
          <w:tcPr>
            <w:tcW w:w="31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Income Statement Data:</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162"/>
        </w:trPr>
        <w:tc>
          <w:tcPr>
            <w:tcW w:w="3180" w:type="dxa"/>
            <w:vAlign w:val="bottom"/>
            <w:gridSpan w:val="3"/>
          </w:tcPr>
          <w:p>
            <w:pPr>
              <w:spacing w:after="0" w:line="162" w:lineRule="exact"/>
              <w:rPr>
                <w:sz w:val="20"/>
                <w:szCs w:val="20"/>
                <w:color w:val="auto"/>
              </w:rPr>
            </w:pPr>
            <w:r>
              <w:rPr>
                <w:rFonts w:ascii="Arial" w:cs="Arial" w:eastAsia="Arial" w:hAnsi="Arial"/>
                <w:sz w:val="15"/>
                <w:szCs w:val="15"/>
                <w:color w:val="auto"/>
              </w:rPr>
              <w:t>REVENUES: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Rooms</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2"/>
              </w:rPr>
              <w:t>144,704</w:t>
            </w:r>
          </w:p>
        </w:tc>
        <w:tc>
          <w:tcPr>
            <w:tcW w:w="84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5"/>
                <w:szCs w:val="15"/>
                <w:color w:val="auto"/>
              </w:rPr>
              <w:t>35.5 %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121,745</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36.5 %</w:t>
            </w:r>
          </w:p>
        </w:tc>
        <w:tc>
          <w:tcPr>
            <w:tcW w:w="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276,916</w:t>
            </w:r>
          </w:p>
        </w:tc>
        <w:tc>
          <w:tcPr>
            <w:tcW w:w="84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5"/>
                <w:szCs w:val="15"/>
                <w:color w:val="auto"/>
              </w:rPr>
              <w:t>35.6 % $</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2"/>
              </w:rPr>
              <w:t>229,309</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36.8 %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Food and beverage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2"/>
              </w:rPr>
              <w:t>173,030</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42.4 %</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w w:val="95"/>
              </w:rPr>
              <w:t>141,053</w:t>
            </w:r>
          </w:p>
        </w:tc>
        <w:tc>
          <w:tcPr>
            <w:tcW w:w="14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42.2 %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w w:val="95"/>
              </w:rPr>
              <w:t>344,173</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44.2 %</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2"/>
              </w:rPr>
              <w:t>273,992</w:t>
            </w:r>
          </w:p>
        </w:tc>
        <w:tc>
          <w:tcPr>
            <w:tcW w:w="160" w:type="dxa"/>
            <w:vAlign w:val="bottom"/>
          </w:tcPr>
          <w:p>
            <w:pPr>
              <w:spacing w:after="0"/>
              <w:rPr>
                <w:sz w:val="14"/>
                <w:szCs w:val="14"/>
                <w:color w:val="auto"/>
              </w:rPr>
            </w:pP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44.0 %</w:t>
            </w: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Other hotel revenue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39,395</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9.7 %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28,958</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8.7 %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73,550</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9.4 %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53,566</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8.6 %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Entertainment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50,590</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12.4 %</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42,178</w:t>
            </w:r>
          </w:p>
        </w:tc>
        <w:tc>
          <w:tcPr>
            <w:tcW w:w="14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83,855</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10.8 %</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65,437</w:t>
            </w:r>
          </w:p>
        </w:tc>
        <w:tc>
          <w:tcPr>
            <w:tcW w:w="160" w:type="dxa"/>
            <w:vAlign w:val="bottom"/>
          </w:tcPr>
          <w:p>
            <w:pPr>
              <w:spacing w:after="0"/>
              <w:rPr>
                <w:sz w:val="14"/>
                <w:szCs w:val="14"/>
                <w:color w:val="auto"/>
              </w:rPr>
            </w:pP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10.5 %</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CCEEFF"/>
            </w:tcBorders>
            <w:gridSpan w:val="2"/>
            <w:shd w:val="clear" w:color="auto" w:fill="CCEEFF"/>
          </w:tcPr>
          <w:p>
            <w:pPr>
              <w:ind w:left="200"/>
              <w:spacing w:after="0" w:line="156" w:lineRule="exact"/>
              <w:rPr>
                <w:sz w:val="20"/>
                <w:szCs w:val="20"/>
                <w:color w:val="auto"/>
              </w:rPr>
            </w:pPr>
            <w:r>
              <w:rPr>
                <w:rFonts w:ascii="Arial" w:cs="Arial" w:eastAsia="Arial" w:hAnsi="Arial"/>
                <w:sz w:val="15"/>
                <w:szCs w:val="15"/>
                <w:color w:val="auto"/>
              </w:rPr>
              <w:t>Total revenues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407,719</w:t>
            </w:r>
          </w:p>
        </w:tc>
        <w:tc>
          <w:tcPr>
            <w:tcW w:w="1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100.0</w:t>
            </w:r>
          </w:p>
        </w:tc>
        <w:tc>
          <w:tcPr>
            <w:tcW w:w="14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89"/>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333,934</w:t>
            </w: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100.0</w:t>
            </w:r>
          </w:p>
        </w:tc>
        <w:tc>
          <w:tcPr>
            <w:tcW w:w="18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4"/>
              </w:rPr>
              <w:t>%</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778,494</w:t>
            </w: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100.0</w:t>
            </w:r>
          </w:p>
        </w:tc>
        <w:tc>
          <w:tcPr>
            <w:tcW w:w="16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89"/>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622,304</w:t>
            </w: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100.0</w:t>
            </w:r>
          </w:p>
        </w:tc>
        <w:tc>
          <w:tcPr>
            <w:tcW w:w="16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9"/>
              </w:rPr>
              <w:t>%</w:t>
            </w:r>
          </w:p>
        </w:tc>
      </w:tr>
      <w:tr>
        <w:trPr>
          <w:trHeight w:val="156"/>
        </w:trPr>
        <w:tc>
          <w:tcPr>
            <w:tcW w:w="3180" w:type="dxa"/>
            <w:vAlign w:val="bottom"/>
            <w:gridSpan w:val="3"/>
          </w:tcPr>
          <w:p>
            <w:pPr>
              <w:spacing w:after="0" w:line="156" w:lineRule="exact"/>
              <w:rPr>
                <w:sz w:val="20"/>
                <w:szCs w:val="20"/>
                <w:color w:val="auto"/>
              </w:rPr>
            </w:pPr>
            <w:r>
              <w:rPr>
                <w:rFonts w:ascii="Arial" w:cs="Arial" w:eastAsia="Arial" w:hAnsi="Arial"/>
                <w:sz w:val="15"/>
                <w:szCs w:val="15"/>
                <w:color w:val="auto"/>
              </w:rPr>
              <w:t>OPERATING EXPENSES: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Rooms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36,099</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8.9 %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30,059</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9.0 %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71,068</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9.1 %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58,987</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9.5 %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Food and beverage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90,680</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22.2 %</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72,394</w:t>
            </w:r>
          </w:p>
        </w:tc>
        <w:tc>
          <w:tcPr>
            <w:tcW w:w="14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21.7 %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w w:val="95"/>
              </w:rPr>
              <w:t>182,039</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23.4 %</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2"/>
              </w:rPr>
              <w:t>144,372</w:t>
            </w:r>
          </w:p>
        </w:tc>
        <w:tc>
          <w:tcPr>
            <w:tcW w:w="160" w:type="dxa"/>
            <w:vAlign w:val="bottom"/>
          </w:tcPr>
          <w:p>
            <w:pPr>
              <w:spacing w:after="0"/>
              <w:rPr>
                <w:sz w:val="14"/>
                <w:szCs w:val="14"/>
                <w:color w:val="auto"/>
              </w:rPr>
            </w:pP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23.2 %</w:t>
            </w: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Other hotel expenses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90,527</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22.2 %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76,733</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23.0 %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181,466</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23.3 %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2"/>
              </w:rPr>
              <w:t>152,615</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24.5 %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Hotel management fees,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10,399</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2.6 %</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8,635</w:t>
            </w:r>
          </w:p>
        </w:tc>
        <w:tc>
          <w:tcPr>
            <w:tcW w:w="14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20,155</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2.6 %</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15,765</w:t>
            </w:r>
          </w:p>
        </w:tc>
        <w:tc>
          <w:tcPr>
            <w:tcW w:w="160" w:type="dxa"/>
            <w:vAlign w:val="bottom"/>
          </w:tcPr>
          <w:p>
            <w:pPr>
              <w:spacing w:after="0"/>
              <w:rPr>
                <w:sz w:val="14"/>
                <w:szCs w:val="14"/>
                <w:color w:val="auto"/>
              </w:rPr>
            </w:pP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2.5 %</w:t>
            </w: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Entertainment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33,059</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8.1 %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30,254</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9.1 %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58,700</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7.5 %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49,620</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8.0 %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8,110</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2.0 %</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7,640</w:t>
            </w:r>
          </w:p>
        </w:tc>
        <w:tc>
          <w:tcPr>
            <w:tcW w:w="14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17,114</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2.2 %</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15,969</w:t>
            </w:r>
          </w:p>
        </w:tc>
        <w:tc>
          <w:tcPr>
            <w:tcW w:w="160" w:type="dxa"/>
            <w:vAlign w:val="bottom"/>
          </w:tcPr>
          <w:p>
            <w:pPr>
              <w:spacing w:after="0"/>
              <w:rPr>
                <w:sz w:val="14"/>
                <w:szCs w:val="14"/>
                <w:color w:val="auto"/>
              </w:rPr>
            </w:pP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2.6 %</w:t>
            </w: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Preopening costs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1,525</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0.5 %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2,110</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0.3 %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3,672</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0.6 %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Hospitality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50,331</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12.3 %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27,233</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8.2 %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100,464</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12.9 %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53,433</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8.6 %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Entertainment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2,830</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0.7 %</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2,315</w:t>
            </w:r>
          </w:p>
        </w:tc>
        <w:tc>
          <w:tcPr>
            <w:tcW w:w="14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0.7 %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5,309</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0.7 %</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4,272</w:t>
            </w:r>
          </w:p>
        </w:tc>
        <w:tc>
          <w:tcPr>
            <w:tcW w:w="160" w:type="dxa"/>
            <w:vAlign w:val="bottom"/>
          </w:tcPr>
          <w:p>
            <w:pPr>
              <w:spacing w:after="0"/>
              <w:rPr>
                <w:sz w:val="14"/>
                <w:szCs w:val="14"/>
                <w:color w:val="auto"/>
              </w:rPr>
            </w:pP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0.7 %</w:t>
            </w: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Corporate and Other</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392</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0.1 %</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0.1 %</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789</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0.1 %</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956</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0.2 %</w:t>
            </w:r>
          </w:p>
        </w:tc>
      </w:tr>
      <w:tr>
        <w:trPr>
          <w:trHeight w:val="156"/>
        </w:trPr>
        <w:tc>
          <w:tcPr>
            <w:tcW w:w="2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gridSpan w:val="2"/>
          </w:tcPr>
          <w:p>
            <w:pPr>
              <w:ind w:left="300"/>
              <w:spacing w:after="0" w:line="156" w:lineRule="exact"/>
              <w:rPr>
                <w:sz w:val="20"/>
                <w:szCs w:val="20"/>
                <w:color w:val="auto"/>
              </w:rPr>
            </w:pPr>
            <w:r>
              <w:rPr>
                <w:rFonts w:ascii="Arial" w:cs="Arial" w:eastAsia="Arial" w:hAnsi="Arial"/>
                <w:sz w:val="15"/>
                <w:szCs w:val="15"/>
                <w:color w:val="auto"/>
              </w:rPr>
              <w:t>Total depreciation and amortization</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53,553</w:t>
            </w:r>
          </w:p>
        </w:tc>
        <w:tc>
          <w:tcPr>
            <w:tcW w:w="740" w:type="dxa"/>
            <w:vAlign w:val="bottom"/>
            <w:tcBorders>
              <w:bottom w:val="single" w:sz="8" w:color="CCEEFF"/>
            </w:tcBorders>
            <w:gridSpan w:val="3"/>
          </w:tcPr>
          <w:p>
            <w:pPr>
              <w:jc w:val="right"/>
              <w:spacing w:after="0" w:line="156" w:lineRule="exact"/>
              <w:rPr>
                <w:sz w:val="20"/>
                <w:szCs w:val="20"/>
                <w:color w:val="auto"/>
              </w:rPr>
            </w:pPr>
            <w:r>
              <w:rPr>
                <w:rFonts w:ascii="Arial" w:cs="Arial" w:eastAsia="Arial" w:hAnsi="Arial"/>
                <w:sz w:val="15"/>
                <w:szCs w:val="15"/>
                <w:color w:val="auto"/>
              </w:rPr>
              <w:t>13.1 %</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29,995</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gridSpan w:val="2"/>
          </w:tcPr>
          <w:p>
            <w:pPr>
              <w:jc w:val="right"/>
              <w:spacing w:after="0" w:line="156" w:lineRule="exact"/>
              <w:rPr>
                <w:sz w:val="20"/>
                <w:szCs w:val="20"/>
                <w:color w:val="auto"/>
              </w:rPr>
            </w:pPr>
            <w:r>
              <w:rPr>
                <w:rFonts w:ascii="Arial" w:cs="Arial" w:eastAsia="Arial" w:hAnsi="Arial"/>
                <w:sz w:val="15"/>
                <w:szCs w:val="15"/>
                <w:color w:val="auto"/>
              </w:rPr>
              <w:t>9.0 %</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106,562</w:t>
            </w:r>
          </w:p>
        </w:tc>
        <w:tc>
          <w:tcPr>
            <w:tcW w:w="740" w:type="dxa"/>
            <w:vAlign w:val="bottom"/>
            <w:tcBorders>
              <w:bottom w:val="single" w:sz="8" w:color="CCEEFF"/>
            </w:tcBorders>
            <w:gridSpan w:val="3"/>
          </w:tcPr>
          <w:p>
            <w:pPr>
              <w:jc w:val="right"/>
              <w:spacing w:after="0" w:line="156" w:lineRule="exact"/>
              <w:rPr>
                <w:sz w:val="20"/>
                <w:szCs w:val="20"/>
                <w:color w:val="auto"/>
              </w:rPr>
            </w:pPr>
            <w:r>
              <w:rPr>
                <w:rFonts w:ascii="Arial" w:cs="Arial" w:eastAsia="Arial" w:hAnsi="Arial"/>
                <w:sz w:val="15"/>
                <w:szCs w:val="15"/>
                <w:color w:val="auto"/>
              </w:rPr>
              <w:t>13.7 %</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58,661</w:t>
            </w:r>
          </w:p>
        </w:tc>
        <w:tc>
          <w:tcPr>
            <w:tcW w:w="16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gridSpan w:val="2"/>
          </w:tcPr>
          <w:p>
            <w:pPr>
              <w:jc w:val="right"/>
              <w:spacing w:after="0" w:line="156" w:lineRule="exact"/>
              <w:rPr>
                <w:sz w:val="20"/>
                <w:szCs w:val="20"/>
                <w:color w:val="auto"/>
              </w:rPr>
            </w:pPr>
            <w:r>
              <w:rPr>
                <w:rFonts w:ascii="Arial" w:cs="Arial" w:eastAsia="Arial" w:hAnsi="Arial"/>
                <w:sz w:val="15"/>
                <w:szCs w:val="15"/>
                <w:color w:val="auto"/>
              </w:rPr>
              <w:t>9.4 %</w:t>
            </w:r>
          </w:p>
        </w:tc>
      </w:tr>
      <w:tr>
        <w:trPr>
          <w:trHeight w:val="156"/>
        </w:trPr>
        <w:tc>
          <w:tcPr>
            <w:tcW w:w="20" w:type="dxa"/>
            <w:vAlign w:val="bottom"/>
            <w:shd w:val="clear" w:color="auto" w:fill="CCEEFF"/>
          </w:tcPr>
          <w:p>
            <w:pPr>
              <w:spacing w:after="0"/>
              <w:rPr>
                <w:sz w:val="13"/>
                <w:szCs w:val="13"/>
                <w:color w:val="auto"/>
              </w:rPr>
            </w:pPr>
          </w:p>
        </w:tc>
        <w:tc>
          <w:tcPr>
            <w:tcW w:w="3160" w:type="dxa"/>
            <w:vAlign w:val="bottom"/>
            <w:gridSpan w:val="2"/>
            <w:shd w:val="clear" w:color="auto" w:fill="CCEEFF"/>
          </w:tcPr>
          <w:p>
            <w:pPr>
              <w:ind w:left="200"/>
              <w:spacing w:after="0" w:line="156" w:lineRule="exact"/>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322,403</w:t>
            </w:r>
          </w:p>
        </w:tc>
        <w:tc>
          <w:tcPr>
            <w:tcW w:w="74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79.1 %</w:t>
            </w: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257,235</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77.0 %</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639,214</w:t>
            </w:r>
          </w:p>
        </w:tc>
        <w:tc>
          <w:tcPr>
            <w:tcW w:w="74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82.1 %</w:t>
            </w: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499,661</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80.3 %</w:t>
            </w:r>
          </w:p>
        </w:tc>
      </w:tr>
      <w:tr>
        <w:trPr>
          <w:trHeight w:val="156"/>
        </w:trPr>
        <w:tc>
          <w:tcPr>
            <w:tcW w:w="3180" w:type="dxa"/>
            <w:vAlign w:val="bottom"/>
            <w:gridSpan w:val="3"/>
          </w:tcPr>
          <w:p>
            <w:pPr>
              <w:spacing w:after="0" w:line="156" w:lineRule="exact"/>
              <w:rPr>
                <w:sz w:val="20"/>
                <w:szCs w:val="20"/>
                <w:color w:val="auto"/>
              </w:rPr>
            </w:pPr>
            <w:r>
              <w:rPr>
                <w:rFonts w:ascii="Arial" w:cs="Arial" w:eastAsia="Arial" w:hAnsi="Arial"/>
                <w:sz w:val="15"/>
                <w:szCs w:val="15"/>
                <w:color w:val="auto"/>
              </w:rPr>
              <w:t>OPERATING INCOME: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Hospitality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79,093</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22.1 %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76,702</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26.3 %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139,447</w:t>
            </w:r>
          </w:p>
        </w:tc>
        <w:tc>
          <w:tcPr>
            <w:tcW w:w="7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20.1 %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2"/>
              </w:rPr>
              <w:t>131,695</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23.6 %</w:t>
            </w: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Entertainment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14,701</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29.1 %</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9,609</w:t>
            </w:r>
          </w:p>
        </w:tc>
        <w:tc>
          <w:tcPr>
            <w:tcW w:w="14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19,846</w:t>
            </w:r>
          </w:p>
        </w:tc>
        <w:tc>
          <w:tcPr>
            <w:tcW w:w="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23.7 %</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11,545</w:t>
            </w:r>
          </w:p>
        </w:tc>
        <w:tc>
          <w:tcPr>
            <w:tcW w:w="160" w:type="dxa"/>
            <w:vAlign w:val="bottom"/>
          </w:tcPr>
          <w:p>
            <w:pPr>
              <w:spacing w:after="0"/>
              <w:rPr>
                <w:sz w:val="14"/>
                <w:szCs w:val="14"/>
                <w:color w:val="auto"/>
              </w:rPr>
            </w:pP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17.6 %</w:t>
            </w: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Corporate and Other</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(8,502)</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03"/>
              <w:spacing w:after="0" w:line="162" w:lineRule="exact"/>
              <w:rPr>
                <w:sz w:val="20"/>
                <w:szCs w:val="20"/>
                <w:color w:val="auto"/>
              </w:rPr>
            </w:pPr>
            <w:r>
              <w:rPr>
                <w:rFonts w:ascii="Arial" w:cs="Arial" w:eastAsia="Arial" w:hAnsi="Arial"/>
                <w:sz w:val="15"/>
                <w:szCs w:val="15"/>
                <w:color w:val="auto"/>
              </w:rPr>
              <w:t>(A)</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(8,087)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123"/>
              <w:spacing w:after="0" w:line="162" w:lineRule="exact"/>
              <w:rPr>
                <w:sz w:val="20"/>
                <w:szCs w:val="20"/>
                <w:color w:val="auto"/>
              </w:rPr>
            </w:pPr>
            <w:r>
              <w:rPr>
                <w:rFonts w:ascii="Arial" w:cs="Arial" w:eastAsia="Arial" w:hAnsi="Arial"/>
                <w:sz w:val="15"/>
                <w:szCs w:val="15"/>
                <w:color w:val="auto"/>
              </w:rPr>
              <w:t>(A)</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(17,903)</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23"/>
              <w:spacing w:after="0" w:line="162" w:lineRule="exact"/>
              <w:rPr>
                <w:sz w:val="20"/>
                <w:szCs w:val="20"/>
                <w:color w:val="auto"/>
              </w:rPr>
            </w:pPr>
            <w:r>
              <w:rPr>
                <w:rFonts w:ascii="Arial" w:cs="Arial" w:eastAsia="Arial" w:hAnsi="Arial"/>
                <w:sz w:val="15"/>
                <w:szCs w:val="15"/>
                <w:color w:val="auto"/>
                <w:w w:val="99"/>
              </w:rPr>
              <w:t>(A)</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(16,925)</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03"/>
              <w:spacing w:after="0" w:line="162" w:lineRule="exact"/>
              <w:rPr>
                <w:sz w:val="20"/>
                <w:szCs w:val="20"/>
                <w:color w:val="auto"/>
              </w:rPr>
            </w:pPr>
            <w:r>
              <w:rPr>
                <w:rFonts w:ascii="Arial" w:cs="Arial" w:eastAsia="Arial" w:hAnsi="Arial"/>
                <w:sz w:val="15"/>
                <w:szCs w:val="15"/>
                <w:color w:val="auto"/>
              </w:rPr>
              <w:t>(A)</w:t>
            </w:r>
          </w:p>
        </w:tc>
      </w:tr>
      <w:tr>
        <w:trPr>
          <w:trHeight w:val="162"/>
        </w:trPr>
        <w:tc>
          <w:tcPr>
            <w:tcW w:w="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gridSpan w:val="2"/>
          </w:tcPr>
          <w:p>
            <w:pPr>
              <w:ind w:left="100"/>
              <w:spacing w:after="0" w:line="162" w:lineRule="exact"/>
              <w:rPr>
                <w:sz w:val="20"/>
                <w:szCs w:val="20"/>
                <w:color w:val="auto"/>
              </w:rPr>
            </w:pPr>
            <w:r>
              <w:rPr>
                <w:rFonts w:ascii="Arial" w:cs="Arial" w:eastAsia="Arial" w:hAnsi="Arial"/>
                <w:sz w:val="15"/>
                <w:szCs w:val="15"/>
                <w:color w:val="auto"/>
              </w:rPr>
              <w:t>Preopening costs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w:t>
            </w:r>
          </w:p>
        </w:tc>
        <w:tc>
          <w:tcPr>
            <w:tcW w:w="740" w:type="dxa"/>
            <w:vAlign w:val="bottom"/>
            <w:tcBorders>
              <w:bottom w:val="single" w:sz="8" w:color="CCEEFF"/>
            </w:tcBorders>
            <w:gridSpan w:val="3"/>
          </w:tcPr>
          <w:p>
            <w:pPr>
              <w:jc w:val="right"/>
              <w:spacing w:after="0" w:line="162" w:lineRule="exact"/>
              <w:rPr>
                <w:sz w:val="20"/>
                <w:szCs w:val="20"/>
                <w:color w:val="auto"/>
              </w:rPr>
            </w:pPr>
            <w:r>
              <w:rPr>
                <w:rFonts w:ascii="Arial" w:cs="Arial" w:eastAsia="Arial" w:hAnsi="Arial"/>
                <w:sz w:val="15"/>
                <w:szCs w:val="15"/>
                <w:color w:val="auto"/>
              </w:rPr>
              <w:t>0.0 %</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(1,525)</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jc w:val="right"/>
              <w:spacing w:after="0" w:line="162" w:lineRule="exact"/>
              <w:rPr>
                <w:sz w:val="20"/>
                <w:szCs w:val="20"/>
                <w:color w:val="auto"/>
              </w:rPr>
            </w:pPr>
            <w:r>
              <w:rPr>
                <w:rFonts w:ascii="Arial" w:cs="Arial" w:eastAsia="Arial" w:hAnsi="Arial"/>
                <w:sz w:val="15"/>
                <w:szCs w:val="15"/>
                <w:color w:val="auto"/>
              </w:rPr>
              <w:t>(0.5)</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(2,110)</w:t>
            </w:r>
          </w:p>
        </w:tc>
        <w:tc>
          <w:tcPr>
            <w:tcW w:w="740" w:type="dxa"/>
            <w:vAlign w:val="bottom"/>
            <w:tcBorders>
              <w:bottom w:val="single" w:sz="8" w:color="CCEEFF"/>
            </w:tcBorders>
            <w:gridSpan w:val="3"/>
          </w:tcPr>
          <w:p>
            <w:pPr>
              <w:jc w:val="right"/>
              <w:spacing w:after="0" w:line="162" w:lineRule="exact"/>
              <w:rPr>
                <w:sz w:val="20"/>
                <w:szCs w:val="20"/>
                <w:color w:val="auto"/>
              </w:rPr>
            </w:pPr>
            <w:r>
              <w:rPr>
                <w:rFonts w:ascii="Arial" w:cs="Arial" w:eastAsia="Arial" w:hAnsi="Arial"/>
                <w:sz w:val="15"/>
                <w:szCs w:val="15"/>
                <w:color w:val="auto"/>
              </w:rPr>
              <w:t>(0.3)%</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(3,672)</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gridSpan w:val="2"/>
          </w:tcPr>
          <w:p>
            <w:pPr>
              <w:jc w:val="right"/>
              <w:spacing w:after="0" w:line="162" w:lineRule="exact"/>
              <w:rPr>
                <w:sz w:val="20"/>
                <w:szCs w:val="20"/>
                <w:color w:val="auto"/>
              </w:rPr>
            </w:pPr>
            <w:r>
              <w:rPr>
                <w:rFonts w:ascii="Arial" w:cs="Arial" w:eastAsia="Arial" w:hAnsi="Arial"/>
                <w:sz w:val="15"/>
                <w:szCs w:val="15"/>
                <w:color w:val="auto"/>
              </w:rPr>
              <w:t>(0.6)%</w:t>
            </w:r>
          </w:p>
        </w:tc>
      </w:tr>
      <w:tr>
        <w:trPr>
          <w:trHeight w:val="156"/>
        </w:trPr>
        <w:tc>
          <w:tcPr>
            <w:tcW w:w="20" w:type="dxa"/>
            <w:vAlign w:val="bottom"/>
            <w:shd w:val="clear" w:color="auto" w:fill="CCEEFF"/>
          </w:tcPr>
          <w:p>
            <w:pPr>
              <w:spacing w:after="0"/>
              <w:rPr>
                <w:sz w:val="13"/>
                <w:szCs w:val="13"/>
                <w:color w:val="auto"/>
              </w:rPr>
            </w:pPr>
          </w:p>
        </w:tc>
        <w:tc>
          <w:tcPr>
            <w:tcW w:w="3160" w:type="dxa"/>
            <w:vAlign w:val="bottom"/>
            <w:gridSpan w:val="2"/>
            <w:shd w:val="clear" w:color="auto" w:fill="CCEEFF"/>
          </w:tcPr>
          <w:p>
            <w:pPr>
              <w:ind w:left="200"/>
              <w:spacing w:after="0" w:line="156" w:lineRule="exact"/>
              <w:rPr>
                <w:sz w:val="20"/>
                <w:szCs w:val="20"/>
                <w:color w:val="auto"/>
              </w:rPr>
            </w:pPr>
            <w:r>
              <w:rPr>
                <w:rFonts w:ascii="Arial" w:cs="Arial" w:eastAsia="Arial" w:hAnsi="Arial"/>
                <w:sz w:val="15"/>
                <w:szCs w:val="15"/>
                <w:color w:val="auto"/>
              </w:rPr>
              <w:t>Total operating income</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85,316</w:t>
            </w:r>
          </w:p>
        </w:tc>
        <w:tc>
          <w:tcPr>
            <w:tcW w:w="74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20.9 %</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76,699</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23.0 %</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139,280</w:t>
            </w:r>
          </w:p>
        </w:tc>
        <w:tc>
          <w:tcPr>
            <w:tcW w:w="74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17.9 %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122,643</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19.7 %</w:t>
            </w:r>
          </w:p>
        </w:tc>
      </w:tr>
      <w:tr>
        <w:trPr>
          <w:trHeight w:val="162"/>
        </w:trPr>
        <w:tc>
          <w:tcPr>
            <w:tcW w:w="3180" w:type="dxa"/>
            <w:vAlign w:val="bottom"/>
            <w:gridSpan w:val="3"/>
          </w:tcPr>
          <w:p>
            <w:pPr>
              <w:spacing w:after="0" w:line="162" w:lineRule="exact"/>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(33,492)</w:t>
            </w:r>
          </w:p>
        </w:tc>
        <w:tc>
          <w:tcPr>
            <w:tcW w:w="140" w:type="dxa"/>
            <w:vAlign w:val="bottom"/>
          </w:tcPr>
          <w:p>
            <w:pPr>
              <w:spacing w:after="0"/>
              <w:rPr>
                <w:sz w:val="14"/>
                <w:szCs w:val="14"/>
                <w:color w:val="auto"/>
              </w:rPr>
            </w:pPr>
          </w:p>
        </w:tc>
        <w:tc>
          <w:tcPr>
            <w:tcW w:w="600" w:type="dxa"/>
            <w:vAlign w:val="bottom"/>
            <w:gridSpan w:val="2"/>
          </w:tcPr>
          <w:p>
            <w:pPr>
              <w:jc w:val="center"/>
              <w:ind w:right="103"/>
              <w:spacing w:after="0" w:line="162" w:lineRule="exact"/>
              <w:rPr>
                <w:sz w:val="20"/>
                <w:szCs w:val="20"/>
                <w:color w:val="auto"/>
              </w:rPr>
            </w:pPr>
            <w:r>
              <w:rPr>
                <w:rFonts w:ascii="Arial" w:cs="Arial" w:eastAsia="Arial" w:hAnsi="Arial"/>
                <w:sz w:val="15"/>
                <w:szCs w:val="15"/>
                <w:color w:val="auto"/>
              </w:rPr>
              <w:t>(A)</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(19,625)</w:t>
            </w:r>
          </w:p>
        </w:tc>
        <w:tc>
          <w:tcPr>
            <w:tcW w:w="140" w:type="dxa"/>
            <w:vAlign w:val="bottom"/>
          </w:tcPr>
          <w:p>
            <w:pPr>
              <w:spacing w:after="0"/>
              <w:rPr>
                <w:sz w:val="14"/>
                <w:szCs w:val="14"/>
                <w:color w:val="auto"/>
              </w:rPr>
            </w:pPr>
          </w:p>
        </w:tc>
        <w:tc>
          <w:tcPr>
            <w:tcW w:w="620" w:type="dxa"/>
            <w:vAlign w:val="bottom"/>
            <w:gridSpan w:val="2"/>
          </w:tcPr>
          <w:p>
            <w:pPr>
              <w:jc w:val="center"/>
              <w:ind w:right="123"/>
              <w:spacing w:after="0" w:line="162" w:lineRule="exact"/>
              <w:rPr>
                <w:sz w:val="20"/>
                <w:szCs w:val="20"/>
                <w:color w:val="auto"/>
              </w:rPr>
            </w:pPr>
            <w:r>
              <w:rPr>
                <w:rFonts w:ascii="Arial" w:cs="Arial" w:eastAsia="Arial" w:hAnsi="Arial"/>
                <w:sz w:val="15"/>
                <w:szCs w:val="15"/>
                <w:color w:val="auto"/>
              </w:rPr>
              <w:t>(A)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(65,579)</w:t>
            </w:r>
          </w:p>
        </w:tc>
        <w:tc>
          <w:tcPr>
            <w:tcW w:w="140" w:type="dxa"/>
            <w:vAlign w:val="bottom"/>
          </w:tcPr>
          <w:p>
            <w:pPr>
              <w:spacing w:after="0"/>
              <w:rPr>
                <w:sz w:val="14"/>
                <w:szCs w:val="14"/>
                <w:color w:val="auto"/>
              </w:rPr>
            </w:pPr>
          </w:p>
        </w:tc>
        <w:tc>
          <w:tcPr>
            <w:tcW w:w="600" w:type="dxa"/>
            <w:vAlign w:val="bottom"/>
            <w:gridSpan w:val="2"/>
          </w:tcPr>
          <w:p>
            <w:pPr>
              <w:jc w:val="center"/>
              <w:ind w:right="123"/>
              <w:spacing w:after="0" w:line="162" w:lineRule="exact"/>
              <w:rPr>
                <w:sz w:val="20"/>
                <w:szCs w:val="20"/>
                <w:color w:val="auto"/>
              </w:rPr>
            </w:pPr>
            <w:r>
              <w:rPr>
                <w:rFonts w:ascii="Arial" w:cs="Arial" w:eastAsia="Arial" w:hAnsi="Arial"/>
                <w:sz w:val="15"/>
                <w:szCs w:val="15"/>
                <w:color w:val="auto"/>
                <w:w w:val="99"/>
              </w:rPr>
              <w:t>(A)</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(36,354)</w:t>
            </w:r>
          </w:p>
        </w:tc>
        <w:tc>
          <w:tcPr>
            <w:tcW w:w="160" w:type="dxa"/>
            <w:vAlign w:val="bottom"/>
          </w:tcPr>
          <w:p>
            <w:pPr>
              <w:spacing w:after="0"/>
              <w:rPr>
                <w:sz w:val="14"/>
                <w:szCs w:val="14"/>
                <w:color w:val="auto"/>
              </w:rPr>
            </w:pPr>
          </w:p>
        </w:tc>
        <w:tc>
          <w:tcPr>
            <w:tcW w:w="600" w:type="dxa"/>
            <w:vAlign w:val="bottom"/>
            <w:gridSpan w:val="2"/>
          </w:tcPr>
          <w:p>
            <w:pPr>
              <w:jc w:val="center"/>
              <w:ind w:right="103"/>
              <w:spacing w:after="0" w:line="162" w:lineRule="exact"/>
              <w:rPr>
                <w:sz w:val="20"/>
                <w:szCs w:val="20"/>
                <w:color w:val="auto"/>
              </w:rPr>
            </w:pPr>
            <w:r>
              <w:rPr>
                <w:rFonts w:ascii="Arial" w:cs="Arial" w:eastAsia="Arial" w:hAnsi="Arial"/>
                <w:sz w:val="15"/>
                <w:szCs w:val="15"/>
                <w:color w:val="auto"/>
              </w:rPr>
              <w:t>(A)</w:t>
            </w:r>
          </w:p>
        </w:tc>
      </w:tr>
      <w:tr>
        <w:trPr>
          <w:trHeight w:val="162"/>
        </w:trPr>
        <w:tc>
          <w:tcPr>
            <w:tcW w:w="318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Interest income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2,970</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03"/>
              <w:spacing w:after="0" w:line="162" w:lineRule="exact"/>
              <w:rPr>
                <w:sz w:val="20"/>
                <w:szCs w:val="20"/>
                <w:color w:val="auto"/>
              </w:rPr>
            </w:pPr>
            <w:r>
              <w:rPr>
                <w:rFonts w:ascii="Arial" w:cs="Arial" w:eastAsia="Arial" w:hAnsi="Arial"/>
                <w:sz w:val="15"/>
                <w:szCs w:val="15"/>
                <w:color w:val="auto"/>
              </w:rPr>
              <w:t>(A)</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2,766</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123"/>
              <w:spacing w:after="0" w:line="162" w:lineRule="exact"/>
              <w:rPr>
                <w:sz w:val="20"/>
                <w:szCs w:val="20"/>
                <w:color w:val="auto"/>
              </w:rPr>
            </w:pPr>
            <w:r>
              <w:rPr>
                <w:rFonts w:ascii="Arial" w:cs="Arial" w:eastAsia="Arial" w:hAnsi="Arial"/>
                <w:sz w:val="15"/>
                <w:szCs w:val="15"/>
                <w:color w:val="auto"/>
              </w:rPr>
              <w:t>(A)</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5,878</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23"/>
              <w:spacing w:after="0" w:line="162" w:lineRule="exact"/>
              <w:rPr>
                <w:sz w:val="20"/>
                <w:szCs w:val="20"/>
                <w:color w:val="auto"/>
              </w:rPr>
            </w:pPr>
            <w:r>
              <w:rPr>
                <w:rFonts w:ascii="Arial" w:cs="Arial" w:eastAsia="Arial" w:hAnsi="Arial"/>
                <w:sz w:val="15"/>
                <w:szCs w:val="15"/>
                <w:color w:val="auto"/>
                <w:w w:val="99"/>
              </w:rPr>
              <w:t>(A)</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5,519</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03"/>
              <w:spacing w:after="0" w:line="162" w:lineRule="exact"/>
              <w:rPr>
                <w:sz w:val="20"/>
                <w:szCs w:val="20"/>
                <w:color w:val="auto"/>
              </w:rPr>
            </w:pPr>
            <w:r>
              <w:rPr>
                <w:rFonts w:ascii="Arial" w:cs="Arial" w:eastAsia="Arial" w:hAnsi="Arial"/>
                <w:sz w:val="15"/>
                <w:szCs w:val="15"/>
                <w:color w:val="auto"/>
              </w:rPr>
              <w:t>(A)</w:t>
            </w:r>
          </w:p>
        </w:tc>
      </w:tr>
      <w:tr>
        <w:trPr>
          <w:trHeight w:val="162"/>
        </w:trPr>
        <w:tc>
          <w:tcPr>
            <w:tcW w:w="3180" w:type="dxa"/>
            <w:vAlign w:val="bottom"/>
            <w:gridSpan w:val="3"/>
          </w:tcPr>
          <w:p>
            <w:pPr>
              <w:spacing w:after="0" w:line="162" w:lineRule="exact"/>
              <w:rPr>
                <w:sz w:val="20"/>
                <w:szCs w:val="20"/>
                <w:color w:val="auto"/>
              </w:rPr>
            </w:pPr>
            <w:r>
              <w:rPr>
                <w:rFonts w:ascii="Arial" w:cs="Arial" w:eastAsia="Arial" w:hAnsi="Arial"/>
                <w:sz w:val="15"/>
                <w:szCs w:val="15"/>
                <w:color w:val="auto"/>
              </w:rPr>
              <w:t>Income (loss) from joint ventures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(167)</w:t>
            </w:r>
          </w:p>
        </w:tc>
        <w:tc>
          <w:tcPr>
            <w:tcW w:w="140" w:type="dxa"/>
            <w:vAlign w:val="bottom"/>
          </w:tcPr>
          <w:p>
            <w:pPr>
              <w:spacing w:after="0"/>
              <w:rPr>
                <w:sz w:val="14"/>
                <w:szCs w:val="14"/>
                <w:color w:val="auto"/>
              </w:rPr>
            </w:pPr>
          </w:p>
        </w:tc>
        <w:tc>
          <w:tcPr>
            <w:tcW w:w="600" w:type="dxa"/>
            <w:vAlign w:val="bottom"/>
            <w:gridSpan w:val="2"/>
          </w:tcPr>
          <w:p>
            <w:pPr>
              <w:jc w:val="center"/>
              <w:ind w:right="103"/>
              <w:spacing w:after="0" w:line="162" w:lineRule="exact"/>
              <w:rPr>
                <w:sz w:val="20"/>
                <w:szCs w:val="20"/>
                <w:color w:val="auto"/>
              </w:rPr>
            </w:pPr>
            <w:r>
              <w:rPr>
                <w:rFonts w:ascii="Arial" w:cs="Arial" w:eastAsia="Arial" w:hAnsi="Arial"/>
                <w:sz w:val="15"/>
                <w:szCs w:val="15"/>
                <w:color w:val="auto"/>
              </w:rPr>
              <w:t>(A)</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1,346</w:t>
            </w:r>
          </w:p>
        </w:tc>
        <w:tc>
          <w:tcPr>
            <w:tcW w:w="140" w:type="dxa"/>
            <w:vAlign w:val="bottom"/>
          </w:tcPr>
          <w:p>
            <w:pPr>
              <w:spacing w:after="0"/>
              <w:rPr>
                <w:sz w:val="14"/>
                <w:szCs w:val="14"/>
                <w:color w:val="auto"/>
              </w:rPr>
            </w:pPr>
          </w:p>
        </w:tc>
        <w:tc>
          <w:tcPr>
            <w:tcW w:w="620" w:type="dxa"/>
            <w:vAlign w:val="bottom"/>
            <w:gridSpan w:val="2"/>
          </w:tcPr>
          <w:p>
            <w:pPr>
              <w:jc w:val="center"/>
              <w:ind w:right="123"/>
              <w:spacing w:after="0" w:line="162" w:lineRule="exact"/>
              <w:rPr>
                <w:sz w:val="20"/>
                <w:szCs w:val="20"/>
                <w:color w:val="auto"/>
              </w:rPr>
            </w:pPr>
            <w:r>
              <w:rPr>
                <w:rFonts w:ascii="Arial" w:cs="Arial" w:eastAsia="Arial" w:hAnsi="Arial"/>
                <w:sz w:val="15"/>
                <w:szCs w:val="15"/>
                <w:color w:val="auto"/>
              </w:rPr>
              <w:t>(A)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(167)</w:t>
            </w:r>
          </w:p>
        </w:tc>
        <w:tc>
          <w:tcPr>
            <w:tcW w:w="140" w:type="dxa"/>
            <w:vAlign w:val="bottom"/>
          </w:tcPr>
          <w:p>
            <w:pPr>
              <w:spacing w:after="0"/>
              <w:rPr>
                <w:sz w:val="14"/>
                <w:szCs w:val="14"/>
                <w:color w:val="auto"/>
              </w:rPr>
            </w:pPr>
          </w:p>
        </w:tc>
        <w:tc>
          <w:tcPr>
            <w:tcW w:w="600" w:type="dxa"/>
            <w:vAlign w:val="bottom"/>
            <w:gridSpan w:val="2"/>
          </w:tcPr>
          <w:p>
            <w:pPr>
              <w:jc w:val="center"/>
              <w:ind w:right="123"/>
              <w:spacing w:after="0" w:line="162" w:lineRule="exact"/>
              <w:rPr>
                <w:sz w:val="20"/>
                <w:szCs w:val="20"/>
                <w:color w:val="auto"/>
              </w:rPr>
            </w:pPr>
            <w:r>
              <w:rPr>
                <w:rFonts w:ascii="Arial" w:cs="Arial" w:eastAsia="Arial" w:hAnsi="Arial"/>
                <w:sz w:val="15"/>
                <w:szCs w:val="15"/>
                <w:color w:val="auto"/>
                <w:w w:val="99"/>
              </w:rPr>
              <w:t>(A)</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(1,242)</w:t>
            </w:r>
          </w:p>
        </w:tc>
        <w:tc>
          <w:tcPr>
            <w:tcW w:w="160" w:type="dxa"/>
            <w:vAlign w:val="bottom"/>
          </w:tcPr>
          <w:p>
            <w:pPr>
              <w:spacing w:after="0"/>
              <w:rPr>
                <w:sz w:val="14"/>
                <w:szCs w:val="14"/>
                <w:color w:val="auto"/>
              </w:rPr>
            </w:pPr>
          </w:p>
        </w:tc>
        <w:tc>
          <w:tcPr>
            <w:tcW w:w="600" w:type="dxa"/>
            <w:vAlign w:val="bottom"/>
            <w:gridSpan w:val="2"/>
          </w:tcPr>
          <w:p>
            <w:pPr>
              <w:jc w:val="center"/>
              <w:ind w:right="103"/>
              <w:spacing w:after="0" w:line="162" w:lineRule="exact"/>
              <w:rPr>
                <w:sz w:val="20"/>
                <w:szCs w:val="20"/>
                <w:color w:val="auto"/>
              </w:rPr>
            </w:pPr>
            <w:r>
              <w:rPr>
                <w:rFonts w:ascii="Arial" w:cs="Arial" w:eastAsia="Arial" w:hAnsi="Arial"/>
                <w:sz w:val="15"/>
                <w:szCs w:val="15"/>
                <w:color w:val="auto"/>
              </w:rPr>
              <w:t>(A)</w:t>
            </w:r>
          </w:p>
        </w:tc>
      </w:tr>
      <w:tr>
        <w:trPr>
          <w:trHeight w:val="162"/>
        </w:trPr>
        <w:tc>
          <w:tcPr>
            <w:tcW w:w="318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Other gains and (losses), net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03"/>
              <w:spacing w:after="0" w:line="162" w:lineRule="exact"/>
              <w:rPr>
                <w:sz w:val="20"/>
                <w:szCs w:val="20"/>
                <w:color w:val="auto"/>
              </w:rPr>
            </w:pPr>
            <w:r>
              <w:rPr>
                <w:rFonts w:ascii="Arial" w:cs="Arial" w:eastAsia="Arial" w:hAnsi="Arial"/>
                <w:sz w:val="15"/>
                <w:szCs w:val="15"/>
                <w:color w:val="auto"/>
              </w:rPr>
              <w:t>(A)</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123"/>
              <w:spacing w:after="0" w:line="162" w:lineRule="exact"/>
              <w:rPr>
                <w:sz w:val="20"/>
                <w:szCs w:val="20"/>
                <w:color w:val="auto"/>
              </w:rPr>
            </w:pPr>
            <w:r>
              <w:rPr>
                <w:rFonts w:ascii="Arial" w:cs="Arial" w:eastAsia="Arial" w:hAnsi="Arial"/>
                <w:sz w:val="15"/>
                <w:szCs w:val="15"/>
                <w:color w:val="auto"/>
              </w:rPr>
              <w:t>(A)</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(252)</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23"/>
              <w:spacing w:after="0" w:line="162" w:lineRule="exact"/>
              <w:rPr>
                <w:sz w:val="20"/>
                <w:szCs w:val="20"/>
                <w:color w:val="auto"/>
              </w:rPr>
            </w:pPr>
            <w:r>
              <w:rPr>
                <w:rFonts w:ascii="Arial" w:cs="Arial" w:eastAsia="Arial" w:hAnsi="Arial"/>
                <w:sz w:val="15"/>
                <w:szCs w:val="15"/>
                <w:color w:val="auto"/>
                <w:w w:val="99"/>
              </w:rPr>
              <w:t>(A)</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204</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103"/>
              <w:spacing w:after="0" w:line="162" w:lineRule="exact"/>
              <w:rPr>
                <w:sz w:val="20"/>
                <w:szCs w:val="20"/>
                <w:color w:val="auto"/>
              </w:rPr>
            </w:pPr>
            <w:r>
              <w:rPr>
                <w:rFonts w:ascii="Arial" w:cs="Arial" w:eastAsia="Arial" w:hAnsi="Arial"/>
                <w:sz w:val="15"/>
                <w:szCs w:val="15"/>
                <w:color w:val="auto"/>
              </w:rPr>
              <w:t>(A)</w:t>
            </w:r>
          </w:p>
        </w:tc>
      </w:tr>
      <w:tr>
        <w:trPr>
          <w:trHeight w:val="162"/>
        </w:trPr>
        <w:tc>
          <w:tcPr>
            <w:tcW w:w="3180" w:type="dxa"/>
            <w:vAlign w:val="bottom"/>
            <w:tcBorders>
              <w:bottom w:val="single" w:sz="8" w:color="CCEEFF"/>
            </w:tcBorders>
            <w:gridSpan w:val="3"/>
          </w:tcPr>
          <w:p>
            <w:pPr>
              <w:spacing w:after="0" w:line="162" w:lineRule="exact"/>
              <w:rPr>
                <w:sz w:val="20"/>
                <w:szCs w:val="20"/>
                <w:color w:val="auto"/>
              </w:rPr>
            </w:pPr>
            <w:r>
              <w:rPr>
                <w:rFonts w:ascii="Arial" w:cs="Arial" w:eastAsia="Arial" w:hAnsi="Arial"/>
                <w:sz w:val="15"/>
                <w:szCs w:val="15"/>
                <w:color w:val="auto"/>
              </w:rPr>
              <w:t>Provision for income taxes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(8,232)</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gridSpan w:val="2"/>
          </w:tcPr>
          <w:p>
            <w:pPr>
              <w:jc w:val="center"/>
              <w:ind w:right="103"/>
              <w:spacing w:after="0" w:line="162" w:lineRule="exact"/>
              <w:rPr>
                <w:sz w:val="20"/>
                <w:szCs w:val="20"/>
                <w:color w:val="auto"/>
              </w:rPr>
            </w:pPr>
            <w:r>
              <w:rPr>
                <w:rFonts w:ascii="Arial" w:cs="Arial" w:eastAsia="Arial" w:hAnsi="Arial"/>
                <w:sz w:val="15"/>
                <w:szCs w:val="15"/>
                <w:color w:val="auto"/>
              </w:rPr>
              <w:t>(A)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(5,676)</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gridSpan w:val="2"/>
          </w:tcPr>
          <w:p>
            <w:pPr>
              <w:jc w:val="center"/>
              <w:ind w:right="123"/>
              <w:spacing w:after="0" w:line="162" w:lineRule="exact"/>
              <w:rPr>
                <w:sz w:val="20"/>
                <w:szCs w:val="20"/>
                <w:color w:val="auto"/>
              </w:rPr>
            </w:pPr>
            <w:r>
              <w:rPr>
                <w:rFonts w:ascii="Arial" w:cs="Arial" w:eastAsia="Arial" w:hAnsi="Arial"/>
                <w:sz w:val="15"/>
                <w:szCs w:val="15"/>
                <w:color w:val="auto"/>
              </w:rPr>
              <w:t>(A)</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(10,206)</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gridSpan w:val="2"/>
          </w:tcPr>
          <w:p>
            <w:pPr>
              <w:jc w:val="center"/>
              <w:ind w:right="123"/>
              <w:spacing w:after="0" w:line="162" w:lineRule="exact"/>
              <w:rPr>
                <w:sz w:val="20"/>
                <w:szCs w:val="20"/>
                <w:color w:val="auto"/>
              </w:rPr>
            </w:pPr>
            <w:r>
              <w:rPr>
                <w:rFonts w:ascii="Arial" w:cs="Arial" w:eastAsia="Arial" w:hAnsi="Arial"/>
                <w:sz w:val="15"/>
                <w:szCs w:val="15"/>
                <w:color w:val="auto"/>
                <w:w w:val="99"/>
              </w:rPr>
              <w:t>(A)</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(7,885)</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gridSpan w:val="2"/>
          </w:tcPr>
          <w:p>
            <w:pPr>
              <w:jc w:val="center"/>
              <w:ind w:right="103"/>
              <w:spacing w:after="0" w:line="162" w:lineRule="exact"/>
              <w:rPr>
                <w:sz w:val="20"/>
                <w:szCs w:val="20"/>
                <w:color w:val="auto"/>
              </w:rPr>
            </w:pPr>
            <w:r>
              <w:rPr>
                <w:rFonts w:ascii="Arial" w:cs="Arial" w:eastAsia="Arial" w:hAnsi="Arial"/>
                <w:sz w:val="15"/>
                <w:szCs w:val="15"/>
                <w:color w:val="auto"/>
              </w:rPr>
              <w:t>(A)</w:t>
            </w:r>
          </w:p>
        </w:tc>
      </w:tr>
      <w:tr>
        <w:trPr>
          <w:trHeight w:val="156"/>
        </w:trPr>
        <w:tc>
          <w:tcPr>
            <w:tcW w:w="318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46,284</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03"/>
              <w:spacing w:after="0" w:line="156" w:lineRule="exact"/>
              <w:rPr>
                <w:sz w:val="20"/>
                <w:szCs w:val="20"/>
                <w:color w:val="auto"/>
              </w:rPr>
            </w:pPr>
            <w:r>
              <w:rPr>
                <w:rFonts w:ascii="Arial" w:cs="Arial" w:eastAsia="Arial" w:hAnsi="Arial"/>
                <w:sz w:val="15"/>
                <w:szCs w:val="15"/>
                <w:color w:val="auto"/>
              </w:rPr>
              <w:t>(A)</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55,546</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right="123"/>
              <w:spacing w:after="0" w:line="156" w:lineRule="exact"/>
              <w:rPr>
                <w:sz w:val="20"/>
                <w:szCs w:val="20"/>
                <w:color w:val="auto"/>
              </w:rPr>
            </w:pPr>
            <w:r>
              <w:rPr>
                <w:rFonts w:ascii="Arial" w:cs="Arial" w:eastAsia="Arial" w:hAnsi="Arial"/>
                <w:sz w:val="15"/>
                <w:szCs w:val="15"/>
                <w:color w:val="auto"/>
              </w:rPr>
              <w:t>(A)</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68,954</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23"/>
              <w:spacing w:after="0" w:line="156" w:lineRule="exact"/>
              <w:rPr>
                <w:sz w:val="20"/>
                <w:szCs w:val="20"/>
                <w:color w:val="auto"/>
              </w:rPr>
            </w:pPr>
            <w:r>
              <w:rPr>
                <w:rFonts w:ascii="Arial" w:cs="Arial" w:eastAsia="Arial" w:hAnsi="Arial"/>
                <w:sz w:val="15"/>
                <w:szCs w:val="15"/>
                <w:color w:val="auto"/>
                <w:w w:val="99"/>
              </w:rPr>
              <w:t>(A)</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82,885</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03"/>
              <w:spacing w:after="0" w:line="156" w:lineRule="exact"/>
              <w:rPr>
                <w:sz w:val="20"/>
                <w:szCs w:val="20"/>
                <w:color w:val="auto"/>
              </w:rPr>
            </w:pPr>
            <w:r>
              <w:rPr>
                <w:rFonts w:ascii="Arial" w:cs="Arial" w:eastAsia="Arial" w:hAnsi="Arial"/>
                <w:sz w:val="15"/>
                <w:szCs w:val="15"/>
                <w:color w:val="auto"/>
              </w:rPr>
              <w:t>(A)</w:t>
            </w:r>
          </w:p>
        </w:tc>
      </w:tr>
      <w:tr>
        <w:trPr>
          <w:trHeight w:val="149"/>
        </w:trPr>
        <w:tc>
          <w:tcPr>
            <w:tcW w:w="20" w:type="dxa"/>
            <w:vAlign w:val="bottom"/>
          </w:tcPr>
          <w:p>
            <w:pPr>
              <w:spacing w:after="0"/>
              <w:rPr>
                <w:sz w:val="12"/>
                <w:szCs w:val="12"/>
                <w:color w:val="auto"/>
              </w:rPr>
            </w:pPr>
          </w:p>
        </w:tc>
        <w:tc>
          <w:tcPr>
            <w:tcW w:w="3160" w:type="dxa"/>
            <w:vAlign w:val="bottom"/>
            <w:gridSpan w:val="2"/>
          </w:tcPr>
          <w:p>
            <w:pPr>
              <w:ind w:left="100"/>
              <w:spacing w:after="0" w:line="149" w:lineRule="exact"/>
              <w:rPr>
                <w:sz w:val="20"/>
                <w:szCs w:val="20"/>
                <w:color w:val="auto"/>
              </w:rPr>
            </w:pPr>
            <w:r>
              <w:rPr>
                <w:rFonts w:ascii="Arial" w:cs="Arial" w:eastAsia="Arial" w:hAnsi="Arial"/>
                <w:sz w:val="15"/>
                <w:szCs w:val="15"/>
                <w:color w:val="auto"/>
                <w:w w:val="96"/>
              </w:rPr>
              <w:t>Net loss attributable to noncontrolling interest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ind w:left="100"/>
              <w:spacing w:after="0"/>
              <w:rPr>
                <w:sz w:val="20"/>
                <w:szCs w:val="20"/>
                <w:color w:val="auto"/>
              </w:rPr>
            </w:pPr>
            <w:r>
              <w:rPr>
                <w:rFonts w:ascii="Arial" w:cs="Arial" w:eastAsia="Arial" w:hAnsi="Arial"/>
                <w:sz w:val="15"/>
                <w:szCs w:val="15"/>
                <w:color w:val="auto"/>
              </w:rPr>
              <w:t>consolidated joint venture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3,099</w:t>
            </w:r>
          </w:p>
        </w:tc>
        <w:tc>
          <w:tcPr>
            <w:tcW w:w="140" w:type="dxa"/>
            <w:vAlign w:val="bottom"/>
          </w:tcPr>
          <w:p>
            <w:pPr>
              <w:spacing w:after="0"/>
              <w:rPr>
                <w:sz w:val="15"/>
                <w:szCs w:val="15"/>
                <w:color w:val="auto"/>
              </w:rPr>
            </w:pPr>
          </w:p>
        </w:tc>
        <w:tc>
          <w:tcPr>
            <w:tcW w:w="600" w:type="dxa"/>
            <w:vAlign w:val="bottom"/>
            <w:gridSpan w:val="2"/>
          </w:tcPr>
          <w:p>
            <w:pPr>
              <w:jc w:val="center"/>
              <w:ind w:right="103"/>
              <w:spacing w:after="0"/>
              <w:rPr>
                <w:sz w:val="20"/>
                <w:szCs w:val="20"/>
                <w:color w:val="auto"/>
              </w:rPr>
            </w:pPr>
            <w:r>
              <w:rPr>
                <w:rFonts w:ascii="Arial" w:cs="Arial" w:eastAsia="Arial" w:hAnsi="Arial"/>
                <w:sz w:val="15"/>
                <w:szCs w:val="15"/>
                <w:color w:val="auto"/>
              </w:rPr>
              <w:t>(A)</w:t>
            </w:r>
          </w:p>
        </w:tc>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center"/>
              <w:ind w:right="123"/>
              <w:spacing w:after="0"/>
              <w:rPr>
                <w:sz w:val="20"/>
                <w:szCs w:val="20"/>
                <w:color w:val="auto"/>
              </w:rPr>
            </w:pPr>
            <w:r>
              <w:rPr>
                <w:rFonts w:ascii="Arial" w:cs="Arial" w:eastAsia="Arial" w:hAnsi="Arial"/>
                <w:sz w:val="15"/>
                <w:szCs w:val="15"/>
                <w:color w:val="auto"/>
              </w:rPr>
              <w:t>(A)</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9,837</w:t>
            </w:r>
          </w:p>
        </w:tc>
        <w:tc>
          <w:tcPr>
            <w:tcW w:w="140" w:type="dxa"/>
            <w:vAlign w:val="bottom"/>
          </w:tcPr>
          <w:p>
            <w:pPr>
              <w:spacing w:after="0"/>
              <w:rPr>
                <w:sz w:val="15"/>
                <w:szCs w:val="15"/>
                <w:color w:val="auto"/>
              </w:rPr>
            </w:pPr>
          </w:p>
        </w:tc>
        <w:tc>
          <w:tcPr>
            <w:tcW w:w="600" w:type="dxa"/>
            <w:vAlign w:val="bottom"/>
            <w:gridSpan w:val="2"/>
          </w:tcPr>
          <w:p>
            <w:pPr>
              <w:jc w:val="center"/>
              <w:ind w:right="123"/>
              <w:spacing w:after="0"/>
              <w:rPr>
                <w:sz w:val="20"/>
                <w:szCs w:val="20"/>
                <w:color w:val="auto"/>
              </w:rPr>
            </w:pPr>
            <w:r>
              <w:rPr>
                <w:rFonts w:ascii="Arial" w:cs="Arial" w:eastAsia="Arial" w:hAnsi="Arial"/>
                <w:sz w:val="15"/>
                <w:szCs w:val="15"/>
                <w:color w:val="auto"/>
                <w:w w:val="99"/>
              </w:rPr>
              <w:t>(A)</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center"/>
              <w:ind w:right="103"/>
              <w:spacing w:after="0"/>
              <w:rPr>
                <w:sz w:val="20"/>
                <w:szCs w:val="20"/>
                <w:color w:val="auto"/>
              </w:rPr>
            </w:pPr>
            <w:r>
              <w:rPr>
                <w:rFonts w:ascii="Arial" w:cs="Arial" w:eastAsia="Arial" w:hAnsi="Arial"/>
                <w:sz w:val="15"/>
                <w:szCs w:val="15"/>
                <w:color w:val="auto"/>
              </w:rPr>
              <w:t>(A)</w:t>
            </w: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160" w:type="dxa"/>
            <w:vAlign w:val="bottom"/>
            <w:tcBorders>
              <w:top w:val="single" w:sz="8" w:color="CCEEFF"/>
              <w:bottom w:val="single" w:sz="8" w:color="CCEEFF"/>
            </w:tcBorders>
            <w:gridSpan w:val="2"/>
            <w:shd w:val="clear" w:color="auto" w:fill="CCEEFF"/>
          </w:tcPr>
          <w:p>
            <w:pPr>
              <w:ind w:left="200"/>
              <w:spacing w:after="0" w:line="156" w:lineRule="exact"/>
              <w:rPr>
                <w:sz w:val="20"/>
                <w:szCs w:val="20"/>
                <w:color w:val="auto"/>
              </w:rPr>
            </w:pPr>
            <w:r>
              <w:rPr>
                <w:rFonts w:ascii="Arial" w:cs="Arial" w:eastAsia="Arial" w:hAnsi="Arial"/>
                <w:sz w:val="15"/>
                <w:szCs w:val="15"/>
                <w:color w:val="auto"/>
                <w:w w:val="96"/>
              </w:rPr>
              <w:t>Net income available to common stockholders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49,383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gridSpan w:val="2"/>
            <w:shd w:val="clear" w:color="auto" w:fill="CCEEFF"/>
          </w:tcPr>
          <w:p>
            <w:pPr>
              <w:jc w:val="center"/>
              <w:ind w:right="103"/>
              <w:spacing w:after="0" w:line="156" w:lineRule="exact"/>
              <w:rPr>
                <w:sz w:val="20"/>
                <w:szCs w:val="20"/>
                <w:color w:val="auto"/>
              </w:rPr>
            </w:pPr>
            <w:r>
              <w:rPr>
                <w:rFonts w:ascii="Arial" w:cs="Arial" w:eastAsia="Arial" w:hAnsi="Arial"/>
                <w:sz w:val="15"/>
                <w:szCs w:val="15"/>
                <w:color w:val="auto"/>
              </w:rPr>
              <w:t>(A)</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55,546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gridSpan w:val="2"/>
            <w:shd w:val="clear" w:color="auto" w:fill="CCEEFF"/>
          </w:tcPr>
          <w:p>
            <w:pPr>
              <w:jc w:val="center"/>
              <w:ind w:right="123"/>
              <w:spacing w:after="0" w:line="156" w:lineRule="exact"/>
              <w:rPr>
                <w:sz w:val="20"/>
                <w:szCs w:val="20"/>
                <w:color w:val="auto"/>
              </w:rPr>
            </w:pPr>
            <w:r>
              <w:rPr>
                <w:rFonts w:ascii="Arial" w:cs="Arial" w:eastAsia="Arial" w:hAnsi="Arial"/>
                <w:sz w:val="15"/>
                <w:szCs w:val="15"/>
                <w:color w:val="auto"/>
              </w:rPr>
              <w:t>(A)</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78,791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gridSpan w:val="2"/>
            <w:shd w:val="clear" w:color="auto" w:fill="CCEEFF"/>
          </w:tcPr>
          <w:p>
            <w:pPr>
              <w:jc w:val="center"/>
              <w:ind w:right="123"/>
              <w:spacing w:after="0" w:line="156" w:lineRule="exact"/>
              <w:rPr>
                <w:sz w:val="20"/>
                <w:szCs w:val="20"/>
                <w:color w:val="auto"/>
              </w:rPr>
            </w:pPr>
            <w:r>
              <w:rPr>
                <w:rFonts w:ascii="Arial" w:cs="Arial" w:eastAsia="Arial" w:hAnsi="Arial"/>
                <w:sz w:val="15"/>
                <w:szCs w:val="15"/>
                <w:color w:val="auto"/>
                <w:w w:val="99"/>
              </w:rPr>
              <w:t>(A)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82,885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gridSpan w:val="2"/>
            <w:shd w:val="clear" w:color="auto" w:fill="CCEEFF"/>
          </w:tcPr>
          <w:p>
            <w:pPr>
              <w:jc w:val="center"/>
              <w:ind w:right="103"/>
              <w:spacing w:after="0" w:line="156" w:lineRule="exact"/>
              <w:rPr>
                <w:sz w:val="20"/>
                <w:szCs w:val="20"/>
                <w:color w:val="auto"/>
              </w:rPr>
            </w:pPr>
            <w:r>
              <w:rPr>
                <w:rFonts w:ascii="Arial" w:cs="Arial" w:eastAsia="Arial" w:hAnsi="Arial"/>
                <w:sz w:val="15"/>
                <w:szCs w:val="15"/>
                <w:color w:val="auto"/>
              </w:rPr>
              <w:t>(A)</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80" w:lineRule="exact"/>
        <w:rPr>
          <w:sz w:val="20"/>
          <w:szCs w:val="20"/>
          <w:color w:val="auto"/>
        </w:rPr>
      </w:pPr>
    </w:p>
    <w:p>
      <w:pPr>
        <w:ind w:left="4460" w:right="820" w:hanging="4431"/>
        <w:spacing w:after="0" w:line="778"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and six months ended June 30, 2019 and 2018 (in thousands, except percentages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4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94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9"/>
              </w:rPr>
              <w:t>Change</w:t>
            </w: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$ 407,719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$ 333,934</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$ 778,494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$ 622,304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322,403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257,235</w:t>
            </w:r>
          </w:p>
        </w:tc>
        <w:tc>
          <w:tcPr>
            <w:tcW w:w="14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25.3 %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639,214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499,661</w:t>
            </w:r>
          </w:p>
        </w:tc>
        <w:tc>
          <w:tcPr>
            <w:tcW w:w="1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76,699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46,284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55,546</w:t>
            </w:r>
          </w:p>
        </w:tc>
        <w:tc>
          <w:tcPr>
            <w:tcW w:w="14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(16.7)%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68,954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82,885</w:t>
            </w:r>
          </w:p>
        </w:tc>
        <w:tc>
          <w:tcPr>
            <w:tcW w:w="1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available to common shareholders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55,546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(11.1)%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92"/>
              </w:rPr>
              <w:t>Net income available to common shareholders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per share - diluted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(12.0)%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0"/>
                <w:szCs w:val="20"/>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increase in our total revenues for the three months ended June 30, 2019, as compared to the same period in 2018, is attributable to increases in our Hospitality segment and Entertainment segment of $65.4 million and $8.4 million, respectively, each as discussed more fully below. The increase in our total revenues for the six months ended June 30, 2019, as compared to the same period in 2018, is attributable to increases in our Hospitality segment and Entertainment segment of $137.8 million and $18.4 million, respectively, each as discussed more fully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The increase in our total operating expenses for the three months ended June 30, 2019, as compared to the same period in 2018, is primarily the result of increases in our Hospitality segment and Entertainment segment expenses of $39.9 million and $2.8 million, respectively, as well as an increase in depreciation and amortization expense of $23.6 million, each as discussed more fully below. The increase in our total operating expenses for the six months ended June 30, 2019, as compared to the same period in 2018, is primarily the result of increases in our Hospitality segment and Entertainment segment expenses of $83.0 million and $9.1 million, respectively, as well as an increase in depreciation and amortization expense of $47.9 million, each as discussed more fully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our net income to $46.3 million for the three months ended June 30, 2019, as compared to $55.5 million for the same period in 2018, was primarily due to the changes in our revenues and operating expenses reflected above, and the following factors, each as described more fully below:</w:t>
      </w:r>
    </w:p>
    <w:p>
      <w:pPr>
        <w:spacing w:after="0" w:line="141" w:lineRule="exact"/>
        <w:rPr>
          <w:sz w:val="20"/>
          <w:szCs w:val="20"/>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$13.9 million increase in interest expense in the 2019 period.</w:t>
      </w:r>
    </w:p>
    <w:p>
      <w:pPr>
        <w:spacing w:after="0" w:line="184" w:lineRule="exact"/>
        <w:rPr>
          <w:rFonts w:ascii="Arial" w:cs="Arial" w:eastAsia="Arial" w:hAnsi="Arial"/>
          <w:sz w:val="18"/>
          <w:szCs w:val="18"/>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$2.6 million increase in the provision for income taxes in the 2019 period.</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our net income to $69.0 million for the six months ended June 30, 2019, as compared to $82.9 million for the same period in 2018, was primarily due to the changes in our revenues and operating expenses reflected above, and the following factors, each as described more fully below:</w:t>
      </w:r>
    </w:p>
    <w:p>
      <w:pPr>
        <w:spacing w:after="0" w:line="141" w:lineRule="exact"/>
        <w:rPr>
          <w:sz w:val="20"/>
          <w:szCs w:val="20"/>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$29.2 million increase in interest expense for the 2019 period.</w:t>
      </w:r>
    </w:p>
    <w:p>
      <w:pPr>
        <w:spacing w:after="0" w:line="184"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$2.3 million increase in the provision for income taxes in the 2019 period.</w:t>
      </w:r>
    </w:p>
    <w:p>
      <w:pPr>
        <w:spacing w:after="0" w:line="19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increase in interest expense in both periods was due primarily to interest expense related to the Gaylord Rockies construction and mezzanine loans, which the Company began consolidating at December 31, 2018, as well as increased interest expense related to the Company’s revolving credit facility, due to increased borrowings.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Performance</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most important factors and trends contributing to our performance during the three months and six months ended June 30, 2019 described herein were:</w:t>
      </w:r>
    </w:p>
    <w:p>
      <w:pPr>
        <w:spacing w:after="0" w:line="143" w:lineRule="exact"/>
        <w:rPr>
          <w:sz w:val="20"/>
          <w:szCs w:val="20"/>
          <w:color w:val="auto"/>
        </w:rPr>
      </w:pPr>
    </w:p>
    <w:p>
      <w:pPr>
        <w:ind w:left="680" w:right="240" w:hanging="320"/>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opening of Gaylord Rockies on a limited basis in December 2018 and on a fully operational basis in the first quarter of 2019, and the resulting impact on our financial results.</w:t>
      </w:r>
    </w:p>
    <w:p>
      <w:pPr>
        <w:spacing w:after="0" w:line="129" w:lineRule="exact"/>
        <w:rPr>
          <w:rFonts w:ascii="Arial" w:cs="Arial" w:eastAsia="Arial" w:hAnsi="Arial"/>
          <w:sz w:val="18"/>
          <w:szCs w:val="18"/>
          <w:color w:val="auto"/>
        </w:rPr>
      </w:pPr>
    </w:p>
    <w:p>
      <w:pPr>
        <w:ind w:left="680" w:right="280" w:hanging="320"/>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occupied rooms (an increase of 15.5% and 18.7%, respectively) and outside-the-room spending (an increase of 21.8% and 22.4%, respectively) at Gaylord Texan during the 2019 periods, as compared to the 2018 periods, primarily due to increases in group business partially attributable to the recent rooms and meeting space expansion, which opened in the second quarter of 2018.</w:t>
      </w:r>
    </w:p>
    <w:p>
      <w:pPr>
        <w:spacing w:after="0" w:line="146" w:lineRule="exact"/>
        <w:rPr>
          <w:rFonts w:ascii="Arial" w:cs="Arial" w:eastAsia="Arial" w:hAnsi="Arial"/>
          <w:sz w:val="18"/>
          <w:szCs w:val="18"/>
          <w:color w:val="auto"/>
        </w:rPr>
      </w:pPr>
    </w:p>
    <w:p>
      <w:pPr>
        <w:ind w:left="680" w:right="120" w:hanging="320"/>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outside-the-room spending (an increase of 5.8% and 8.1%, respectively) at Gaylord Opryland during the 2019 periods, as compared to the 2018 periods, primarily due to increased catering and food and beverage outlet revenue, as well as the opening of SoundWaves.</w:t>
      </w:r>
    </w:p>
    <w:p>
      <w:pPr>
        <w:spacing w:after="0" w:line="154" w:lineRule="exact"/>
        <w:rPr>
          <w:rFonts w:ascii="Arial" w:cs="Arial" w:eastAsia="Arial" w:hAnsi="Arial"/>
          <w:sz w:val="18"/>
          <w:szCs w:val="18"/>
          <w:color w:val="auto"/>
        </w:rPr>
      </w:pPr>
    </w:p>
    <w:p>
      <w:pPr>
        <w:ind w:left="680" w:right="40" w:hanging="320"/>
        <w:spacing w:after="0" w:line="25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revenue for our Entertainment segment during the 2019 periods, as compared to the 2018 periods (an increase of 19.9% and 28.1%, respectively), due primarily to the operations of our flagship Ole Red location, which opened in Nashville in May 2018, as well as the opening of Ole Red Gatlinburg in March 2019. In addition, revenues increased at the Grand Ole Opry and Ryman Auditorium due to increased shows, attendance and retail revenue.</w:t>
      </w:r>
    </w:p>
    <w:p>
      <w:pPr>
        <w:spacing w:after="0" w:line="147" w:lineRule="exact"/>
        <w:rPr>
          <w:rFonts w:ascii="Arial" w:cs="Arial" w:eastAsia="Arial" w:hAnsi="Arial"/>
          <w:sz w:val="18"/>
          <w:szCs w:val="18"/>
          <w:color w:val="auto"/>
        </w:rPr>
      </w:pPr>
    </w:p>
    <w:p>
      <w:pPr>
        <w:ind w:left="680" w:right="280" w:hanging="320"/>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expenses for our Entertainment segment during the 2019 periods, as compared to the 2018 periods (an increase of 9.3% and 18.3%, respectively), due primarily to the operations of Ole Red Nashville and Ole Red Gatlinburg, as well as increased expenses at the Ryman Auditorium primarily due to the increase in variable expenses associated with the increase in revenue.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Hospitality segment for the three months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2019 and 2018 (in thousands, except percentages and performance metrics):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480" w:type="dxa"/>
            <w:vAlign w:val="bottom"/>
          </w:tcPr>
          <w:p>
            <w:pPr>
              <w:jc w:val="right"/>
              <w:ind w:right="92"/>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2"/>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144,704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121,745</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18.9 %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276,916</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229,309</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173,030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141,053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344,173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hotel revenue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39,395</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28,958</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36.0 %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53,566</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hospitality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357,129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291,756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694,639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Hospitality 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72,394</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182,039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144,372</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181,466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8,635</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15,765</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100,464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Total Hospitality operating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expenses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278,036</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215,054</w:t>
            </w:r>
          </w:p>
        </w:tc>
        <w:tc>
          <w:tcPr>
            <w:tcW w:w="2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29.3 %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555,192</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425,172</w:t>
            </w: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Hospitality operating income (1)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79,093</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76,702</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139,447</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131,695</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2880" w:type="dxa"/>
            <w:vAlign w:val="bottom"/>
            <w:gridSpan w:val="3"/>
            <w:vMerge w:val="restart"/>
          </w:tcPr>
          <w:p>
            <w:pPr>
              <w:spacing w:after="0"/>
              <w:rPr>
                <w:sz w:val="20"/>
                <w:szCs w:val="20"/>
                <w:color w:val="auto"/>
              </w:rPr>
            </w:pPr>
            <w:r>
              <w:rPr>
                <w:rFonts w:ascii="Arial" w:cs="Arial" w:eastAsia="Arial" w:hAnsi="Arial"/>
                <w:sz w:val="18"/>
                <w:szCs w:val="18"/>
                <w:color w:val="auto"/>
              </w:rPr>
              <w:t>Hospitality performance metrics: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Occupancy (2)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79.0 %</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(1.0)pts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76.4 %</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ADR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201.58</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200.16</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0.7 %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201.34</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197.72</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RevPAR (3)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Total RevPAR (4)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388.18</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378.94</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379.60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366.97</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Net Definite Group Room Nights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Booked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487,224</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632,518</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760,677</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1,035,562</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w w:val="95"/>
              </w:rPr>
              <w:t>Same-store  Hospitality  performance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metrics (5):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Occupancy (2)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79.0 %</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 pts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76.4 %</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ADR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201.24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200.16</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0.5 %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201.43</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197.72</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RevPAR (3)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Total RevPAR (4)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385.10</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378.94</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381.18</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366.97</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Net Definite Group Room Nights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Booked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386,075</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500,653</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623,531</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845,293</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(26.2)%</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1"/>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Hospitality segment operating income does not include preopening costs (credit) of $(0.1) million and $0.6 million in the three months ended June 30, 2019 and 2018, respectively, and $0.6 million and $2.0 million in the six months ended June 30, 2019 and 2018, respectively. See discussion of preopening costs below.</w:t>
      </w:r>
    </w:p>
    <w:p>
      <w:pPr>
        <w:spacing w:after="0" w:line="154" w:lineRule="exact"/>
        <w:rPr>
          <w:rFonts w:ascii="Arial" w:cs="Arial" w:eastAsia="Arial" w:hAnsi="Arial"/>
          <w:sz w:val="18"/>
          <w:szCs w:val="18"/>
          <w:color w:val="auto"/>
        </w:rPr>
      </w:pPr>
    </w:p>
    <w:p>
      <w:pPr>
        <w:ind w:left="340" w:hanging="331"/>
        <w:spacing w:after="0" w:line="30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Hospitality segment occupancy percentage was impacted in the 2019 periods due to the addition of 303 rooms associated with the 2018 Gaylord Texan expansion, as well as the addition of Gaylord Rockies and the related impact on additional rooms available. For the three months and six months ended June 30, 2019, actual occupied rooms increased 18.0% and 18.6%, respectively, on a consolidated basis and 2.7% and 4.1%, respectively, on a same-store basis.</w:t>
      </w:r>
    </w:p>
    <w:p>
      <w:pPr>
        <w:spacing w:after="0" w:line="113" w:lineRule="exact"/>
        <w:rPr>
          <w:rFonts w:ascii="Arial" w:cs="Arial" w:eastAsia="Arial" w:hAnsi="Arial"/>
          <w:sz w:val="16"/>
          <w:szCs w:val="16"/>
          <w:color w:val="auto"/>
        </w:rPr>
      </w:pPr>
    </w:p>
    <w:p>
      <w:pPr>
        <w:ind w:left="340" w:right="800" w:hanging="331"/>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100" w:hanging="331"/>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54"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Same-store Hospitality segment performance metrics do not include Gaylord Rockies, which opened in December 2018.</w:t>
      </w:r>
    </w:p>
    <w:p>
      <w:pPr>
        <w:spacing w:after="0" w:line="20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increase in total Hospitality segment revenue in the three months ended June 30, 2019, as compared to the same period in 2018, is primarily due to increases of $10.7 million and $4.1 million at Gaylord Texan and Gaylord Opryland, respectively, as well as revenue from Gaylord Rockies of $55.4 million, partially offset by decreases of $2.9 million and $1.6 million at Gaylord Palms and Gaylord National, respectively. The increase in total Hospitality segment revenue in the six months ended June 30, 2019, as compared to the same period in 2018, is primarily due to increases of $24.4 million,</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$10.3 million and $3.3 million at Gaylord Texan, Gaylord Opryland and Gaylord National, respectively, as well as revenue from Gaylord Rockies of $100.7 million. See below for further discussion.</w:t>
      </w:r>
    </w:p>
    <w:p>
      <w:pPr>
        <w:spacing w:after="0" w:line="1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Hospitality segment revenues in the three months and six months ended June 30, 2019 include $7.0 million and $9.7 million, respectively, in attrition and cancellation fee collections, an increase of $3.1 million and $4.6 million from the 2018 periods.</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5"/>
              </w:rPr>
              <w:t>Three Months Ended</w:t>
            </w:r>
          </w:p>
        </w:tc>
        <w:tc>
          <w:tcPr>
            <w:tcW w:w="15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3860" w:type="dxa"/>
            <w:vAlign w:val="bottom"/>
          </w:tcPr>
          <w:p>
            <w:pPr>
              <w:spacing w:after="0"/>
              <w:rPr>
                <w:sz w:val="14"/>
                <w:szCs w:val="14"/>
                <w:color w:val="auto"/>
              </w:rPr>
            </w:pPr>
          </w:p>
        </w:tc>
        <w:tc>
          <w:tcPr>
            <w:tcW w:w="96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8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25 %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23 %</w:t>
            </w:r>
          </w:p>
        </w:tc>
      </w:tr>
    </w:tbl>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Rooms operating expenses increased in the three months and six months ended June 30, 2019, as compared to the same periods in 2018, due primarily to the addition of Gaylord Rockies, as well as increased variable costs at Gaylord Texan, as described below.</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Food and beverage operating expenses increased in the three months and six months ended June 30, 2019, as compared to the same periods in 2018, primarily due to the addition of Gaylord Rockies, as well as increased variable costs at Gaylord Texan and Gaylord Opryland, as described below.</w:t>
      </w:r>
    </w:p>
    <w:p>
      <w:pPr>
        <w:spacing w:after="0" w:line="15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Other hotel expenses for the three months and six months ended June 30, 2019 and 2018 consist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80" w:type="dxa"/>
            <w:vAlign w:val="bottom"/>
            <w:gridSpan w:val="6"/>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5"/>
          </w:tcPr>
          <w:p>
            <w:pPr>
              <w:jc w:val="center"/>
              <w:ind w:left="275"/>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38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8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50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$ 34,493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$ 27,963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Utilities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6,915</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13,173</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10.7 %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38,820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33,486</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66,377</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hotel expenses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$ 90,527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$ 76,733</w:t>
            </w:r>
          </w:p>
        </w:tc>
        <w:tc>
          <w:tcPr>
            <w:tcW w:w="1020" w:type="dxa"/>
            <w:vAlign w:val="bottom"/>
            <w:tcBorders>
              <w:top w:val="single" w:sz="8" w:color="CCEEFF"/>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18.0 %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181,466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152,615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ended June 30, 2019, as compared to the same period in 2018, primarily due to expense related to Gaylord Rockies. Administrative employment costs increased during the six months ended June 30, 2019, as compared to the same period in 2018, primarily due to expense related to Gaylord Rockies, as well as increased expenses at Gaylord Texan, Gaylord Palms and Gaylord National. Utility costs increased during the three months and six months ended June 30, 2019, as compared to the same periods in 2018,</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primarily due to utility costs for Gaylord Rockies. Property taxes increased during the three months and six months ended June 30, 2019, as compared to the 2018 periods, primarily due to an increase at Gaylord Texan due to the 2018 expansion. The six-month 2019 increase also included an increase at Gaylord National as a result of the prior year including a refund from a prior year property tax settlement. Other expenses, which include supplies, advertising, maintenance costs and consulting costs, increased during the three months and six months ended June 30, 2019, as compared to the same periods in 2018, primarily as a result of expense at Gaylord Rockies, as well as various increases at Gaylord Opryland and Gaylord Texan.</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of our management agreements with Marriott for our four owned Gaylord Hotels properties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June 30, 2019 and 2018, we incurred $7.8 million and $5.9 million, respectively, and in the six months ended June 30, 2019 and 2018, we incurred $15.0 million and $11.2 million, respectively, related to base management fees for our Hospitality segment. In addition, in the three months ended June 30, 2019 and 2018, we incurred $3.4 million and $3.5 million, respectively, and in the six months ended June 30, 2019 and 2018, we incurred $6.7 million and $6.0 million, respectively, related to incentive management fees for our Hospitality segment. Management fees are presented throughout this Quarterly Report on Form 10-Q net of the amortization of the $190.0 million in deferred management rights proceeds discussed in Note 8, “Deferred Management Rights Proceeds,” to the accompanying condensed consolidated financial statements included herein.</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Total Hospitality segment depreciation and amortization expense increased in the three months and six months ended June 30, 2019, as compared to the same periods in 2018, primarily due to depreciation and amortization at Gaylord Rockies, which is significantly higher than our other Gaylord Hotel properties due to amortization related to intangible assets that were recognized as part of our increased ownership as of December 31, 2018, as well as higher fixed asset balances than the other hotels.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and six months ended June 30, 2019 and 2018.</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and six months ended June 30,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are as follows (in thousands, except percentages and performance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48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$ 42,372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$ 41,406</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79,306</w:t>
            </w:r>
          </w:p>
        </w:tc>
        <w:tc>
          <w:tcPr>
            <w:tcW w:w="2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77,164</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43,155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20"/>
              <w:spacing w:after="0"/>
              <w:rPr>
                <w:sz w:val="20"/>
                <w:szCs w:val="20"/>
                <w:color w:val="auto"/>
              </w:rPr>
            </w:pPr>
            <w:r>
              <w:rPr>
                <w:rFonts w:ascii="Arial" w:cs="Arial" w:eastAsia="Arial" w:hAnsi="Arial"/>
                <w:sz w:val="18"/>
                <w:szCs w:val="18"/>
                <w:color w:val="auto"/>
              </w:rPr>
              <w:t>Other hotel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14,752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10,354</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42.5 %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25,570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19,345</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94,915</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4.3 %</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187,945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177,660</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tcPr>
          <w:p>
            <w:pPr>
              <w:jc w:val="right"/>
              <w:spacing w:after="0"/>
              <w:rPr>
                <w:sz w:val="20"/>
                <w:szCs w:val="20"/>
                <w:color w:val="auto"/>
              </w:rPr>
            </w:pPr>
            <w:r>
              <w:rPr>
                <w:rFonts w:ascii="Arial" w:cs="Arial" w:eastAsia="Arial" w:hAnsi="Arial"/>
                <w:sz w:val="18"/>
                <w:szCs w:val="18"/>
                <w:color w:val="auto"/>
              </w:rPr>
              <w:t>21,070</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20,647</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40,885</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700" w:type="dxa"/>
            <w:vAlign w:val="bottom"/>
          </w:tcPr>
          <w:p>
            <w:pPr>
              <w:jc w:val="right"/>
              <w:spacing w:after="0"/>
              <w:rPr>
                <w:sz w:val="20"/>
                <w:szCs w:val="20"/>
                <w:color w:val="auto"/>
              </w:rPr>
            </w:pPr>
            <w:r>
              <w:rPr>
                <w:rFonts w:ascii="Arial" w:cs="Arial" w:eastAsia="Arial" w:hAnsi="Arial"/>
                <w:sz w:val="18"/>
                <w:szCs w:val="18"/>
                <w:color w:val="auto"/>
              </w:rPr>
              <w:t>3,357</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3,304</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5,990</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67,875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65,976</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2.9 %</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135,032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128,847</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81.3 %</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81.4 %</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(0.1)pts</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77.7 %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76.9 %</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0.8 pts</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$ 198.41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$ 193.54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$ 161.23</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$ 157.55</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151.72</w:t>
            </w:r>
          </w:p>
        </w:tc>
        <w:tc>
          <w:tcPr>
            <w:tcW w:w="2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147.62</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$ 376.65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$ 361.16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359.55</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40" w:hanging="331"/>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preopening costs of $0.1 million in the six months ended June 30, 2019 and 2018, respectively. See discussion of preopening costs below.</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Rooms revenue and RevPAR increased at Gaylord Opryland during the three months and six months ended June 30, 2019, as compared to the same periods in 2018, as the result of an increase in transient occupancy and an increase in ADR for both group and transient business. Rooms revenue and RevPAR were negatively impacted during the 2019 periods by a rooms renovation project, which resulted in approximately 4,600 and 20,250 room nights out of service, respectively. The rooms renovation project is expected to be completed in the fourth quarter of 2019. Rooms expenses decreased during the 2019 periods, as compared to the 2018 periods, primarily due to decreased group commissions and contract services.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Food and beverage revenue decreased at Gaylord Opryland during the three months ended June 30, 2019, as compared to the same period in 2018 due to a decrease in catering. The increase in food and beverage revenue at Gaylord Opryland during the six months ended June 30, 2019, as compared to the same period in 2018, was primarily due to increases in food and beverage outlets, including SoundWaves. Food and beverage expenses increased in the 2019 periods, as compared to the 2018 periods, primarily due to increased employment costs.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hotel revenue increased at Gaylord Opryland during the three months and six months ended June 30, 2019, as compared to the same periods in 2018, primarily due to revenues from SoundWaves, as well as an increase in attrition and cancellation fee collections. Other hotel expenses increased in the 2019 periods, as compared to the 2018 periods, primarily due to additional operating expense for SoundWaves.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and amortization decreased slightly at Gaylord Opryland during the three months and six months ended June 30, 2019, as compared to the same periods in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and six months ended June 30, 2019 and 2018 are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6"/>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2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48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Rooms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$ 19,575</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$ 19,587</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42,077</w:t>
            </w:r>
          </w:p>
        </w:tc>
        <w:tc>
          <w:tcPr>
            <w:tcW w:w="1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41,691</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25,383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5,607</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5,304</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11,541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10,830</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107,273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108,170</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13,180</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26,396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27,451</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Management fees, net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1,501</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39,898</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81,546</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76.9 %</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80.8 %</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(3.9)pts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79.8 %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81.5 %</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$ 188.15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RevPAR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$ 151.91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$ 152.01</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164.18</w:t>
            </w:r>
          </w:p>
        </w:tc>
        <w:tc>
          <w:tcPr>
            <w:tcW w:w="1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162.67</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$ 367.51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$ 390.16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Rooms revenue and RevPAR were stable during the three months ended June 30, 2019, as compared to the same period in 2018. Rooms revenue and RevPAR increased at Gaylord Palms during the six months ended June 30, 2019, as compared to the same period in 2018, due primarily to an increase in ADR for groups. Rooms expenses decreased during the 2019 periods, as compared to the 2018 periods, primarily due to a decrease in group commissions.</w:t>
      </w:r>
    </w:p>
    <w:p>
      <w:pPr>
        <w:spacing w:after="0" w:line="131"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Food and beverage revenue decreased at Gaylord Palms during the three months and six months ended June 30, 2019, as compared to the same periods in 2018, due primarily to a decrease in both catering and food and beverage outlet revenue. Food and beverage expenses decreased in the 2019 periods, as compared to the 2018 periods, due primarily to decreased variable costs associated with the decrease in revenue.</w:t>
      </w:r>
    </w:p>
    <w:p>
      <w:pPr>
        <w:spacing w:after="0" w:line="13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Other hotel revenue at Gaylord Palms increased during the three months and six months ended June 30, 2019, as compared to the same periods in 2018, primarily due to an increase in attrition and cancellation fee collections. The six-month 2019 increase also includes an increase in resort fees driven by an increase in the resort fee rate. Other hotel expenses increased in the 2019 periods, as compared to the 2018 periods, primarily as a result of higher employment costs.</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and amortization increased slightly at Gaylord Palms during the three months and six months ended June 30, 2019, as compared to the same periods in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and six months ended June 30, 2019 and 2018 are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48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$ 24,203</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$ 21,552</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12.3 %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49,408</w:t>
            </w:r>
          </w:p>
        </w:tc>
        <w:tc>
          <w:tcPr>
            <w:tcW w:w="1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41,832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Other hotel revenue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6,934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6,656</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11,564</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58,611</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141,365</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116,968</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17,907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15,052</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36,144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31,302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2,337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3,773</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 (1)</w:t>
            </w:r>
          </w:p>
        </w:tc>
        <w:tc>
          <w:tcPr>
            <w:tcW w:w="5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43,114</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86,024</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77.4 %</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73.0 %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 pts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77.6 %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74.6 %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$ 189.46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$ 194.82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$ 146.62</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$ 142.18</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150.48</w:t>
            </w:r>
          </w:p>
        </w:tc>
        <w:tc>
          <w:tcPr>
            <w:tcW w:w="1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145.47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$ 419.97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$ 386.67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20" w:hanging="331"/>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Gaylord Texan operating expenses do not include preopening costs of $0.5 million and $2.0 million in the three months and six months ended June 30, 2018, respectively. See discussion of preopening costs below.</w:t>
      </w:r>
    </w:p>
    <w:p>
      <w:pPr>
        <w:spacing w:after="0" w:line="14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Rooms revenue and RevPAR increased at Gaylord Texan during the three months and six months ended June 30, 2019, as compared to the same periods in 2018, due primarily to an increase in occupancy for both groups and transient, partially offset by a decrease in ADR for both groups and transient. The 2019 periods were also positively impacted by additional room availability from the 2018 rooms expansion, which resulted in an increase in actual rooms sold of 15.5% and 18.7%, respectively, compared to the 2018 periods. Rooms expenses increased during the 2019 periods, as compared to the 2018 periods, primarily due to increased variable costs associated with the increase in rooms sold and increased capacity.</w:t>
      </w:r>
    </w:p>
    <w:p>
      <w:pPr>
        <w:spacing w:after="0" w:line="12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Food and beverage revenue increased at Gaylord Texan during the three months and six months ended June 30, 2019, as compared to the same periods in 2018, due to an increase in catering. Food and beverage expenses increased in the 2019 periods, as compared to the 2018 periods, primarily due to an increase in variable costs associated with the increase in revenue, partially offset by improved labor efficiency.</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Other hotel revenue at Gaylord Texan increased during the three months and six months ended June 30, 2019, as compared to the same periods in 2018, primarily as a result of an increase in parking and resort fees associated with the increase in total rooms nights sold, partially offset by a decrease in attrition and cancellation fee collections. Other hotel expenses increased in the 2019 periods, as compared to the 2018 periods, due primarily to increases in property taxes as a result of the 2018 expansion, as well as an increase in marketing, maintenance and credit card expenses.</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Depreciation and amortization increased at Gaylord Texan during the three months and six months ended June 30, 2019, as compared to the 2018 periods, primarily as a result of the 2018 rooms and meeting space expansion that resulted in increased depreciable asset levels.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and six months ended June 30,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are as 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20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48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Rooms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$ 33,048</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$ 32,415</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61,274</w:t>
            </w:r>
          </w:p>
        </w:tc>
        <w:tc>
          <w:tcPr>
            <w:tcW w:w="1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57,608</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6,247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6,526</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11,664</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143,758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140,443</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22,486</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22,468</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43,023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42,810</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Management fees, 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1,368</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2,363</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60,158</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120,480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117,597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81.4 %</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78.6 %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 pts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76.7 %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74.7 %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$ 223.66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$ 227.17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RevPAR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$ 181.95</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$ 178.46</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169.61</w:t>
            </w:r>
          </w:p>
        </w:tc>
        <w:tc>
          <w:tcPr>
            <w:tcW w:w="1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159.46</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$ 430.14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$ 438.72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Rooms revenue and RevPAR increased at Gaylord National during the three months and six months ended June 30, 2019, as compared to the same periods in 2018. The three-month 2019 increase was due primarily to an increase in group occupancy and transient ADR. The six-month 2019 increase was due primarily to an increase in ADR for both group and transient business, as well as an increase in group occupancy. Rooms expenses increased at Gaylord National during the 2019 periods, as compared to the 2018 periods, primarily due to increased variable costs associated with the increase in occupancy.</w:t>
      </w:r>
    </w:p>
    <w:p>
      <w:pPr>
        <w:spacing w:after="0" w:line="11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Food and beverage revenue decreased at Gaylord National during the three months and six months ended June 30, 2019, as compared to the same periods in 2018, primarily as a result of a decrease in catering. Food and beverage expenses increased in the 2019 periods, as compared to the 2018 periods, as a result of increased employment costs.</w:t>
      </w:r>
    </w:p>
    <w:p>
      <w:pPr>
        <w:spacing w:after="0" w:line="1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Other hotel revenue decreased at Gaylord National during the three months ended June 30, 2019, as compared to the same period in 2018, primarily due to a decrease in attrition and cancellation fee collections. Other hotel revenue increased during the six months ended June 30, 2019, as compared to the same period in 2018, primarily due to an increase in resort fees associated with the increase in occupancy. Other hotel expenses increased in the 2019 periods, as compared to the 2018 periods, due to an increase in credit card expense. In addition, the six-month 2019 period was impacted by an increase in property tax expense due to the six-month 2018 period including a refund from a previous property tax settlement.</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and amortization at Gaylord National increased slightly during the three months and six months ended June 30, 2019, as compared to the same periods in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and six months ended June 30,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6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33,795</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56,871</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10,013</w:t>
            </w:r>
          </w:p>
        </w:tc>
        <w:tc>
          <w:tcPr>
            <w:tcW w:w="260" w:type="dxa"/>
            <w:vAlign w:val="bottom"/>
            <w:tcBorders>
              <w:bottom w:val="single" w:sz="8" w:color="CCEEFF"/>
            </w:tcBorders>
          </w:tcPr>
          <w:p>
            <w:pPr>
              <w:spacing w:after="0"/>
              <w:rPr>
                <w:sz w:val="18"/>
                <w:szCs w:val="18"/>
                <w:color w:val="auto"/>
              </w:rPr>
            </w:pPr>
          </w:p>
        </w:tc>
      </w:tr>
      <w:tr>
        <w:trPr>
          <w:trHeight w:val="210"/>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100,679</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31,961</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4,002</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44,926</w:t>
            </w:r>
          </w:p>
        </w:tc>
        <w:tc>
          <w:tcPr>
            <w:tcW w:w="260" w:type="dxa"/>
            <w:vAlign w:val="bottom"/>
            <w:shd w:val="clear" w:color="auto" w:fill="CCEEFF"/>
          </w:tcPr>
          <w:p>
            <w:pPr>
              <w:spacing w:after="0"/>
              <w:rPr>
                <w:sz w:val="18"/>
                <w:szCs w:val="18"/>
                <w:color w:val="auto"/>
              </w:rPr>
            </w:pPr>
          </w:p>
        </w:tc>
      </w:tr>
      <w:tr>
        <w:trPr>
          <w:trHeight w:val="21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108,661</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68.4 %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62.0 %</w:t>
            </w: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200.71</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124.39</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370.58</w:t>
            </w:r>
          </w:p>
        </w:tc>
        <w:tc>
          <w:tcPr>
            <w:tcW w:w="26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80" w:lineRule="exact"/>
        <w:rPr>
          <w:sz w:val="20"/>
          <w:szCs w:val="20"/>
          <w:color w:val="auto"/>
        </w:rPr>
      </w:pPr>
    </w:p>
    <w:p>
      <w:pPr>
        <w:ind w:left="340" w:right="260" w:hanging="331"/>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Gaylord Rockies operating expenses do not include preopening costs (credit) of $(0.1) million and $0.6 million in the three months and six months ended June 30, 2019, respectively. See discussion of preopening costs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Entertainment segment for the three months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and 2018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40" w:type="dxa"/>
            <w:vAlign w:val="bottom"/>
            <w:gridSpan w:val="7"/>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5"/>
          </w:tcPr>
          <w:p>
            <w:pPr>
              <w:jc w:val="center"/>
              <w:ind w:left="396"/>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40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84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84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5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5"/>
              </w:rPr>
              <w:t>Change</w:t>
            </w:r>
          </w:p>
        </w:tc>
        <w:tc>
          <w:tcPr>
            <w:tcW w:w="84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$ 50,590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42,178</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$ 83,855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$ 65,437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33,059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30,254</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9.3 %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58,700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49,620</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3"/>
              </w:rPr>
              <w:t>Depreciation and amortization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9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auto"/>
              </w:rPr>
              <w:t>Operating income (1)</w:t>
            </w:r>
          </w:p>
        </w:tc>
        <w:tc>
          <w:tcPr>
            <w:tcW w:w="17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$ 14,701</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53.0 %</w:t>
            </w: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$ 19,846</w:t>
            </w:r>
          </w:p>
        </w:tc>
        <w:tc>
          <w:tcPr>
            <w:tcW w:w="160" w:type="dxa"/>
            <w:vAlign w:val="bottom"/>
            <w:gridSpan w:val="2"/>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$ 11,545</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71.9 %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340" w:hanging="331"/>
        <w:spacing w:after="0" w:line="286"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Entertainment segment operating income does not include preopening costs of $0.1 million and $1.0 million in the three months ended June 30, 2019 and 2018, respectively, and $1.5 million and $1.6 million in the six months ended June 30, 2019 and 2018, respectively. See discussion of preopening costs below.</w:t>
      </w:r>
    </w:p>
    <w:p>
      <w:pPr>
        <w:spacing w:after="0" w:line="1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Entertainment segment revenue increased during the three months and six months ended June 30, 2019, as compared to the same periods in 2018, primarily due to the operations of our flagship Ole Red location in Nashville, which opened in May 2018, as well as the opening of Ole Red Gatlinburg in March 2019. In addition, revenues increased at the Grand Ole Opry during the three-month 2019 period due to increased ticket pricing, tours and retail, and during the six-month 2019 period due to increased shows, attendance, ticket pricing, tours and retail. Revenues increased at the Ryman Auditorium in both periods due to increased shows, attendance and retail revenue.</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Entertainment operating expenses increased during the three months and six months ended June 30, 2019, as compared to the same periods in 2018, primarily as a result of the operations of Ole Red Nashville and Ole Red Gatlinburg. In addition, operating expenses increased at the Ryman Auditorium primarily due to the increase in variable expenses associated with the increase in revenue.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Entertainment depreciation expense increased in the three months and six months ended June 30, 2019, as compared to the same periods in 2018, primarily as a result of Ole Red Nashville and Ole Red Gatlinburg and the associated increased depreciable asset levels.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2019 and 2018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4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62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50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88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w w:val="98"/>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(8,087)</w:t>
            </w:r>
          </w:p>
        </w:tc>
        <w:tc>
          <w:tcPr>
            <w:tcW w:w="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(17,903)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(16,925)</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information technology and other administrative costs, increased in the three months and six months ended June 30, 2019, as compared to the same periods in 2018, primarily due to an increase in administrative and employment costs associated with supporting our growth initiatives within our Hospitality and Entertainment segments.</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Corporate and Other depreciation and amortization expense decreased in the three months and six months ended June 30, 2019, as compared with the same periods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Preopening costs of $2.1 million during the six months ended June 30, 2019 primarily include costs associated with Ole Red Gatlinburg, which opened in March 2019, and Gaylord Rockies, which opened on a fully operational basis in first quarter 2019. Preopening costs of $1.5 million and $3.7 million during the three months and six months ended June 30, 2018, respectively, primarily include costs associated with an expansion of the guest rooms and convention space at Gaylord Texan, which opened in the second quarter of 2018, and costs associated with Ole Red Nashville, which opened in May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other factors which affected our net income for the three months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5"/>
          </w:tcPr>
          <w:p>
            <w:pPr>
              <w:ind w:left="54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ind w:left="660"/>
              <w:spacing w:after="0"/>
              <w:rPr>
                <w:sz w:val="20"/>
                <w:szCs w:val="20"/>
                <w:color w:val="auto"/>
              </w:rPr>
            </w:pPr>
            <w:r>
              <w:rPr>
                <w:rFonts w:ascii="Arial" w:cs="Arial" w:eastAsia="Arial" w:hAnsi="Arial"/>
                <w:sz w:val="14"/>
                <w:szCs w:val="14"/>
                <w:b w:val="1"/>
                <w:bCs w:val="1"/>
                <w:color w:val="auto"/>
                <w:w w:val="97"/>
              </w:rPr>
              <w:t>Six Months Ended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30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90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60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33,492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19,625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65,579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36,354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Interest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7.4 %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joint ventures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(112.4)%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208.3 %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Interest expense increased $13.9 million during the three months and increased $29.2 million during the six months ended June 30, 2019, as compared to the same periods in 2018, due primarily to interest expense related to the Gaylord Rockies construction and mezzanine loans, which the Company began consolidating at December 31, 2018, as well as</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increased interest expense related to the Company’s revolving credit facility due to increased borrowings, and a decrease in capitalized interest in the 2019 periods. These increases were partially offset by the 2018 periods including $2.0 million in deferred financing cost write-offs associated with the refinancing of our $500 million term loan B facility.</w:t>
      </w:r>
    </w:p>
    <w:p>
      <w:pPr>
        <w:spacing w:after="0" w:line="1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interest expense increased $12.7 million to $31.9 million in the three months and increased $25.5 million to $62.6 million in the six months ended June 30, 2019, as compared to the same periods in 2018. Non-cash interest expense, which includes amortization and write-off of deferred financing costs, offset by capitalized interest, increased $1.2 million to $1.6 million in the three months and increased $3.7 million to $3.0 million in the six months ended June 30, 2019, as compared to the same periods in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weighted average interest rate on our borrowings, excluding capitalized interest, was 5.3% and 4.8% for the</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three months ended June 30, 2019 and 2018, respectively and 5.2% and 4.7% for the six months ended June 30,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income for the three months and six months ended June 30, 2019 and 2018 primarily includes amounts earned on the bonds that were received in connection with the development of Gaylord National, which we hold as notes receivable. See Note 6, “Notes Receivable,” to the accompanying condensed consolidated financial statements for additional discussion of interest income on these bonds.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Joint Ventures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loss from joint ventures for the three months and six months ended June 30, 2019 represents preopening losses associated with the joint venture that we entered into in April 2019 with Gray Television, Inc. to create and distribute a linear multicast and over-the-top channel dedicated to the country music lifestyle. The income (loss) from joint ventures for the three months and six months ended June 30, 2018 primarily represents preopening expenses incurred by our Gaylord Rockies joint venture, which opened on a limited basis in December 2018 and on a fully operational basis in first quarter 2019, as well as losses incurred by our previous Opry City Stage joint venture. In addition, the 2018 periods include a gain of $2.8 million recognized from the re-measurement of the pre-existing Opry City Stage equity method investment prior to the Company’s purchase of the remaining joint venture interest in the second quarter of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Other gains and (losses), net for the three months and six months ended June 30, 2019 and 2018 represents various miscellaneous items.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June 30, 2019 and 2018, we recorded an income tax provision of $8.2 million and $5.7 million, respectively. For the six months ended June 30, 2019 and 2018, we recorded an income tax provision of $10.2 million and $7.9 million, respectively. These results differ from the statutory rate primarily due to the REIT dividends paid deduction in all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Cash flow from operating activities is the principal source of cash used to fund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interest payments on debt, maintenance capital expenditures, and dividends to stockholders. During the six months ended June 30, 2019, our net cash flows provided by operating activities were $138.6 million, primarily reflecting cash provided by our income before depreciation expense, amortization expense and other non-cash charges of approximately $191.7 million, partially offset by unfavorable changes in working capital of approximately $53.1 million. The unfavorable changes in working capital primarily resulted from a decrease in accounts payable and</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accrued liabilities primarily attributable to the payment of liabilities associated with our Christmas-related and incentive compensation programs, an increase in accounts receivable due to a seasonal change in the timing of payments received from corporate group customers at our Gaylord Hotels properties, as well as Gaylord Rockies becoming fully operational in 2019. These decreases in cash were partially offset by an increase in accrued interest associated with our outstanding debt and an increase in deferred revenue, primarily attributable to the timing of advanced payments received on upcoming hotel stays and ticketed events at our entertainment venues.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2018, our net cash flows provided by operating activities were $131.7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primarily reflecting cash provided by our income before depreciation expense, amortization expense and other non-cash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charges of approximately $158.6 million, partially offset by unfavorable changes in working capital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unfavorable changes in working capital primarily resulted from an increase in trade receivables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seasonal change in the timing of payments received from corporate group customers at our Gaylord Hotels properties, as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decrease in accounts payable and accrued liabilities primarily attributable to the payment of liabilities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Christmas-related and incentive compensation programs.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During the six months ended June 30, 2019, our primary uses of funds for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were purchases of property and equipment, which totaled $69.1 million, and consisted primarily of a rooms renovation at Gaylord Opryland, the expansion of Gaylord Palms, construction of SoundWaves, a renovation at the Grand Ole Opry House, and ongoing maintenance capital expenditures for our existing properties. This use of cash was partially offset by the receipt of $10.4 million received from the redemption of the governmental bonds previously held by the Gaylord Rockies joint venture, as further described in Note 6, “Notes Receivable,” to the condensed consolidated financial statements included herein.</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six months ended June 30, 2018, our primary uses of funds for investing activities were purchases of property and equipment, which totaled $95.4 million and consisted primarily of construction of SoundWaves, the expansion of the guest rooms and convention space at Gaylord Texan, construction of Ole Red Nashville, and ongoing maintenance capital expenditures for our existing properties.</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 Our cash flows from financing activities primarily reflect the incurrence of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long-term debt and the payment of cash dividends. During the six months ended June 30, 2019, our net cash flows used in financing activities were $57.7 million, primarily reflecting the payment of $90.7 million in cash dividends and the distribution by the Gaylord Rockies joint venture of $10.6 million to the noncontrolling interest partners in that joint venture, partially offset by increased borrowings under the Gaylord Rockies construction and mezzanine loans of $37.7 million.</w:t>
      </w:r>
    </w:p>
    <w:p>
      <w:pPr>
        <w:spacing w:after="0" w:line="15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six months ended June 30, 2018, our net cash flows provided by financing activities were $10.3 million, primarily reflecting the payment of $85.1 in cash dividends, partially offset by $80.5 million in net borrowings under our revolving credit facility.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June 30, 2019, we had $103.8 million in unrestricted cash and $170.0 million available for borrowing under our revolving credit facility. Subsequent to the Gaylord Rockies refinancing described in Note 17, “Subsequent Events,” to the condensed consolidated financial statements included herein and the related pay down of our revolving credit facility in July 2019, we had $347.0 million available for borrowing under our revolving credit facility at July 31, 2019. During the six months ended June 30, 2019, we paid cash dividends of $90.7 million, incurred capital expenditures of $69.1 million and increased the borrowings under the Gaylord Rockies construction and mezzanine loans by $37.7 million. These net outflows were offset by cash flows from operating activities discussed above, resulting in the increase in our cash balance from December 31, 2018 to June 30, 2019.</w:t>
      </w:r>
    </w:p>
    <w:p>
      <w:pPr>
        <w:spacing w:after="0" w:line="13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We currently plan to pay a quarterly cash dividend of $0.90 per share in October 2019 and January 2020, subject to determinations as to the timing and amount by our board of directors. We anticipate investing in our operations during the remainder of 2019 by spending between $75 million and $95 million in capital expenditures, which primarily includes ongoing maintenance capital of our current facilities, an expansion of the guest rooms and convention space at Gaylord Palms, a rooms renovation at Gaylord Opryland, and the construction of Ole Red Orlando.</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our cash on hand and cash from operations will be adequate to fund our general short-term commitments, as well as: (i) normal operating expenses, (ii) interest expense on long-term debt obligations, (iii) financing lease and operating lease obligations, and (iv) declared dividends. If our existing cash and cash from operations were inadequate to fund such items, as well as capital expenditures, we could draw on our credit facility, subject to the satisfaction of covenants in the credit facility.</w:t>
      </w:r>
    </w:p>
    <w:p>
      <w:pPr>
        <w:spacing w:after="0" w:line="16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outstanding principal debt agreements are described below. Based on current projections for compliance under our financial covenants contained in these agreements, we do not foresee a maturity issue prior to their scheduled maturity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we were in compliance with all covenants related to our outstanding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May 11, 2017, we entered into a Fifth Amended and Restated Credit Agreement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In addition, on May 23, 2017, we entered into an Amendment No. 1 (the “Amendment No. 1”) and on June 26, 2018, we entered into an Amendment No. 2 (the “Amendment No. 2”) to the Credit Agreement among the same parties, as discussed below. As amended, our credit facility consists of a $700.0 million senior secured revolving credit facility (the “Revolver”), a $200.0 million senior secured term loan A (the “Term Loan A”), and a $500.0 million senior secured term loan B (the “Term Loan B”), each as discussed below.</w:t>
      </w:r>
    </w:p>
    <w:p>
      <w:pPr>
        <w:spacing w:after="0" w:line="1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 Assets of the Gaylord Rockies joint venture are not subject to the liens of our credit facility.</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 (and are unchanged from the previous credit agreement):</w:t>
      </w:r>
    </w:p>
    <w:p>
      <w:pPr>
        <w:spacing w:after="0" w:line="161" w:lineRule="exact"/>
        <w:rPr>
          <w:sz w:val="20"/>
          <w:szCs w:val="20"/>
          <w:color w:val="auto"/>
        </w:rPr>
      </w:pPr>
    </w:p>
    <w:p>
      <w:pPr>
        <w:ind w:left="680" w:right="520" w:hanging="320"/>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29" w:lineRule="exact"/>
        <w:rPr>
          <w:rFonts w:ascii="Arial" w:cs="Arial" w:eastAsia="Arial" w:hAnsi="Arial"/>
          <w:sz w:val="18"/>
          <w:szCs w:val="18"/>
          <w:color w:val="auto"/>
        </w:rPr>
      </w:pPr>
    </w:p>
    <w:p>
      <w:pPr>
        <w:ind w:left="680" w:right="120" w:hanging="320"/>
        <w:spacing w:after="0" w:line="34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must maintain a consolidated tangible net worth (as defined in the Credit Agreement) of not less than $175 million plus 75% of the proceeds received by us or any of our subsidiaries in connection with any equity issuance.</w:t>
      </w:r>
    </w:p>
    <w:p>
      <w:pPr>
        <w:spacing w:after="0" w:line="83" w:lineRule="exact"/>
        <w:rPr>
          <w:rFonts w:ascii="Arial" w:cs="Arial" w:eastAsia="Arial" w:hAnsi="Arial"/>
          <w:sz w:val="16"/>
          <w:szCs w:val="16"/>
          <w:color w:val="auto"/>
        </w:rPr>
      </w:pPr>
    </w:p>
    <w:p>
      <w:pPr>
        <w:ind w:left="680" w:right="140" w:hanging="320"/>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43" w:lineRule="exact"/>
        <w:rPr>
          <w:rFonts w:ascii="Arial" w:cs="Arial" w:eastAsia="Arial" w:hAnsi="Arial"/>
          <w:sz w:val="18"/>
          <w:szCs w:val="18"/>
          <w:color w:val="auto"/>
        </w:rPr>
      </w:pPr>
    </w:p>
    <w:p>
      <w:pPr>
        <w:ind w:left="680" w:right="40" w:hanging="320"/>
        <w:spacing w:after="0" w:line="26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$700 Million Revolving Credit Facility</w:t>
      </w:r>
      <w:r>
        <w:rPr>
          <w:rFonts w:ascii="Arial" w:cs="Arial" w:eastAsia="Arial" w:hAnsi="Arial"/>
          <w:sz w:val="17"/>
          <w:szCs w:val="17"/>
          <w:color w:val="auto"/>
        </w:rPr>
        <w:t>. Pursuant to Amendment No. 1, we extended the maturity of the Revolver to May 23,</w:t>
      </w:r>
      <w:r>
        <w:rPr>
          <w:rFonts w:ascii="Arial" w:cs="Arial" w:eastAsia="Arial" w:hAnsi="Arial"/>
          <w:sz w:val="17"/>
          <w:szCs w:val="17"/>
          <w:i w:val="1"/>
          <w:iCs w:val="1"/>
          <w:color w:val="auto"/>
        </w:rPr>
        <w:t xml:space="preserve"> </w:t>
      </w:r>
      <w:r>
        <w:rPr>
          <w:rFonts w:ascii="Arial" w:cs="Arial" w:eastAsia="Arial" w:hAnsi="Arial"/>
          <w:sz w:val="17"/>
          <w:szCs w:val="17"/>
          <w:color w:val="auto"/>
        </w:rPr>
        <w:t>2021, with two additional six-month extension options, at our election. Borrowings under the Revolver bear interest at an annual rate equal to, at our option, either (i) LIBOR plus the applicable margin ranging from 1.55% to 2.40%, dependent upon our funded debt to total asset value ratio (as defined in the Credit Agreement) or (ii) a base rate as set in the Credit Agreement. At June 30, 2019, the interest rate on the Revolver was LIBOR plus 1.80%. Principal is payable in full at maturity. No additional amounts were borrowed under the Revolver at closing.</w:t>
      </w:r>
    </w:p>
    <w:p>
      <w:pPr>
        <w:spacing w:after="0" w:line="13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At June 30, 2019, $529.0 million of borrowings were outstanding under the Revolver, and the lending banks had issued $1.0 million of letters of credit under the Credit Agreement, which left $170.0 million of availability under the Revolver (subject to the satisfaction of debt incurrence tests under the indentures governing our $350 million in aggregate principal amount of senior notes due 2021 (the “$350 Million 5% Senior Notes”) and $400 million in aggregate principal amount of senior notes due 2023 (the “$400 Million 5% Senior Notes”), which we met at June 30, 2019).</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$200 Million Term Loan A Facility. </w:t>
      </w:r>
      <w:r>
        <w:rPr>
          <w:rFonts w:ascii="Arial" w:cs="Arial" w:eastAsia="Arial" w:hAnsi="Arial"/>
          <w:sz w:val="16"/>
          <w:szCs w:val="16"/>
          <w:color w:val="auto"/>
        </w:rPr>
        <w:t>Amendment No. 1 also provides for the Term Loan A, which has a maturity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May 23, 2022. Borrowings bear interest at an annual rate equal to, at our option, either (i) LIBOR plus the applicable margin ranging from 1.50% to 2.35%, dependent upon our funded debt to total asset value ratio (as defined in the Credit Agreement) or (ii) a base rate as set in the Credit Agreement. At June 30, 2019, the interest rate on the Term Loan A was LIBOR plus</w:t>
      </w:r>
    </w:p>
    <w:p>
      <w:pPr>
        <w:spacing w:after="0" w:line="2"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1.75%. Amounts borrowed under the Term Loan A that are repaid or prepaid may not be reborrowed. At closing, we drew down on the Term Loan A in full and proceeds were used to pay down a portion of the Revolver.</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$500 Million Term Loan B Facility. </w:t>
      </w:r>
      <w:r>
        <w:rPr>
          <w:rFonts w:ascii="Arial" w:cs="Arial" w:eastAsia="Arial" w:hAnsi="Arial"/>
          <w:sz w:val="16"/>
          <w:szCs w:val="16"/>
          <w:color w:val="auto"/>
        </w:rPr>
        <w:t>In May 2017, as part of the Credit Agreement discussed above, we increased the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previous $400 million term loan B to $500 million. The Term Loan B has a maturity date of May 11, 2024. Amendment No. 2 reduced the applicable interest rate margins for borrowings under the Term Loan B to, at our option, either</w:t>
      </w:r>
    </w:p>
    <w:p>
      <w:pPr>
        <w:ind w:right="80" w:firstLine="9"/>
        <w:spacing w:after="0" w:line="286"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LIBOR plus 2.00% or (ii) a base rate as set in the Credit Agreement. At June 30, 2019, the interest rate on the Term Loan B was LIBOR plus 2.00%.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As a result of Amendment No. 2, the commencement date for any Excess Cash Flow payments has been extended to December 31, 2019. Amounts borrowed under the Term Loan B that are repaid or prepaid may not be reborrowed. At closing of Amendment No. 1, we drew down on the Term Loan B in full. Net proceeds, after the repayment of the original $400 million term loan B and certain transaction expenses payable at closing, were used to pay down a portion of the Revolver. Amendment No. 2 did not change the maturity dates existing under the Credit Agreement or result in any increase or decrease in outstanding borrowings. At June 30, 2019, $490.0 million in borrowings were outstanding under the Term Loan B.</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$350 Million 5% Senior Notes. </w:t>
      </w:r>
      <w:r>
        <w:rPr>
          <w:rFonts w:ascii="Arial" w:cs="Arial" w:eastAsia="Arial" w:hAnsi="Arial"/>
          <w:sz w:val="17"/>
          <w:szCs w:val="17"/>
          <w:color w:val="auto"/>
        </w:rPr>
        <w:t>In 2013, the Operating Partnership and Finco completed the private placement of $350.0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aggregate principal amount of senior notes due 2021, which are guaranteed by the Company and its subsidiaries that guarantee the Credit Agreement.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will be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ectPr>
          <w:pgSz w:w="11900" w:h="16838" w:orient="portrait"/>
          <w:cols w:equalWidth="0" w:num="1">
            <w:col w:w="9060"/>
          </w:cols>
          <w:pgMar w:left="1420" w:top="517" w:right="141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$350 Million 5% Senior Notes are redeemable, in whole or in part, at 100.00%, plus accrued and unpaid interest thereon to, but not including, the redemption date.</w:t>
      </w:r>
    </w:p>
    <w:p>
      <w:pPr>
        <w:spacing w:after="0" w:line="1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issuance of the $350 Million 5% Senior Notes, we completed a registered offer to exchange the $350 Million 5% Senior Notes for registered notes with substantially identical terms as the $350 Million 5% Senior Notes in November 2013.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$400 Million 5% Senior Notes. </w:t>
      </w:r>
      <w:r>
        <w:rPr>
          <w:rFonts w:ascii="Arial" w:cs="Arial" w:eastAsia="Arial" w:hAnsi="Arial"/>
          <w:sz w:val="18"/>
          <w:szCs w:val="18"/>
          <w:color w:val="auto"/>
        </w:rPr>
        <w:t>In 2015, the Operating Partnership and Finco completed the private placement of</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$400.0 million in aggregate principal amount of senior notes due 2023. The $400 Million 5% Senior Notes are general unsecured senior obligations of the Company’s issuing subsidiaries and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$350 Million 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3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$400 Million 5% Senior Notes are redeemable, in whole or in part, at a redemption price expressed as a percentage of the principal amount thereof, which percentage is 102.50%, 101.25%, and 100.00% beginning on April 15 of 2019, 2020, and 2021, respectively, plus accrued and unpaid interest thereon to, but not including, the redemption date.</w:t>
      </w:r>
    </w:p>
    <w:p>
      <w:pPr>
        <w:spacing w:after="0" w:line="12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Construction Loan (Gaylord Rockies Joint Venture)</w:t>
      </w:r>
    </w:p>
    <w:p>
      <w:pPr>
        <w:spacing w:after="0" w:line="18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December 2015, Aurora Convention Hotel, LLC (“Hotel Owner”) and Aurora Convention Center Hotel Lessee, LLC (collectively, “Borrower”), subsidiaries of the entities comprising the Gaylord Rockies joint venture, entered into a Building Loan Agreement (the “Construction Loan”) with Wells Fargo Bank, N.A., as administrative agent, for a senior loan with available borrowings of up to $500.0 million, of which $495.3 million was outstanding at June 30, 2019. The Construction Loan bore interest at an annual rate equal to LIBOR plus 3.25% and had an original maturity date of December 18, 2019. The Construction Loan was secured by substantially all of the assets of Hotel Owner and an assignment of the hotel’s management agreement. See Note 17, “Subsequent Events,” to the accompanying condensed consolidated financial statements included herein for additional disclosure regarding the July 2019 refinancing of this loan.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$39 Million Mezzanine Loan (Gaylord Rockies Joint Venture)</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December 2015, Aurora Convention Hotel Mezz, LLC (“Mezz”) and Aurora Convention Center Hotel Lessee Midco Member, LLC (collectively, “Mezz Borrower”), subsidiaries of the entities comprising the Gaylord Rockies joint venture, entered into a Mezzanine Loan Agreement (the “Mezzanine Loan”) with Marriott International Capital Corporation, for a mezzanine loan with available borrowings, as amended, of up to $39.0 million, which was fully drawn at June 30, 2019. The Mezzanine Loans bore interest at an annual rate of LIBOR plus 7.00% and had an original maturity date of December 18, 2019. The Mezzanine Loan was secured by Mezz Borrower’s interests in the joint venture. See Note 17, “Subsequent Events,” to the accompanying condensed consolidated financial statements included herein for additional disclosure regarding the July 2019 refinancing of this loan.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four wholly-owned Gaylord Hotels, we are subject to certain debt limitations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680" w:right="60" w:hanging="320"/>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680" w:hanging="320"/>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680" w:right="260" w:hanging="320"/>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680" w:right="60" w:hanging="320"/>
        <w:spacing w:after="0" w:line="264"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Note 17, “Subsequent Events,” to our condensed consolidated financial statements included herein, in connection with our investment in the Gaylord Rockies joint venture, we have provided limited payment and carry guaranties that, in the aggregate, guarantee payment of 10% of the principal debt, together with interest and operating expenses, of the joint venture’s recently refinanced $800 million term loan.</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enter into commitments under letters of credit, primarily for the purpose of securing our deductible obligations with our insurers, and lending banks under our Credit Agreement had issued $1.0 million of letters of credit at June 30, 2019. Except as set forth in these paragraphs,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June 30, 2019, including long-term debt and operating and capital lease commitments (amounts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amounts</w:t>
            </w: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Payment due by Period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9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59"/>
              <w:spacing w:after="0"/>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(1) (2)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$ 2,503,264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$ 539,264</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$ 1,089,000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$ 875,000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606,235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577,002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w w:val="93"/>
              </w:rPr>
              <w:t>Construction commitments (4)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43,333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43,333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0"/>
        </w:trPr>
        <w:tc>
          <w:tcPr>
            <w:tcW w:w="3180" w:type="dxa"/>
            <w:vAlign w:val="bottom"/>
            <w:gridSpan w:val="3"/>
          </w:tcPr>
          <w:p>
            <w:pPr>
              <w:ind w:left="920"/>
              <w:spacing w:after="0"/>
              <w:rPr>
                <w:sz w:val="20"/>
                <w:szCs w:val="20"/>
                <w:color w:val="auto"/>
              </w:rPr>
            </w:pPr>
            <w:r>
              <w:rPr>
                <w:rFonts w:ascii="Arial" w:cs="Arial" w:eastAsia="Arial" w:hAnsi="Arial"/>
                <w:sz w:val="18"/>
                <w:szCs w:val="18"/>
                <w:color w:val="auto"/>
                <w:w w:val="99"/>
              </w:rPr>
              <w:t>Total contractual obligations</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$ 3,167,802</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$ 589,812</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$ 1,103,478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$ 889,138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585,374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0" w:hanging="331"/>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Long-term debt commitments do not include approximately $298.2 million in interest payments projected to be due in future years (less than 1 year – $105.3 million; 1-3 years – $133.9 million; 3-5 years – $59.0 million) based 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100"/>
        <w:spacing w:after="0" w:line="272" w:lineRule="auto"/>
        <w:rPr>
          <w:sz w:val="20"/>
          <w:szCs w:val="20"/>
          <w:color w:val="auto"/>
        </w:rPr>
      </w:pPr>
      <w:r>
        <w:rPr>
          <w:rFonts w:ascii="Arial" w:cs="Arial" w:eastAsia="Arial" w:hAnsi="Arial"/>
          <w:sz w:val="17"/>
          <w:szCs w:val="17"/>
          <w:color w:val="auto"/>
        </w:rPr>
        <w:t>the stated interest rates on our fixed-rate debt and the rates in effect at June 30, 2019 for our variable-rate debt.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2018 for a discussion of the interest we paid during the fiscal years 2018, 2017 and 2016. See Note 17, “Subsequent Events,” to the condensed consolidated financial statements included herein for a discussion of the refinancing of the long-term debt commitments associated with the Gaylord Rockies joint venture.</w:t>
      </w:r>
    </w:p>
    <w:p>
      <w:pPr>
        <w:spacing w:after="0" w:line="151" w:lineRule="exact"/>
        <w:rPr>
          <w:sz w:val="20"/>
          <w:szCs w:val="20"/>
          <w:color w:val="auto"/>
        </w:rPr>
      </w:pPr>
    </w:p>
    <w:p>
      <w:pPr>
        <w:ind w:left="340" w:right="120" w:hanging="331"/>
        <w:spacing w:after="0" w:line="286"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Debt commitments due in less than one year includes $534.3 million of the Construction Loan and Mezzanine Loan for the Gaylord Rockies joint venture, which were refinanced in July 2019 as discussed further in Note 17, “Subsequent Events,” to the condensed consolidated financial statements included herein.</w:t>
      </w:r>
    </w:p>
    <w:p>
      <w:pPr>
        <w:spacing w:after="0" w:line="125" w:lineRule="exact"/>
        <w:rPr>
          <w:rFonts w:ascii="Arial" w:cs="Arial" w:eastAsia="Arial" w:hAnsi="Arial"/>
          <w:sz w:val="17"/>
          <w:szCs w:val="17"/>
          <w:color w:val="auto"/>
        </w:rPr>
      </w:pPr>
    </w:p>
    <w:p>
      <w:pPr>
        <w:ind w:left="340" w:right="260" w:hanging="331"/>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operating lease commitments of $606.2 million includes the 75-year operating lease agreement we entered into during 1999 for 65.3 acres of land located in Osceola County, Florida where Gaylord Palms is located, which we may extend until January 2101.</w:t>
      </w:r>
    </w:p>
    <w:p>
      <w:pPr>
        <w:spacing w:after="0" w:line="140" w:lineRule="exact"/>
        <w:rPr>
          <w:rFonts w:ascii="Arial" w:cs="Arial" w:eastAsia="Arial" w:hAnsi="Arial"/>
          <w:sz w:val="18"/>
          <w:szCs w:val="18"/>
          <w:color w:val="auto"/>
        </w:rPr>
      </w:pPr>
    </w:p>
    <w:p>
      <w:pPr>
        <w:ind w:left="340" w:right="20" w:hanging="331"/>
        <w:spacing w:after="0" w:line="25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At June 30, 2019, $43.3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8 and Note 9 to the consolidated financial statements included in our Annual Report on Form 10-K for the year ended December 31, 2018 for further discussion related to these obligations. In addition, the timing of the expected cash flows related to our funding obligation in the joint venture described in Note 13, “Commitments and Continencies,” to the condensed consolidated financial statements included herein is not contractually determined. Therefore, this obligation has been excluded from the contractual obligations table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income taxes, pension and postretirement benefits other than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2018. Other than our January 1, 2019 adoption of Financial Accounting Standards Board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as discussed in Note 1, “Basis of Presentation,” to the condensed consolidated financial statements included herein, there were no newly identified critical accounting policies in the first six months of 2019, nor were there any material changes to the critical accounting policies and estimates discussed in our Annual Report on Form 10-K for the year ended December 31, 2018.</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8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Borrowings outstanding under the Revolver bear interest at an annual rate of LIBOR plus 1.80%, subject to adjustment as described in the Credit Agreement. If LIBOR were to increase by 100 basis points, our annual interest cost on the $529.0 million in borrowings outstanding under the Revolver at June 30, 2019 would increase by approximately $5.3 million.</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outstanding under our Term Loan A currently bear interest at an annual rate of LIBOR plus 1.75%, subject to adjustment as described in the Credit Agreement. If LIBOR were to increase by 100 basis points, our annual interest cost on the $200.0 million in borrowings outstanding under our Term Loan A at June 30, 2019 would increase by approximately $2.0 million.</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outstanding under our Term Loan B currently bear interest at an annual rate of LIBOR plus 2.00%, subject to adjustment as described in the Credit Agreement. If LIBOR were to increase by 100 basis points, our annual interest cost on the $490.0 million in borrowings outstanding under our Term Loan B at June 30, 2019 would increase by approximately $4.9 million.</w:t>
      </w:r>
    </w:p>
    <w:p>
      <w:pPr>
        <w:spacing w:after="0" w:line="1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of our outstanding cash balances are occasionally invested overnight with high credit quality financial institutions. We do not have significant exposure to changing interest rates on invested cash at June 30, 2019. As a result, the interest rate market risk implicit in these investments at June 30, 2019, if any, is 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June 30, 2019, the value of the investments in the pension plan was $64.7 million, and an immediate 10% decrease in this value would have reduced the value of the investments in the pension plan by approximately $6.5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3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“Risk Factors,” of our Annual Report on Form 10-K for the fiscal year ended December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July 31, 2019, the Company completed the acquisition of additional interests in the Gaylord Rockies joint venture. For additional discussion of this purchase, see Note 17, “Subsequent Events,” to the condensed consolidated financial statements included 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40" w:type="dxa"/>
            <w:vAlign w:val="bottom"/>
            <w:gridSpan w:val="12"/>
          </w:tcPr>
          <w:p>
            <w:pPr>
              <w:ind w:left="334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7460" w:type="dxa"/>
            <w:vAlign w:val="bottom"/>
            <w:tcBorders>
              <w:bottom w:val="single" w:sz="8" w:color="0000EE"/>
            </w:tcBorders>
            <w:gridSpan w:val="12"/>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Amended and Restated Certificate of Incorporation of Ryman Hospitality Properties, Inc. (incorporated</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by reference to Exhibit 3.1 to the Company’s Current Report on Form 8K filed October 1, 2012).</w:t>
              </w:r>
            </w:hyperlink>
          </w:p>
        </w:tc>
        <w:tc>
          <w:tcPr>
            <w:tcW w:w="560" w:type="dxa"/>
            <w:vAlign w:val="bottom"/>
            <w:gridSpan w:val="5"/>
          </w:tcPr>
          <w:p>
            <w:pPr>
              <w:spacing w:after="0"/>
              <w:rPr>
                <w:sz w:val="17"/>
                <w:szCs w:val="17"/>
                <w:color w:val="auto"/>
              </w:rPr>
            </w:pPr>
          </w:p>
        </w:tc>
      </w:tr>
      <w:tr>
        <w:trPr>
          <w:trHeight w:val="412"/>
        </w:trPr>
        <w:tc>
          <w:tcPr>
            <w:tcW w:w="1280" w:type="dxa"/>
            <w:vAlign w:val="bottom"/>
            <w:gridSpan w:val="2"/>
          </w:tcPr>
          <w:p>
            <w:pPr>
              <w:ind w:left="5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140" w:type="dxa"/>
            <w:vAlign w:val="bottom"/>
            <w:tcBorders>
              <w:bottom w:val="single" w:sz="8" w:color="0000EE"/>
            </w:tcBorders>
            <w:gridSpan w:val="10"/>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Amended and Restated Bylaws of Ryman Hospitality Properties, Inc. (incorporated by reference to</w:t>
              </w:r>
            </w:hyperlink>
          </w:p>
        </w:tc>
        <w:tc>
          <w:tcPr>
            <w:tcW w:w="42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60" w:type="dxa"/>
            <w:vAlign w:val="bottom"/>
            <w:gridSpan w:val="1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Exhibit 3.2 to the Company’s Current Report on Form 8K filed October 1, 2012).</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280" w:type="dxa"/>
            <w:vAlign w:val="bottom"/>
            <w:gridSpan w:val="2"/>
          </w:tcPr>
          <w:p>
            <w:pPr>
              <w:ind w:left="5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560" w:type="dxa"/>
            <w:vAlign w:val="bottom"/>
            <w:gridSpan w:val="13"/>
          </w:tcPr>
          <w:p>
            <w:pPr>
              <w:spacing w:after="0"/>
              <w:rPr>
                <w:rFonts w:ascii="Arial" w:cs="Arial" w:eastAsia="Arial" w:hAnsi="Arial"/>
                <w:sz w:val="18"/>
                <w:szCs w:val="18"/>
                <w:color w:val="0000EE"/>
                <w:w w:val="98"/>
              </w:rPr>
            </w:pPr>
            <w:hyperlink r:id="rId55">
              <w:r>
                <w:rPr>
                  <w:rFonts w:ascii="Arial" w:cs="Arial" w:eastAsia="Arial" w:hAnsi="Arial"/>
                  <w:sz w:val="18"/>
                  <w:szCs w:val="18"/>
                  <w:color w:val="0000EE"/>
                  <w:w w:val="98"/>
                </w:rPr>
                <w:t>Second Amended and Restated Loan Agreement entered into as of July 2, 2019, among Aurora</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Convention Center Hotel, LLC, Aurora Convention Center Hotel Lessee, LLC, Wells Fargo Bank,</w:t>
              </w:r>
            </w:hyperlink>
          </w:p>
        </w:tc>
        <w:tc>
          <w:tcPr>
            <w:tcW w:w="4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60" w:type="dxa"/>
            <w:vAlign w:val="bottom"/>
            <w:gridSpan w:val="13"/>
          </w:tcPr>
          <w:p>
            <w:pPr>
              <w:spacing w:after="0" w:line="196"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National Association, and the financial institutions from time to time party thereto (incorporated by</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reference to Exhibit 10.1 to the Company’s Current Report on Form 8K filed July 5, 2019).</w:t>
              </w:r>
            </w:hyperlink>
          </w:p>
        </w:tc>
        <w:tc>
          <w:tcPr>
            <w:tcW w:w="580" w:type="dxa"/>
            <w:vAlign w:val="bottom"/>
            <w:tcBorders>
              <w:top w:val="single" w:sz="8" w:color="0000EE"/>
            </w:tcBorders>
            <w:gridSpan w:val="5"/>
          </w:tcPr>
          <w:p>
            <w:pPr>
              <w:spacing w:after="0"/>
              <w:rPr>
                <w:sz w:val="17"/>
                <w:szCs w:val="17"/>
                <w:color w:val="auto"/>
              </w:rPr>
            </w:pPr>
          </w:p>
        </w:tc>
        <w:tc>
          <w:tcPr>
            <w:tcW w:w="400" w:type="dxa"/>
            <w:vAlign w:val="bottom"/>
            <w:gridSpan w:val="2"/>
          </w:tcPr>
          <w:p>
            <w:pPr>
              <w:spacing w:after="0"/>
              <w:rPr>
                <w:sz w:val="17"/>
                <w:szCs w:val="17"/>
                <w:color w:val="auto"/>
              </w:rPr>
            </w:pPr>
          </w:p>
        </w:tc>
      </w:tr>
      <w:tr>
        <w:trPr>
          <w:trHeight w:val="412"/>
        </w:trPr>
        <w:tc>
          <w:tcPr>
            <w:tcW w:w="1280" w:type="dxa"/>
            <w:vAlign w:val="bottom"/>
            <w:gridSpan w:val="2"/>
          </w:tcPr>
          <w:p>
            <w:pPr>
              <w:ind w:left="5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Colin V. Reed pursuant to Section 302 of Sarbanes-Oxley Act of 2002.</w:t>
              </w:r>
            </w:hyperlink>
          </w:p>
        </w:tc>
        <w:tc>
          <w:tcPr>
            <w:tcW w:w="1300" w:type="dxa"/>
            <w:vAlign w:val="bottom"/>
            <w:gridSpan w:val="9"/>
          </w:tcPr>
          <w:p>
            <w:pPr>
              <w:spacing w:after="0"/>
              <w:rPr>
                <w:sz w:val="24"/>
                <w:szCs w:val="24"/>
                <w:color w:val="auto"/>
              </w:rPr>
            </w:pPr>
          </w:p>
        </w:tc>
      </w:tr>
      <w:tr>
        <w:trPr>
          <w:trHeight w:val="412"/>
        </w:trPr>
        <w:tc>
          <w:tcPr>
            <w:tcW w:w="1280" w:type="dxa"/>
            <w:vAlign w:val="bottom"/>
            <w:gridSpan w:val="2"/>
          </w:tcPr>
          <w:p>
            <w:pPr>
              <w:ind w:left="5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560" w:type="dxa"/>
            <w:vAlign w:val="bottom"/>
            <w:gridSpan w:val="1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Mark Fioravanti pursuant to Section 302 of Sarbanes-Oxley Act of 2002.</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412"/>
        </w:trPr>
        <w:tc>
          <w:tcPr>
            <w:tcW w:w="1280" w:type="dxa"/>
            <w:vAlign w:val="bottom"/>
            <w:gridSpan w:val="2"/>
          </w:tcPr>
          <w:p>
            <w:pPr>
              <w:ind w:left="5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560" w:type="dxa"/>
            <w:vAlign w:val="bottom"/>
            <w:gridSpan w:val="13"/>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Certification of Colin V. Reed and Mark Fioravanti pursuant to 18 U.S.C. Section 1350, as adopted</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pursuant to Section 906 of Sarbanes-Oxley Act of 2002.</w:t>
              </w:r>
            </w:hyperlink>
          </w:p>
        </w:tc>
        <w:tc>
          <w:tcPr>
            <w:tcW w:w="3080" w:type="dxa"/>
            <w:vAlign w:val="bottom"/>
            <w:tcBorders>
              <w:top w:val="single" w:sz="8" w:color="0000EE"/>
            </w:tcBorders>
            <w:gridSpan w:val="8"/>
          </w:tcPr>
          <w:p>
            <w:pPr>
              <w:spacing w:after="0"/>
              <w:rPr>
                <w:sz w:val="17"/>
                <w:szCs w:val="17"/>
                <w:color w:val="auto"/>
              </w:rPr>
            </w:pPr>
          </w:p>
        </w:tc>
        <w:tc>
          <w:tcPr>
            <w:tcW w:w="420" w:type="dxa"/>
            <w:vAlign w:val="bottom"/>
            <w:gridSpan w:val="3"/>
          </w:tcPr>
          <w:p>
            <w:pPr>
              <w:spacing w:after="0"/>
              <w:rPr>
                <w:sz w:val="17"/>
                <w:szCs w:val="17"/>
                <w:color w:val="auto"/>
              </w:rPr>
            </w:pPr>
          </w:p>
        </w:tc>
      </w:tr>
      <w:tr>
        <w:trPr>
          <w:trHeight w:val="438"/>
        </w:trPr>
        <w:tc>
          <w:tcPr>
            <w:tcW w:w="1280" w:type="dxa"/>
            <w:vAlign w:val="bottom"/>
            <w:gridSpan w:val="2"/>
          </w:tcPr>
          <w:p>
            <w:pPr>
              <w:ind w:left="5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560" w:type="dxa"/>
            <w:vAlign w:val="bottom"/>
            <w:gridSpan w:val="13"/>
          </w:tcPr>
          <w:p>
            <w:pPr>
              <w:spacing w:after="0"/>
              <w:rPr>
                <w:sz w:val="20"/>
                <w:szCs w:val="20"/>
                <w:color w:val="auto"/>
              </w:rPr>
            </w:pPr>
            <w:r>
              <w:rPr>
                <w:rFonts w:ascii="Arial" w:cs="Arial" w:eastAsia="Arial" w:hAnsi="Arial"/>
                <w:sz w:val="18"/>
                <w:szCs w:val="18"/>
                <w:color w:val="auto"/>
                <w:w w:val="94"/>
              </w:rPr>
              <w:t>The following materials from Ryman Hospitality Properties, Inc.’s Quarterly Report on Form 10-Q for</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60" w:type="dxa"/>
            <w:vAlign w:val="bottom"/>
            <w:gridSpan w:val="13"/>
          </w:tcPr>
          <w:p>
            <w:pPr>
              <w:spacing w:after="0"/>
              <w:rPr>
                <w:sz w:val="20"/>
                <w:szCs w:val="20"/>
                <w:color w:val="auto"/>
              </w:rPr>
            </w:pPr>
            <w:r>
              <w:rPr>
                <w:rFonts w:ascii="Arial" w:cs="Arial" w:eastAsia="Arial" w:hAnsi="Arial"/>
                <w:sz w:val="18"/>
                <w:szCs w:val="18"/>
                <w:color w:val="auto"/>
              </w:rPr>
              <w:t>the quarterly period ended June 30, 2019, formatted in Inline XBRL (eXtensible Business</w:t>
            </w: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39"/>
        <w:spacing w:after="0" w:line="286" w:lineRule="auto"/>
        <w:rPr>
          <w:sz w:val="20"/>
          <w:szCs w:val="20"/>
          <w:color w:val="auto"/>
        </w:rPr>
      </w:pPr>
      <w:r>
        <w:rPr>
          <w:rFonts w:ascii="Arial" w:cs="Arial" w:eastAsia="Arial" w:hAnsi="Arial"/>
          <w:sz w:val="16"/>
          <w:szCs w:val="16"/>
          <w:color w:val="auto"/>
        </w:rPr>
        <w:t>Reporting Language): (i) Condensed Consolidated Balance Sheets (unaudited) at June 30, 2019 and December 31, 2018, (ii) Condensed Consolidated Statements of Operations and Comprehensive Income (unaudited) for the three months and six months ended June 30, 2019 and 2018, (iii) Condensed Consolidated Statements of Cash Flows (unaudited) for the six months ended June 30, 2019 and 2018,</w:t>
      </w:r>
    </w:p>
    <w:p>
      <w:pPr>
        <w:spacing w:after="0" w:line="2" w:lineRule="exact"/>
        <w:rPr>
          <w:sz w:val="20"/>
          <w:szCs w:val="20"/>
          <w:color w:val="auto"/>
        </w:rPr>
      </w:pPr>
    </w:p>
    <w:p>
      <w:pPr>
        <w:ind w:left="1500" w:right="159" w:firstLine="9"/>
        <w:spacing w:after="0" w:line="255" w:lineRule="auto"/>
        <w:tabs>
          <w:tab w:leader="none" w:pos="18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Condensed Consolidated Statements of Stockholders’ Equity (unaudited) for the three months and six months ended June 30, 2019 and 2018, and (v) Notes to Condensed Consolidated Financial Statements (unaudited).</w:t>
      </w:r>
    </w:p>
    <w:p>
      <w:pPr>
        <w:spacing w:after="0" w:line="190"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408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5" w:lineRule="exact"/>
        <w:rPr>
          <w:sz w:val="20"/>
          <w:szCs w:val="20"/>
          <w:color w:val="auto"/>
        </w:rPr>
      </w:pPr>
    </w:p>
    <w:p>
      <w:pPr>
        <w:ind w:left="320" w:hanging="311"/>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980" w:type="dxa"/>
            <w:vAlign w:val="bottom"/>
            <w:gridSpan w:val="2"/>
          </w:tcPr>
          <w:p>
            <w:pPr>
              <w:ind w:left="154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August 6, 2019</w:t>
            </w:r>
          </w:p>
        </w:tc>
        <w:tc>
          <w:tcPr>
            <w:tcW w:w="5980" w:type="dxa"/>
            <w:vAlign w:val="bottom"/>
            <w:gridSpan w:val="2"/>
          </w:tcPr>
          <w:p>
            <w:pPr>
              <w:ind w:left="1540"/>
              <w:spacing w:after="0"/>
              <w:rPr>
                <w:sz w:val="20"/>
                <w:szCs w:val="20"/>
                <w:color w:val="auto"/>
              </w:rPr>
            </w:pPr>
            <w:r>
              <w:rPr>
                <w:rFonts w:ascii="Arial" w:cs="Arial" w:eastAsia="Arial" w:hAnsi="Arial"/>
                <w:sz w:val="18"/>
                <w:szCs w:val="18"/>
                <w:color w:val="auto"/>
              </w:rPr>
              <w:t>By:/s/ Colin V. Reed</w:t>
            </w:r>
          </w:p>
        </w:tc>
      </w:tr>
      <w:tr>
        <w:trPr>
          <w:trHeight w:val="195"/>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432"/>
        </w:trPr>
        <w:tc>
          <w:tcPr>
            <w:tcW w:w="3080" w:type="dxa"/>
            <w:vAlign w:val="bottom"/>
          </w:tcPr>
          <w:p>
            <w:pPr>
              <w:spacing w:after="0"/>
              <w:rPr>
                <w:sz w:val="24"/>
                <w:szCs w:val="24"/>
                <w:color w:val="auto"/>
              </w:rPr>
            </w:pPr>
          </w:p>
        </w:tc>
        <w:tc>
          <w:tcPr>
            <w:tcW w:w="5980" w:type="dxa"/>
            <w:vAlign w:val="bottom"/>
            <w:gridSpan w:val="2"/>
          </w:tcPr>
          <w:p>
            <w:pPr>
              <w:ind w:left="1540"/>
              <w:spacing w:after="0"/>
              <w:rPr>
                <w:sz w:val="20"/>
                <w:szCs w:val="20"/>
                <w:color w:val="auto"/>
              </w:rPr>
            </w:pPr>
            <w:r>
              <w:rPr>
                <w:rFonts w:ascii="Arial" w:cs="Arial" w:eastAsia="Arial" w:hAnsi="Arial"/>
                <w:sz w:val="18"/>
                <w:szCs w:val="18"/>
                <w:color w:val="auto"/>
              </w:rPr>
              <w:t>By:/s/ Mark Fioravanti</w:t>
            </w:r>
          </w:p>
        </w:tc>
      </w:tr>
      <w:tr>
        <w:trPr>
          <w:trHeight w:val="195"/>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3080" w:type="dxa"/>
            <w:vAlign w:val="bottom"/>
          </w:tcPr>
          <w:p>
            <w:pPr>
              <w:spacing w:after="0"/>
              <w:rPr>
                <w:sz w:val="24"/>
                <w:szCs w:val="24"/>
                <w:color w:val="auto"/>
              </w:rPr>
            </w:pPr>
          </w:p>
        </w:tc>
        <w:tc>
          <w:tcPr>
            <w:tcW w:w="5980" w:type="dxa"/>
            <w:vAlign w:val="bottom"/>
            <w:gridSpan w:val="2"/>
          </w:tcPr>
          <w:p>
            <w:pPr>
              <w:ind w:left="1540"/>
              <w:spacing w:after="0"/>
              <w:rPr>
                <w:sz w:val="20"/>
                <w:szCs w:val="20"/>
                <w:color w:val="auto"/>
              </w:rPr>
            </w:pPr>
            <w:r>
              <w:rPr>
                <w:rFonts w:ascii="Arial" w:cs="Arial" w:eastAsia="Arial" w:hAnsi="Arial"/>
                <w:sz w:val="18"/>
                <w:szCs w:val="18"/>
                <w:color w:val="auto"/>
              </w:rPr>
              <w:t>By:/s/ Jennifer Hutcheson</w:t>
            </w:r>
          </w:p>
        </w:tc>
      </w:tr>
      <w:tr>
        <w:trPr>
          <w:trHeight w:val="195"/>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Senior Vice President, Corporate</w:t>
            </w:r>
          </w:p>
        </w:tc>
      </w:tr>
      <w:tr>
        <w:trPr>
          <w:trHeight w:val="230"/>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41" w:hanging="641"/>
        <w:spacing w:after="0"/>
        <w:tabs>
          <w:tab w:leader="none" w:pos="6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41" w:right="360" w:hanging="641"/>
        <w:spacing w:after="0" w:line="264" w:lineRule="auto"/>
        <w:tabs>
          <w:tab w:leader="none" w:pos="6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1" w:right="80" w:hanging="641"/>
        <w:spacing w:after="0" w:line="264" w:lineRule="auto"/>
        <w:tabs>
          <w:tab w:leader="none" w:pos="6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1" w:right="180" w:hanging="641"/>
        <w:spacing w:after="0" w:line="264" w:lineRule="auto"/>
        <w:tabs>
          <w:tab w:leader="none" w:pos="6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293"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60" w:firstLine="648"/>
        <w:spacing w:after="0" w:line="286" w:lineRule="auto"/>
        <w:tabs>
          <w:tab w:leader="none" w:pos="1303"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3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41" w:right="40" w:hanging="641"/>
        <w:spacing w:after="0" w:line="264" w:lineRule="auto"/>
        <w:tabs>
          <w:tab w:leader="none" w:pos="6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right="40" w:firstLine="648"/>
        <w:spacing w:after="0" w:line="342" w:lineRule="auto"/>
        <w:tabs>
          <w:tab w:leader="none" w:pos="1293"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00" w:firstLine="648"/>
        <w:spacing w:after="0" w:line="277" w:lineRule="auto"/>
        <w:tabs>
          <w:tab w:leader="none" w:pos="13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6, 2019</w:t>
      </w:r>
    </w:p>
    <w:p>
      <w:pPr>
        <w:spacing w:after="0" w:line="225" w:lineRule="exact"/>
        <w:rPr>
          <w:sz w:val="20"/>
          <w:szCs w:val="20"/>
          <w:color w:val="auto"/>
        </w:rPr>
      </w:pPr>
    </w:p>
    <w:p>
      <w:pPr>
        <w:ind w:left="1"/>
        <w:spacing w:after="0"/>
        <w:tabs>
          <w:tab w:leader="none" w:pos="440" w:val="left"/>
        </w:tabs>
        <w:rPr>
          <w:sz w:val="20"/>
          <w:szCs w:val="20"/>
          <w:color w:val="auto"/>
        </w:rPr>
      </w:pPr>
      <w:r>
        <w:rPr>
          <w:rFonts w:ascii="Arial" w:cs="Arial" w:eastAsia="Arial" w:hAnsi="Arial"/>
          <w:sz w:val="18"/>
          <w:szCs w:val="18"/>
          <w:color w:val="auto"/>
        </w:rPr>
        <w:t>By:</w:t>
        <w:tab/>
        <w:t>/s/ Colin V. Reed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-130810</wp:posOffset>
            </wp:positionV>
            <wp:extent cx="2941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1" w:hanging="681"/>
        <w:spacing w:after="0"/>
        <w:tabs>
          <w:tab w:leader="none" w:pos="6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1" w:right="80" w:hanging="1"/>
        <w:spacing w:after="0" w:line="264" w:lineRule="auto"/>
        <w:tabs>
          <w:tab w:leader="none" w:pos="6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329"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80" w:firstLine="648"/>
        <w:spacing w:after="0" w:line="286" w:lineRule="auto"/>
        <w:tabs>
          <w:tab w:leader="none" w:pos="12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2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 w:right="420" w:hanging="1"/>
        <w:spacing w:after="0" w:line="264" w:lineRule="auto"/>
        <w:tabs>
          <w:tab w:leader="none" w:pos="6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firstLine="648"/>
        <w:spacing w:after="0" w:line="342" w:lineRule="auto"/>
        <w:tabs>
          <w:tab w:leader="none" w:pos="1319"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20" w:firstLine="648"/>
        <w:spacing w:after="0" w:line="277" w:lineRule="auto"/>
        <w:tabs>
          <w:tab w:leader="none" w:pos="12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6,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-130810</wp:posOffset>
            </wp:positionV>
            <wp:extent cx="22040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June 30, 2019, as filed with the Securities and Exchange Commission on the date hereof (the "Report"), each of the undersigned certifies, pursuant to 18 U.S.C. § 1350, as adopted pursuant to §906 of the Sarbanes-Oxley Act of 2002, that:</w:t>
      </w:r>
    </w:p>
    <w:p>
      <w:pPr>
        <w:spacing w:after="0" w:line="166" w:lineRule="exact"/>
        <w:rPr>
          <w:sz w:val="20"/>
          <w:szCs w:val="20"/>
          <w:color w:val="auto"/>
        </w:rPr>
      </w:pPr>
    </w:p>
    <w:p>
      <w:pPr>
        <w:ind w:left="1260" w:hanging="612"/>
        <w:spacing w:after="0"/>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380" w:firstLine="648"/>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Colin V. Reed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August 6, 2019</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August 6, 2019</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470535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upperLetter"/>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4"/>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2"/>
    </w:lvl>
  </w:abstractNum>
  <w:abstractNum w:abstractNumId="21">
    <w:nsid w:val="75A2A8D4"/>
    <w:multiLevelType w:val="hybridMultilevel"/>
    <w:lvl w:ilvl="0">
      <w:lvlJc w:val="left"/>
      <w:lvlText w:val="(%1)"/>
      <w:numFmt w:val="lowerRoman"/>
      <w:start w:val="4"/>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3" Type="http://schemas.openxmlformats.org/officeDocument/2006/relationships/hyperlink" Target="http://www.sec.gov/Archives/edgar/data/1040829/000119312512410191/d419132dex31.htm" TargetMode="External"/><Relationship Id="rId54" Type="http://schemas.openxmlformats.org/officeDocument/2006/relationships/hyperlink" Target="http://www.sec.gov/Archives/edgar/data/1040829/000119312512410191/d419132dex32.htm" TargetMode="External"/><Relationship Id="rId55" Type="http://schemas.openxmlformats.org/officeDocument/2006/relationships/hyperlink" Target="http://www.sec.gov/Archives/edgar/data/1040829/000119312519189493/d758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2019-12-28T08:20:34Z</dcterms:created>
  <dcterms:modified xsi:type="dcterms:W3CDTF">2019-12-28T08:20:34Z</dcterms:modified>
</cp:coreProperties>
</file>