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0" w:lineRule="exact"/>
        <w:rPr>
          <w:sz w:val="24"/>
          <w:szCs w:val="24"/>
          <w:color w:val="auto"/>
        </w:rPr>
      </w:pPr>
    </w:p>
    <w:p>
      <w:pPr>
        <w:ind w:left="3120" w:right="980" w:hanging="3112"/>
        <w:spacing w:after="0" w:line="277"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2023</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740" w:right="960" w:hanging="3732"/>
        <w:spacing w:after="0" w:line="277" w:lineRule="auto"/>
        <w:tabs>
          <w:tab w:leader="none" w:pos="2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Arial" w:cs="Arial" w:eastAsia="Arial" w:hAnsi="Arial"/>
                <w:sz w:val="18"/>
                <w:szCs w:val="18"/>
                <w:color w:val="auto"/>
                <w:w w:val="89"/>
              </w:rPr>
              <w:t>Delaware</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Incorporation or Organization)</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3"/>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4"/>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Title of Each Class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Symbol(s)</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5" w:lineRule="exact"/>
        <w:rPr>
          <w:sz w:val="24"/>
          <w:szCs w:val="24"/>
          <w:color w:val="auto"/>
        </w:rPr>
      </w:pPr>
    </w:p>
    <w:p>
      <w:pPr>
        <w:jc w:val="both"/>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8"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ind w:right="680"/>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2" w:lineRule="exact"/>
        <w:rPr>
          <w:sz w:val="24"/>
          <w:szCs w:val="24"/>
          <w:color w:val="auto"/>
        </w:rPr>
      </w:pPr>
    </w:p>
    <w:p>
      <w:pPr>
        <w:ind w:right="760"/>
        <w:spacing w:after="0" w:line="3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Class</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October 31, 2023</w:t>
            </w:r>
          </w:p>
        </w:tc>
      </w:tr>
      <w:tr>
        <w:trPr>
          <w:trHeight w:val="224"/>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59,708,499 shares</w:t>
            </w:r>
          </w:p>
        </w:tc>
      </w:tr>
      <w:tr>
        <w:trPr>
          <w:trHeight w:val="323"/>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jc w:val="center"/>
              <w:ind w:right="1840"/>
              <w:spacing w:after="0"/>
              <w:rPr>
                <w:sz w:val="20"/>
                <w:szCs w:val="20"/>
                <w:color w:val="auto"/>
              </w:rPr>
            </w:pPr>
            <w:r>
              <w:rPr>
                <w:rFonts w:ascii="Arial" w:cs="Arial" w:eastAsia="Arial" w:hAnsi="Arial"/>
                <w:sz w:val="18"/>
                <w:szCs w:val="18"/>
                <w:b w:val="1"/>
                <w:bCs w:val="1"/>
                <w:color w:val="auto"/>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4"/>
          </w:tcPr>
          <w:p>
            <w:pPr>
              <w:jc w:val="center"/>
              <w:ind w:right="1960"/>
              <w:spacing w:after="0"/>
              <w:rPr>
                <w:sz w:val="20"/>
                <w:szCs w:val="20"/>
                <w:color w:val="auto"/>
              </w:rPr>
            </w:pPr>
            <w:r>
              <w:rPr>
                <w:rFonts w:ascii="Arial" w:cs="Arial" w:eastAsia="Arial" w:hAnsi="Arial"/>
                <w:sz w:val="18"/>
                <w:szCs w:val="18"/>
                <w:b w:val="1"/>
                <w:bCs w:val="1"/>
                <w:color w:val="auto"/>
                <w:w w:val="91"/>
              </w:rPr>
              <w:t>For the Quarter Ended September 30, 2023</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385"/>
        </w:trPr>
        <w:tc>
          <w:tcPr>
            <w:tcW w:w="21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Part I - Financial Information</w:t>
            </w:r>
          </w:p>
        </w:tc>
        <w:tc>
          <w:tcPr>
            <w:tcW w:w="60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Arial" w:cs="Arial" w:eastAsia="Arial" w:hAnsi="Arial"/>
                <w:sz w:val="18"/>
                <w:szCs w:val="18"/>
                <w:color w:val="0000EE"/>
              </w:rPr>
              <w:t>Item 1. Financial Statements.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Condensed Consolidated Balance Sheets (Unaudited) – September 30, 2023 and</w:t>
            </w:r>
          </w:p>
        </w:tc>
        <w:tc>
          <w:tcPr>
            <w:tcW w:w="114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December 31, 2022</w:t>
            </w:r>
          </w:p>
        </w:tc>
        <w:tc>
          <w:tcPr>
            <w:tcW w:w="550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Operations and Comprehensive Income</w:t>
            </w:r>
          </w:p>
        </w:tc>
        <w:tc>
          <w:tcPr>
            <w:tcW w:w="7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(Unaudited) - For the Three and Nine Months Ended September 30, 2023 and 2022</w:t>
            </w:r>
          </w:p>
        </w:tc>
        <w:tc>
          <w:tcPr>
            <w:tcW w:w="90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Arial" w:cs="Arial" w:eastAsia="Arial" w:hAnsi="Arial"/>
                <w:sz w:val="18"/>
                <w:szCs w:val="18"/>
                <w:color w:val="0000EE"/>
                <w:w w:val="99"/>
              </w:rPr>
              <w:t>Condensed Consolidated Statements of Cash Flows (Unaudited) - For the Nine Months</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7"/>
              </w:rPr>
              <w:t>Ended September 30, 2023 and 2022</w:t>
            </w:r>
          </w:p>
        </w:tc>
        <w:tc>
          <w:tcPr>
            <w:tcW w:w="3620" w:type="dxa"/>
            <w:vAlign w:val="bottom"/>
            <w:tcBorders>
              <w:top w:val="single" w:sz="8" w:color="0000EE"/>
            </w:tcBorders>
            <w:gridSpan w:val="9"/>
          </w:tcPr>
          <w:p>
            <w:pPr>
              <w:spacing w:after="0"/>
              <w:rPr>
                <w:sz w:val="17"/>
                <w:szCs w:val="17"/>
                <w:color w:val="auto"/>
              </w:rPr>
            </w:pPr>
          </w:p>
        </w:tc>
        <w:tc>
          <w:tcPr>
            <w:tcW w:w="64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Equity (Deficit) and Noncontrolling Interest</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(Unaudited) - For the Three and Nine Months Ended September 30, 2023 and 2022</w:t>
            </w:r>
          </w:p>
        </w:tc>
        <w:tc>
          <w:tcPr>
            <w:tcW w:w="4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4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Item 3. Quantitative and Qualitative Disclosures About Market Risk.</w:t>
            </w:r>
          </w:p>
        </w:tc>
        <w:tc>
          <w:tcPr>
            <w:tcW w:w="25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Item 4. Controls and Procedures.</w:t>
            </w:r>
          </w:p>
        </w:tc>
        <w:tc>
          <w:tcPr>
            <w:tcW w:w="510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12"/>
        </w:trPr>
        <w:tc>
          <w:tcPr>
            <w:tcW w:w="19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3"/>
              </w:rPr>
              <w:t>Part II - Other Information</w:t>
            </w:r>
          </w:p>
        </w:tc>
        <w:tc>
          <w:tcPr>
            <w:tcW w:w="6200" w:type="dxa"/>
            <w:vAlign w:val="bottom"/>
            <w:gridSpan w:val="2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Item 1. Legal Proceedings.</w:t>
            </w:r>
          </w:p>
        </w:tc>
        <w:tc>
          <w:tcPr>
            <w:tcW w:w="55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Item 1A. Risk Factors.</w:t>
            </w:r>
          </w:p>
        </w:tc>
        <w:tc>
          <w:tcPr>
            <w:tcW w:w="584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Item 2. Unregistered Sales of Equity Securities and Use of Proceeds.</w:t>
            </w:r>
          </w:p>
        </w:tc>
        <w:tc>
          <w:tcPr>
            <w:tcW w:w="25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Arial" w:cs="Arial" w:eastAsia="Arial" w:hAnsi="Arial"/>
                <w:sz w:val="18"/>
                <w:szCs w:val="18"/>
                <w:color w:val="0000EE"/>
              </w:rPr>
              <w:t>Item 3. Defaults Upon Senior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1"/>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Item 5. Other Information.</w:t>
            </w:r>
          </w:p>
        </w:tc>
        <w:tc>
          <w:tcPr>
            <w:tcW w:w="556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Arial" w:cs="Arial" w:eastAsia="Arial" w:hAnsi="Arial"/>
                <w:sz w:val="18"/>
                <w:szCs w:val="18"/>
                <w:color w:val="0000EE"/>
              </w:rPr>
              <w:t>Item 6. Exhibits.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80" w:type="dxa"/>
            <w:vAlign w:val="bottom"/>
            <w:gridSpan w:val="2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SIGNATURES</w:t>
            </w:r>
          </w:p>
        </w:tc>
        <w:tc>
          <w:tcPr>
            <w:tcW w:w="702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Property and equipment, net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3,928,921</w:t>
            </w:r>
          </w:p>
        </w:tc>
        <w:tc>
          <w:tcPr>
            <w:tcW w:w="140" w:type="dxa"/>
            <w:vAlign w:val="bottom"/>
          </w:tcPr>
          <w:p>
            <w:pPr>
              <w:spacing w:after="0"/>
              <w:rPr>
                <w:sz w:val="17"/>
                <w:szCs w:val="17"/>
                <w:color w:val="auto"/>
              </w:rPr>
            </w:pPr>
          </w:p>
        </w:tc>
        <w:tc>
          <w:tcPr>
            <w:tcW w:w="140" w:type="dxa"/>
            <w:vAlign w:val="bottom"/>
            <w:gridSpan w:val="2"/>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3,171,708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543,076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Cash and cash equivalents - restricted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112,904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110,136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Notes receivable,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60,512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Trade receivables, net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118,345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116,836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173,642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Intangible assets, net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126,433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5,063,833</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4,040,623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EQUITY: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Debt and finance lease obligations</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3,374,787</w:t>
            </w:r>
          </w:p>
        </w:tc>
        <w:tc>
          <w:tcPr>
            <w:tcW w:w="140" w:type="dxa"/>
            <w:vAlign w:val="bottom"/>
          </w:tcPr>
          <w:p>
            <w:pPr>
              <w:spacing w:after="0"/>
              <w:rPr>
                <w:sz w:val="17"/>
                <w:szCs w:val="17"/>
                <w:color w:val="auto"/>
              </w:rPr>
            </w:pPr>
          </w:p>
        </w:tc>
        <w:tc>
          <w:tcPr>
            <w:tcW w:w="140" w:type="dxa"/>
            <w:vAlign w:val="bottom"/>
            <w:gridSpan w:val="2"/>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2,862,592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Dividends payable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61,381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management rights proceeds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129,037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income tax liabilities,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66,474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4,253,386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3,632,865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Commitments and contingencies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Noncontrolling interest in consolidated joint venture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60" w:type="dxa"/>
            <w:vAlign w:val="bottom"/>
          </w:tcPr>
          <w:p>
            <w:pPr>
              <w:ind w:left="200"/>
              <w:spacing w:after="0" w:line="185" w:lineRule="exact"/>
              <w:rPr>
                <w:sz w:val="20"/>
                <w:szCs w:val="20"/>
                <w:color w:val="auto"/>
              </w:rPr>
            </w:pPr>
            <w:r>
              <w:rPr>
                <w:rFonts w:ascii="Arial" w:cs="Arial" w:eastAsia="Arial" w:hAnsi="Arial"/>
                <w:sz w:val="17"/>
                <w:szCs w:val="17"/>
                <w:color w:val="auto"/>
                <w:w w:val="91"/>
              </w:rPr>
              <w:t>Common stock, $.01 par value, 400,000 shares authorized, 59,708 and 55,167 shares issued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7"/>
                <w:szCs w:val="17"/>
                <w:color w:val="auto"/>
              </w:rPr>
              <w:t>and outstanding, respectively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1,480,501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1,102,733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7"/>
                <w:szCs w:val="17"/>
                <w:color w:val="auto"/>
              </w:rPr>
              <w:t>Treasury stock of 648 and 648 shares, at 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(971,995)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(19,692)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470,944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Noncontrolling interest in Operating Partnership</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474,059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Arial" w:cs="Arial" w:eastAsia="Arial" w:hAnsi="Arial"/>
                <w:sz w:val="17"/>
                <w:szCs w:val="17"/>
                <w:color w:val="auto"/>
              </w:rPr>
              <w:t>Total liabilities and equity</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5,063,833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4,040,623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1" w:lineRule="auto"/>
        <w:rPr>
          <w:sz w:val="20"/>
          <w:szCs w:val="20"/>
          <w:color w:val="auto"/>
        </w:rPr>
      </w:pPr>
      <w:r>
        <w:rPr>
          <w:rFonts w:ascii="Arial" w:cs="Arial" w:eastAsia="Arial" w:hAnsi="Arial"/>
          <w:sz w:val="17"/>
          <w:szCs w:val="17"/>
          <w:b w:val="1"/>
          <w:bCs w:val="1"/>
          <w:color w:val="auto"/>
        </w:rPr>
        <w:t>RYMAN HOSPITALITY PROPERTIES, INC. AND SUBSIDIARIES CONDENSED CONSOLIDATED STATEMENTS OF OPERATIONS AND COMPREHENSIVE INCOME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Arial" w:cs="Arial" w:eastAsia="Arial" w:hAnsi="Arial"/>
                <w:sz w:val="14"/>
                <w:szCs w:val="14"/>
                <w:color w:val="auto"/>
              </w:rPr>
              <w:t>Rooms</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180,309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154,940</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510,052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418,039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486,387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Arial" w:cs="Arial" w:eastAsia="Arial" w:hAnsi="Arial"/>
                <w:sz w:val="14"/>
                <w:szCs w:val="14"/>
                <w:color w:val="auto"/>
              </w:rPr>
              <w:t>Other hotel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49,474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161,708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149,089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Entertainment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82,313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77,153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236,751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ind w:left="200"/>
              <w:spacing w:after="0"/>
              <w:rPr>
                <w:sz w:val="20"/>
                <w:szCs w:val="20"/>
                <w:color w:val="auto"/>
              </w:rPr>
            </w:pPr>
            <w:r>
              <w:rPr>
                <w:rFonts w:ascii="Arial" w:cs="Arial" w:eastAsia="Arial" w:hAnsi="Arial"/>
                <w:sz w:val="14"/>
                <w:szCs w:val="14"/>
                <w:color w:val="auto"/>
              </w:rPr>
              <w:t>Total 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528,511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467,755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1,525,073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1,237,094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Rooms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Arial" w:cs="Arial" w:eastAsia="Arial" w:hAnsi="Arial"/>
                <w:sz w:val="14"/>
                <w:szCs w:val="14"/>
                <w:color w:val="auto"/>
              </w:rPr>
              <w:t>Food and beverage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117,435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103,221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339,642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272,039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hotel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289,248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Management fees, net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46,560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27,542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hotel operating expenses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302,009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259,184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844,809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701,569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Arial" w:cs="Arial" w:eastAsia="Arial" w:hAnsi="Arial"/>
                <w:sz w:val="14"/>
                <w:szCs w:val="14"/>
                <w:color w:val="auto"/>
              </w:rPr>
              <w:t>Entertainment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56,222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54,148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164,744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131,549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Loss on sale of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58,086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160,712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426,588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370,750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1,195,260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1,026,247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(58,521)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(150,228)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(105,987)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Loss from unconsolidated joint ventures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4"/>
                <w:szCs w:val="14"/>
                <w:color w:val="auto"/>
              </w:rPr>
              <w:t>Other gains and (losses),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Income before income taxes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42,941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57,629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179,255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101,325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40,785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47,451</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171,922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73,578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loss attributable to noncontrolling interest in consolidated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joint venture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4"/>
                <w:szCs w:val="14"/>
                <w:color w:val="auto"/>
                <w:w w:val="96"/>
              </w:rPr>
              <w:t>Net income attributable to noncontrolling interest in Operating Partnership</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income available to common stockholders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169,090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Basic income per share available to common stockholders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gridSpan w:val="2"/>
          </w:tcPr>
          <w:p>
            <w:pPr>
              <w:spacing w:after="0" w:line="156" w:lineRule="exact"/>
              <w:rPr>
                <w:sz w:val="20"/>
                <w:szCs w:val="20"/>
                <w:color w:val="auto"/>
              </w:rPr>
            </w:pPr>
            <w:r>
              <w:rPr>
                <w:rFonts w:ascii="Arial" w:cs="Arial" w:eastAsia="Arial" w:hAnsi="Arial"/>
                <w:sz w:val="14"/>
                <w:szCs w:val="14"/>
                <w:color w:val="auto"/>
              </w:rPr>
              <w:t>Diluted income per share available to common stockholders</w:t>
            </w:r>
          </w:p>
        </w:tc>
        <w:tc>
          <w:tcPr>
            <w:tcW w:w="2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0.64</w:t>
            </w:r>
          </w:p>
        </w:tc>
        <w:tc>
          <w:tcPr>
            <w:tcW w:w="3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0.79</w:t>
            </w:r>
          </w:p>
        </w:tc>
        <w:tc>
          <w:tcPr>
            <w:tcW w:w="3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2.78</w:t>
            </w:r>
          </w:p>
        </w:tc>
        <w:tc>
          <w:tcPr>
            <w:tcW w:w="3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1.28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4"/>
                <w:szCs w:val="14"/>
                <w:color w:val="auto"/>
              </w:rPr>
              <w:t>Comprehensive income, net of taxes</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40,732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55,917</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163,153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90,732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Comprehensive (income) loss, net of taxes, attributable to noncontrolling</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interest in consolidated joint venture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tcPr>
          <w:p>
            <w:pPr>
              <w:spacing w:after="0" w:line="130" w:lineRule="exact"/>
              <w:rPr>
                <w:sz w:val="20"/>
                <w:szCs w:val="20"/>
                <w:color w:val="auto"/>
              </w:rPr>
            </w:pPr>
            <w:r>
              <w:rPr>
                <w:rFonts w:ascii="Arial" w:cs="Arial" w:eastAsia="Arial" w:hAnsi="Arial"/>
                <w:sz w:val="14"/>
                <w:szCs w:val="14"/>
                <w:color w:val="auto"/>
              </w:rPr>
              <w:t>Comprehensive income, net of taxes, attributable to noncontrolling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00" w:type="dxa"/>
            <w:vAlign w:val="bottom"/>
            <w:gridSpan w:val="2"/>
          </w:tcPr>
          <w:p>
            <w:pPr>
              <w:spacing w:after="0"/>
              <w:rPr>
                <w:sz w:val="20"/>
                <w:szCs w:val="20"/>
                <w:color w:val="auto"/>
              </w:rPr>
            </w:pPr>
            <w:r>
              <w:rPr>
                <w:rFonts w:ascii="Arial" w:cs="Arial" w:eastAsia="Arial" w:hAnsi="Arial"/>
                <w:sz w:val="14"/>
                <w:szCs w:val="14"/>
                <w:color w:val="auto"/>
              </w:rPr>
              <w:t>interest in Operating Partnership</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w w:val="97"/>
              </w:rPr>
              <w:t>Comprehensive income, net of taxes, available to common stockholders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159,845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87,936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Nine Months Ended</w:t>
      </w:r>
    </w:p>
    <w:p>
      <w:pPr>
        <w:ind w:left="730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171,922</w:t>
            </w:r>
          </w:p>
        </w:tc>
        <w:tc>
          <w:tcPr>
            <w:tcW w:w="200" w:type="dxa"/>
            <w:vAlign w:val="bottom"/>
          </w:tcPr>
          <w:p>
            <w:pPr>
              <w:spacing w:after="0"/>
              <w:rPr>
                <w:sz w:val="14"/>
                <w:szCs w:val="14"/>
                <w:color w:val="auto"/>
              </w:rPr>
            </w:pPr>
          </w:p>
        </w:tc>
        <w:tc>
          <w:tcPr>
            <w:tcW w:w="180" w:type="dxa"/>
            <w:vAlign w:val="bottom"/>
            <w:gridSpan w:val="2"/>
          </w:tcPr>
          <w:p>
            <w:pPr>
              <w:jc w:val="right"/>
              <w:ind w:right="51"/>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73,578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Amounts to reconcile net income to net cash flows provided by operating activities:</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4,894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4,545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154,700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160,712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7,989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7,178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Loss from unconsolidated joint ventures</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17,525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8,348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11,480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11,134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Changes in:</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13,233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(55,346)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11,721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44,094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Borders>
              <w:bottom w:val="single" w:sz="8" w:color="CCEEFF"/>
            </w:tcBorders>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(23,535)</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(8,273)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provided by operating activities</w:t>
            </w:r>
          </w:p>
        </w:tc>
        <w:tc>
          <w:tcPr>
            <w:tcW w:w="7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369,929</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245,970</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(122,150)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(48,219)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Collection of notes receivable</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5,903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3,718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Purchase of Hill Country, net of cash acquired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(791,466)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 of Block 21, net of cash acquired</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(93,992)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Investment in Circle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(10,500)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(10,207)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investing activities, net</w:t>
            </w:r>
          </w:p>
        </w:tc>
        <w:tc>
          <w:tcPr>
            <w:tcW w:w="7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(9,998)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838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7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(928,211)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(147,862)</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60" w:type="dxa"/>
            <w:vAlign w:val="bottom"/>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Net repayments under revolving credit facility</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Borrowings under term loan B</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500,000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Repayments under term loan A</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(377,500)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(3,750)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Borrowings under OEG term loan</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288,000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Repayments under OEG term loan</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(2,250)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Repayments under Block 21 CMBS loan</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(2,054)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Issuance of senior notes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400,000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(23,400)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(15,212)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Issuance of common stock, net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395,444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Sale of noncontrolling interest in OEG</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286,218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(115,861)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(296)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(4,249)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(4,361)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Other financing activities, net</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(198)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provided by financing activities</w:t>
            </w:r>
          </w:p>
        </w:tc>
        <w:tc>
          <w:tcPr>
            <w:tcW w:w="7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769,932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59,595</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211,650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157,703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444,330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163,000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7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655,980</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320,703</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92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543,076</w:t>
            </w:r>
          </w:p>
        </w:tc>
        <w:tc>
          <w:tcPr>
            <w:tcW w:w="200" w:type="dxa"/>
            <w:vAlign w:val="bottom"/>
          </w:tcPr>
          <w:p>
            <w:pPr>
              <w:spacing w:after="0"/>
              <w:rPr>
                <w:sz w:val="14"/>
                <w:szCs w:val="14"/>
                <w:color w:val="auto"/>
              </w:rPr>
            </w:pPr>
          </w:p>
        </w:tc>
        <w:tc>
          <w:tcPr>
            <w:tcW w:w="180" w:type="dxa"/>
            <w:vAlign w:val="bottom"/>
            <w:gridSpan w:val="2"/>
          </w:tcPr>
          <w:p>
            <w:pPr>
              <w:jc w:val="right"/>
              <w:ind w:right="51"/>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224,696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7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112,904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96,007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740" w:type="dxa"/>
            <w:vAlign w:val="bottom"/>
          </w:tcPr>
          <w:p>
            <w:pPr>
              <w:spacing w:after="0"/>
              <w:rPr>
                <w:sz w:val="13"/>
                <w:szCs w:val="13"/>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655,980</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320,703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7"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EQUITY (DEFICIT) AND NONCONTROLLING INTEREST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Noncontrolling</w:t>
            </w: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Interest in</w:t>
            </w:r>
          </w:p>
        </w:tc>
        <w:tc>
          <w:tcPr>
            <w:tcW w:w="6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3"/>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9"/>
              </w:rPr>
              <w:t>Paid-in</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6"/>
              </w:rPr>
              <w:t>Treasury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2"/>
                <w:szCs w:val="12"/>
                <w:b w:val="1"/>
                <w:bCs w:val="1"/>
                <w:color w:val="auto"/>
                <w:w w:val="90"/>
              </w:rPr>
              <w:t>Retained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Operating</w:t>
            </w:r>
          </w:p>
        </w:tc>
        <w:tc>
          <w:tcPr>
            <w:tcW w:w="6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7"/>
              </w:rPr>
              <w:t>Equity</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9"/>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Partnership</w:t>
            </w:r>
          </w:p>
        </w:tc>
        <w:tc>
          <w:tcPr>
            <w:tcW w:w="60" w:type="dxa"/>
            <w:vAlign w:val="bottom"/>
          </w:tcPr>
          <w:p>
            <w:pPr>
              <w:spacing w:after="0"/>
              <w:rPr>
                <w:sz w:val="12"/>
                <w:szCs w:val="12"/>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(Deficit)</w:t>
            </w: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2022</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552</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$ 1,102,733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(978,619)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(10,923)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95,276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95,901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311,857</w:t>
            </w:r>
          </w:p>
        </w:tc>
      </w:tr>
      <w:tr>
        <w:trPr>
          <w:trHeight w:val="135"/>
        </w:trPr>
        <w:tc>
          <w:tcPr>
            <w:tcW w:w="2040" w:type="dxa"/>
            <w:vAlign w:val="bottom"/>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61,320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61,320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61,757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(763)</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(8,659)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(8,659)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(8,659)</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8,659</w:t>
            </w: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color w:val="auto"/>
                <w:w w:val="99"/>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(6,292)</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(6,292)</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(6,292)</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Payment of dividends ($0.75 per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(41,900)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(41,794)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(42,090)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(4,080)</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(4,079)</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20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BALANCE, March 31,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553</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$ 1,093,839</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(959,199)</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(17,215)</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99,511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766</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100,277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319,753</w:t>
            </w:r>
          </w:p>
        </w:tc>
      </w:tr>
      <w:tr>
        <w:trPr>
          <w:trHeight w:val="128"/>
        </w:trPr>
        <w:tc>
          <w:tcPr>
            <w:tcW w:w="204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66,543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66,543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67,009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3,134</w:t>
            </w: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(4,762)</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(4,762)</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(4,762)</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4,762</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(2,424)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(2,424)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(2,424)</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35"/>
        </w:trPr>
        <w:tc>
          <w:tcPr>
            <w:tcW w:w="2040" w:type="dxa"/>
            <w:vAlign w:val="bottom"/>
          </w:tcPr>
          <w:p>
            <w:pPr>
              <w:ind w:left="120"/>
              <w:spacing w:after="0" w:line="135" w:lineRule="exact"/>
              <w:rPr>
                <w:sz w:val="20"/>
                <w:szCs w:val="20"/>
                <w:color w:val="auto"/>
              </w:rPr>
            </w:pPr>
            <w:r>
              <w:rPr>
                <w:rFonts w:ascii="Arial" w:cs="Arial" w:eastAsia="Arial" w:hAnsi="Arial"/>
                <w:sz w:val="13"/>
                <w:szCs w:val="13"/>
                <w:color w:val="auto"/>
              </w:rPr>
              <w:t>Issuance of common stock, net</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44</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395,400</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395,444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w w:val="93"/>
              </w:rPr>
              <w:t>395,444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Payment of dividends ($1.00 per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(60,285)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(60,131)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(60,526)</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(103)</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(103)</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BALANCE, June 30,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597</w:t>
            </w:r>
          </w:p>
        </w:tc>
        <w:tc>
          <w:tcPr>
            <w:tcW w:w="12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$ 1,488,329</w:t>
            </w:r>
          </w:p>
        </w:tc>
        <w:tc>
          <w:tcPr>
            <w:tcW w:w="14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(952,941)</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(19,639)</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497,879</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837</w:t>
            </w:r>
          </w:p>
        </w:tc>
        <w:tc>
          <w:tcPr>
            <w:tcW w:w="1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498,716</w:t>
            </w:r>
          </w:p>
        </w:tc>
        <w:tc>
          <w:tcPr>
            <w:tcW w:w="1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327,649</w:t>
            </w:r>
          </w:p>
        </w:tc>
      </w:tr>
      <w:tr>
        <w:trPr>
          <w:trHeight w:val="115"/>
        </w:trPr>
        <w:tc>
          <w:tcPr>
            <w:tcW w:w="204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41,227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41,227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273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41,500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(715)</w:t>
            </w: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(9,454)</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(9,454)</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(9,454)</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9,454</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Reallocation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in Operating Partnership</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(2,401)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(2,401)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color w:val="auto"/>
                <w:w w:val="99"/>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(53)</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Payment of dividends ($1.00 per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(60,281)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(60,125)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(60,521)</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(69)</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(69)</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2040" w:type="dxa"/>
            <w:vAlign w:val="bottom"/>
          </w:tcPr>
          <w:p>
            <w:pPr>
              <w:ind w:left="20"/>
              <w:spacing w:after="0" w:line="129" w:lineRule="exact"/>
              <w:rPr>
                <w:sz w:val="20"/>
                <w:szCs w:val="20"/>
                <w:color w:val="auto"/>
              </w:rPr>
            </w:pPr>
            <w:r>
              <w:rPr>
                <w:rFonts w:ascii="Arial" w:cs="Arial" w:eastAsia="Arial" w:hAnsi="Arial"/>
                <w:sz w:val="13"/>
                <w:szCs w:val="13"/>
                <w:color w:val="auto"/>
              </w:rPr>
              <w:t>BALANCE, September 30,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597</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$ 1,480,501</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(971,995)</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(19,692)</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470,944</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3,115</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474,059</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336,388</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7"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EQUITY (DEFICIT) AND NONCONTROLLING INTEREST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Distributions</w:t>
            </w: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2"/>
              </w:rPr>
              <w:t>in Excess of</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1"/>
                <w:szCs w:val="11"/>
                <w:color w:val="auto"/>
              </w:rPr>
            </w:pPr>
          </w:p>
        </w:tc>
        <w:tc>
          <w:tcPr>
            <w:tcW w:w="74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Interest in</w:t>
            </w:r>
          </w:p>
        </w:tc>
        <w:tc>
          <w:tcPr>
            <w:tcW w:w="6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196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Common</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9"/>
              </w:rPr>
              <w:t>Paid-in</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6"/>
              </w:rPr>
              <w:t>Treasury</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0"/>
              </w:rPr>
              <w:t>Retained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900" w:type="dxa"/>
            <w:vAlign w:val="bottom"/>
            <w:gridSpan w:val="3"/>
          </w:tcPr>
          <w:p>
            <w:pPr>
              <w:jc w:val="right"/>
              <w:ind w:right="160"/>
              <w:spacing w:after="0" w:line="135" w:lineRule="exact"/>
              <w:rPr>
                <w:sz w:val="20"/>
                <w:szCs w:val="20"/>
                <w:color w:val="auto"/>
              </w:rPr>
            </w:pPr>
            <w:r>
              <w:rPr>
                <w:rFonts w:ascii="Arial" w:cs="Arial" w:eastAsia="Arial" w:hAnsi="Arial"/>
                <w:sz w:val="12"/>
                <w:szCs w:val="12"/>
                <w:b w:val="1"/>
                <w:bCs w:val="1"/>
                <w:color w:val="auto"/>
                <w:w w:val="91"/>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Operating</w:t>
            </w:r>
          </w:p>
        </w:tc>
        <w:tc>
          <w:tcPr>
            <w:tcW w:w="6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Equity</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Capital</w:t>
            </w:r>
          </w:p>
        </w:tc>
        <w:tc>
          <w:tcPr>
            <w:tcW w:w="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Earnings</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78"/>
              </w:rPr>
              <w:t>Loss</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Equity (Deficit)</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Partnership</w:t>
            </w:r>
          </w:p>
        </w:tc>
        <w:tc>
          <w:tcPr>
            <w:tcW w:w="6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(Deficit)</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9"/>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2021</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$ 1,112,867</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(1,088,105)</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(29,080)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(22,393)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135"/>
        </w:trPr>
        <w:tc>
          <w:tcPr>
            <w:tcW w:w="196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(24,621)</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(24,621)</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(176)</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4"/>
              </w:rPr>
              <w:t>(24,797)</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19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Other comprehensive income, net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income taxes</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tcPr>
          <w:p>
            <w:pPr>
              <w:ind w:left="120"/>
              <w:spacing w:after="0" w:line="121" w:lineRule="exact"/>
              <w:rPr>
                <w:sz w:val="20"/>
                <w:szCs w:val="20"/>
                <w:color w:val="auto"/>
              </w:rPr>
            </w:pPr>
            <w:r>
              <w:rPr>
                <w:rFonts w:ascii="Arial" w:cs="Arial" w:eastAsia="Arial" w:hAnsi="Arial"/>
                <w:sz w:val="13"/>
                <w:szCs w:val="13"/>
                <w:color w:val="auto"/>
                <w:w w:val="99"/>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6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(3,761)</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(3,761)</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(3,761)</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BALANCE, March 31, 2022</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551</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$ 1,112,892</w:t>
            </w:r>
          </w:p>
        </w:tc>
        <w:tc>
          <w:tcPr>
            <w:tcW w:w="1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(1,112,726)</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(19,094)</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(36,844)</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(335)</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(37,179)</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r>
      <w:tr>
        <w:trPr>
          <w:trHeight w:val="128"/>
        </w:trPr>
        <w:tc>
          <w:tcPr>
            <w:tcW w:w="19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Net income</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50,284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50,284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50,644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280</w:t>
            </w:r>
          </w:p>
        </w:tc>
      </w:tr>
      <w:tr>
        <w:trPr>
          <w:trHeight w:val="121"/>
        </w:trPr>
        <w:tc>
          <w:tcPr>
            <w:tcW w:w="1960" w:type="dxa"/>
            <w:vAlign w:val="bottom"/>
          </w:tcPr>
          <w:p>
            <w:pPr>
              <w:ind w:left="120"/>
              <w:spacing w:after="0" w:line="121" w:lineRule="exact"/>
              <w:rPr>
                <w:sz w:val="20"/>
                <w:szCs w:val="20"/>
                <w:color w:val="auto"/>
              </w:rPr>
            </w:pPr>
            <w:r>
              <w:rPr>
                <w:rFonts w:ascii="Arial" w:cs="Arial" w:eastAsia="Arial" w:hAnsi="Arial"/>
                <w:sz w:val="13"/>
                <w:szCs w:val="13"/>
                <w:color w:val="auto"/>
                <w:w w:val="95"/>
              </w:rPr>
              <w:t>Other comprehensive loss, net of</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6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(1,298)</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(1,298)</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(1,298)</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Sale of noncontrolling interest in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OEG</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(9,467)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(9,467)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(9,467)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295,956</w:t>
            </w:r>
          </w:p>
        </w:tc>
      </w:tr>
      <w:tr>
        <w:trPr>
          <w:trHeight w:val="121"/>
        </w:trPr>
        <w:tc>
          <w:tcPr>
            <w:tcW w:w="1960" w:type="dxa"/>
            <w:vAlign w:val="bottom"/>
          </w:tcPr>
          <w:p>
            <w:pPr>
              <w:ind w:left="120"/>
              <w:spacing w:after="0" w:line="121" w:lineRule="exact"/>
              <w:rPr>
                <w:sz w:val="20"/>
                <w:szCs w:val="20"/>
                <w:color w:val="auto"/>
              </w:rPr>
            </w:pPr>
            <w:r>
              <w:rPr>
                <w:rFonts w:ascii="Arial" w:cs="Arial" w:eastAsia="Arial" w:hAnsi="Arial"/>
                <w:sz w:val="13"/>
                <w:szCs w:val="13"/>
                <w:color w:val="auto"/>
                <w:w w:val="99"/>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6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(124)</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19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BALANCE, June 30, 2022</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552</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$ 1,106,955</w:t>
            </w:r>
          </w:p>
        </w:tc>
        <w:tc>
          <w:tcPr>
            <w:tcW w:w="12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(1,062,442)</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(20,392)</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6,206</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6,231</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296,236</w:t>
            </w:r>
          </w:p>
        </w:tc>
      </w:tr>
      <w:tr>
        <w:trPr>
          <w:trHeight w:val="116"/>
        </w:trPr>
        <w:tc>
          <w:tcPr>
            <w:tcW w:w="196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Net Income</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45,241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45,241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323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45,564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1,887</w:t>
            </w:r>
          </w:p>
        </w:tc>
      </w:tr>
      <w:tr>
        <w:trPr>
          <w:trHeight w:val="121"/>
        </w:trPr>
        <w:tc>
          <w:tcPr>
            <w:tcW w:w="1960" w:type="dxa"/>
            <w:vAlign w:val="bottom"/>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60" w:type="dxa"/>
            <w:vAlign w:val="bottom"/>
          </w:tcPr>
          <w:p>
            <w:pPr>
              <w:ind w:left="120"/>
              <w:spacing w:after="0"/>
              <w:rPr>
                <w:sz w:val="20"/>
                <w:szCs w:val="20"/>
                <w:color w:val="auto"/>
              </w:rPr>
            </w:pPr>
            <w:r>
              <w:rPr>
                <w:rFonts w:ascii="Arial" w:cs="Arial" w:eastAsia="Arial" w:hAnsi="Arial"/>
                <w:sz w:val="13"/>
                <w:szCs w:val="13"/>
                <w:color w:val="auto"/>
              </w:rPr>
              <w:t>interest to redemption value</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(5,726)</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(5,726)</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(5,726)</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5,726</w:t>
            </w:r>
          </w:p>
        </w:tc>
      </w:tr>
      <w:tr>
        <w:trPr>
          <w:trHeight w:val="121"/>
        </w:trPr>
        <w:tc>
          <w:tcPr>
            <w:tcW w:w="19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Other comprehensive income, net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income taxes</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tcPr>
          <w:p>
            <w:pPr>
              <w:ind w:left="120"/>
              <w:spacing w:after="0" w:line="121" w:lineRule="exact"/>
              <w:rPr>
                <w:sz w:val="20"/>
                <w:szCs w:val="20"/>
                <w:color w:val="auto"/>
              </w:rPr>
            </w:pPr>
            <w:r>
              <w:rPr>
                <w:rFonts w:ascii="Arial" w:cs="Arial" w:eastAsia="Arial" w:hAnsi="Arial"/>
                <w:sz w:val="13"/>
                <w:szCs w:val="13"/>
                <w:color w:val="auto"/>
                <w:w w:val="98"/>
              </w:rPr>
              <w:t>Sale of noncontrolling interest in</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60" w:type="dxa"/>
            <w:vAlign w:val="bottom"/>
          </w:tcPr>
          <w:p>
            <w:pPr>
              <w:ind w:left="120"/>
              <w:spacing w:after="0"/>
              <w:rPr>
                <w:sz w:val="20"/>
                <w:szCs w:val="20"/>
                <w:color w:val="auto"/>
              </w:rPr>
            </w:pPr>
            <w:r>
              <w:rPr>
                <w:rFonts w:ascii="Arial" w:cs="Arial" w:eastAsia="Arial" w:hAnsi="Arial"/>
                <w:sz w:val="13"/>
                <w:szCs w:val="13"/>
                <w:color w:val="auto"/>
              </w:rPr>
              <w:t>OEG</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(270)</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Payment of dividends ($0.10 per</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(5,569)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(5,556)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(5,596)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tcPr>
          <w:p>
            <w:pPr>
              <w:ind w:left="120"/>
              <w:spacing w:after="0" w:line="121" w:lineRule="exact"/>
              <w:rPr>
                <w:sz w:val="20"/>
                <w:szCs w:val="20"/>
                <w:color w:val="auto"/>
              </w:rPr>
            </w:pPr>
            <w:r>
              <w:rPr>
                <w:rFonts w:ascii="Arial" w:cs="Arial" w:eastAsia="Arial" w:hAnsi="Arial"/>
                <w:sz w:val="13"/>
                <w:szCs w:val="13"/>
                <w:color w:val="auto"/>
                <w:w w:val="99"/>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6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(477)</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(477)</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3"/>
                <w:szCs w:val="13"/>
                <w:color w:val="auto"/>
              </w:rPr>
              <w:t>BALANCE, September 30, 2022</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552</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$ 1,104,189</w:t>
            </w: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(1,022,770)</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(11,926)</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51,578</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51,886</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303,849</w:t>
            </w:r>
          </w:p>
        </w:tc>
      </w:tr>
      <w:tr>
        <w:trPr>
          <w:trHeight w:val="20"/>
        </w:trPr>
        <w:tc>
          <w:tcPr>
            <w:tcW w:w="1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 See Note 2, “JW Marriott Hill Country Transaction” for further disclosure.</w:t>
      </w:r>
    </w:p>
    <w:p>
      <w:pPr>
        <w:spacing w:after="0" w:line="146"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The Company also owns a controlling 70% equity interest in a business comprised of a number of entertainment and media assets, known as the Opry Entertainment Group,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two Nashville-based assets – the Wildhorse Saloon and the General Jackson Showboat; and as of May 31, 2022, Block 21, a mixed-use entertainment, lodging, office, and retail complex located in Austin, Texas (“Block 21”). See Note 3, “Block 21 Transaction,” for further disclosure regarding Block</w:t>
      </w:r>
    </w:p>
    <w:p>
      <w:pPr>
        <w:spacing w:after="0" w:line="2" w:lineRule="exact"/>
        <w:rPr>
          <w:sz w:val="20"/>
          <w:szCs w:val="20"/>
          <w:color w:val="auto"/>
        </w:rPr>
      </w:pPr>
    </w:p>
    <w:p>
      <w:pPr>
        <w:ind w:left="60" w:right="119" w:hanging="10"/>
        <w:spacing w:after="0" w:line="255" w:lineRule="auto"/>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Opry Entertainment Group also owns a 50% interest in a joint venture that creates and distributes a linear multicast and over-the-top channel dedicated to the country music lifestyle (“Circle”) (see Note 15, “Commitments and Contingencies” for further disclosure regarding Circle).</w:t>
      </w:r>
    </w:p>
    <w:p>
      <w:pPr>
        <w:spacing w:after="0" w:line="14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As further disclosed in Note 1 to the consolidated financial statements included in the Company’s Annual Report on Form 10-K for the year ended December 31, 2022, on June 16, 2022, the Company and certain of its subsidiaries, including OEG Attractions Holdings, LLC (“OEG”), which directly or indirectly owns the assets that comprise the Company’s Entertainment segment, consummated the transactions contemplated by an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Company retains a controlling 70% equity interest in OEG and continues to consolidate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 and any adjustment necessary to reflect the noncontrolling interest at its redemption value is shown in the accompanying condensed consolidated statement of equity (deficit) and noncontrolling interest. See Note 5, “Income Per Share,” for further disclosure.</w:t>
      </w:r>
    </w:p>
    <w:p>
      <w:pPr>
        <w:spacing w:after="0" w:line="15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2022.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Newly Issued Accounting Standards</w:t>
      </w:r>
    </w:p>
    <w:p>
      <w:pPr>
        <w:spacing w:after="0" w:line="18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March 2020, the Financial Accounting Standards Board (“FASB”) issued ASU No. 2020-04, “</w:t>
      </w:r>
      <w:r>
        <w:rPr>
          <w:rFonts w:ascii="Arial" w:cs="Arial" w:eastAsia="Arial" w:hAnsi="Arial"/>
          <w:sz w:val="16"/>
          <w:szCs w:val="16"/>
          <w:i w:val="1"/>
          <w:iCs w:val="1"/>
          <w:color w:val="auto"/>
        </w:rPr>
        <w:t>Reference Rate Reform –</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(“ASU 2020-04”), which provides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expedients and exceptions to the existing guidance on 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In December 2022, the FASB issued ASU No. 2022-06,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Rate Reform – Deferral of the Sunset Date of Topic 848</w:t>
      </w:r>
      <w:r>
        <w:rPr>
          <w:rFonts w:ascii="Arial" w:cs="Arial" w:eastAsia="Arial" w:hAnsi="Arial"/>
          <w:sz w:val="16"/>
          <w:szCs w:val="16"/>
          <w:color w:val="auto"/>
        </w:rPr>
        <w:t>” (“ASU 2022-06”), which extends the transition period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shift from LIBOR to December 2024. The Company has now converted all of its LIBOR-indexed debt and derivatives to SOFR-based indexes. For all derivatives in hedge accounting relationships, the Company utilized the elective relief in ASU 2020-04 and ASU 2022-06 that allows for the continuation of hedge accounting through the transition process.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JW MARRIOTT HILL COUNTRY TRANSACTION:</w:t>
      </w:r>
    </w:p>
    <w:p>
      <w:pPr>
        <w:spacing w:after="0" w:line="18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On June 30, 2023, the Company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 space. The resort’s amenities include a 26,000 square foot spa; eight food and beverage outlets; a 9-acre water experience; and TPC San Antonio, which features two 18-hole golf courses. The Company funded the purchase price with approximately $395 million in net proceeds of an underwritten registered public offering of approximately 4.4 million shares of the Company’s common stock (see Note 16, “Equity”), approximately $393 million in net proceeds of a private placement of $400 million aggregate principal amount of 7.25% senior notes due 2028 (see Note 9, “Debt”) and cash on hand. JW Marriott Hill Country assets are reflected in the Company’s Hospitality segment beginning June 30, 2023.</w:t>
      </w:r>
    </w:p>
    <w:p>
      <w:pPr>
        <w:spacing w:after="0" w:line="139"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The Company performed a valuation of the fair value of the acquired assets and liabilities as of June 30, 2023.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advanced bookings previously received for the hotel and the values of golf memberships and water rights for the golf course. The Company considers each of these estimates as Level 3 fair value measurements.</w:t>
      </w:r>
    </w:p>
    <w:p>
      <w:pPr>
        <w:spacing w:after="0" w:line="152"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in the Company’s balance sheet at June 30, 2023 as follows (amounts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1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772,821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9"/>
              </w:rPr>
              <w:t>Cash and cash equivalents - unrestricted</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12,690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restricted</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Trade receivables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2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 acquired</w:t>
            </w:r>
          </w:p>
        </w:tc>
        <w:tc>
          <w:tcPr>
            <w:tcW w:w="28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834,781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Accounts payable and accrued liabilities</w:t>
            </w:r>
          </w:p>
        </w:tc>
        <w:tc>
          <w:tcPr>
            <w:tcW w:w="2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(25,148)</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assumed</w:t>
            </w:r>
          </w:p>
        </w:tc>
        <w:tc>
          <w:tcPr>
            <w:tcW w:w="28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(25,148)</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86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809,633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60" w:type="dxa"/>
            <w:vAlign w:val="bottom"/>
            <w:vMerge w:val="restart"/>
          </w:tcPr>
          <w:p>
            <w:pPr>
              <w:jc w:val="right"/>
              <w:ind w:right="2330"/>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BLOCK 21 TRANSACTION:</w:t>
      </w:r>
    </w:p>
    <w:p>
      <w:pPr>
        <w:spacing w:after="0" w:line="202"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As further disclosed in Note 1 to the consolidated financial statements included in the Company’s Annual Report on Form 10-K for the year ended December 31, 2022, on May 31, 2022, the Company purchased Block 21 for a stated purchase price of $260 million, as subsequently adjusted to $255 million pursuant to the terms of the purchase agreement, which includes the assumption of approximately $136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which Marriott manages,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are reflected in the Company’s Entertainment segment beginning May 31, 2022.</w:t>
      </w:r>
    </w:p>
    <w:p>
      <w:pPr>
        <w:spacing w:after="0" w:line="182"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During the first quarter of 2023, the Company concluded its valuation of the fair value of the acquired assets and liabilities as of May 31, 2022, and no significant changes were made to the provisional amounts disclosed in the Company’s Annual Report on Form 10-K for the year ended December 31, 2022.</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REVENUES:</w:t>
      </w:r>
    </w:p>
    <w:p>
      <w:pPr>
        <w:spacing w:after="0" w:line="18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Cash received from advanced ticket sales is deferred and recognized at the time of the event.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92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$ 115,626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$ 100,417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356,473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273,359</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Hotel transient rooms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64,683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153,579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144,680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Hotel food and beverage - banquets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332,783</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68,347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56,739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182,898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153,604</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149,089</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31,030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87,289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73,087</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63,472</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Entertainment produced content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43,089</w:t>
            </w:r>
          </w:p>
        </w:tc>
      </w:tr>
      <w:tr>
        <w:trPr>
          <w:trHeight w:val="209"/>
        </w:trPr>
        <w:tc>
          <w:tcPr>
            <w:tcW w:w="29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$ 528,511</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$ 467,755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1,525,073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1,237,094</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92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$ 111,939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$ 106,819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285,835</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Gaylord Palms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63,885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60,516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188,653</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205,035</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Gaylord National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72,124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173,735</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182,888</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JW Marriott Hill Country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50,026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 Hotel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Inn at Opryland and other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9,569</w:t>
            </w: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Hospitality segment revenues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$ 446,198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$ 390,602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1,288,322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1,053,515</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 majority of the Company’s Entertainment segment revenues are concentrated in Nashville, Tennessee and Austin, Texas.</w:t>
      </w:r>
    </w:p>
    <w:p>
      <w:pPr>
        <w:spacing w:after="0" w:line="13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 records deferred revenues when cash payments are received in advance of its performance obligations, primarily related to advanced deposits on hotel rooms and advanced ticketing at its OEG venues. At September 30, 2023 and December 31, 2022, the Company had $188.0 million and $136.5 million, respectively, in deferred revenues, which are included in accounts payable and accrued liabilities in the accompanying condensed consolidated balance sheets. Of the amount outstanding at December 31, 2022, approximately $96.9 million was recognized in revenue during the nine months ended September 30, 2023.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PER SHARE: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computation of basic and diluted earnings per common share is as follows (in thousands, except per share data):</w:t>
      </w:r>
    </w:p>
    <w:p>
      <w:pPr>
        <w:spacing w:after="0" w:line="18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Net income available to common stockholders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41,227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45,241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169,090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70,904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Net (income) loss attributable to noncontrolling interest in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joint venture</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tcPr>
          <w:p>
            <w:pPr>
              <w:ind w:left="80"/>
              <w:spacing w:after="0" w:line="182" w:lineRule="exact"/>
              <w:rPr>
                <w:sz w:val="20"/>
                <w:szCs w:val="20"/>
                <w:color w:val="auto"/>
              </w:rPr>
            </w:pPr>
            <w:r>
              <w:rPr>
                <w:rFonts w:ascii="Arial" w:cs="Arial" w:eastAsia="Arial" w:hAnsi="Arial"/>
                <w:sz w:val="18"/>
                <w:szCs w:val="18"/>
                <w:color w:val="auto"/>
                <w:w w:val="97"/>
              </w:rPr>
              <w:t>Net income available to common stockholders - if-converted</w:t>
            </w: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40,512</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47,128</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170,746</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70,904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method</w:t>
            </w:r>
          </w:p>
        </w:tc>
        <w:tc>
          <w:tcPr>
            <w:tcW w:w="400" w:type="dxa"/>
            <w:vAlign w:val="bottom"/>
            <w:gridSpan w:val="2"/>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59,707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Effect of dilutive stock-based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dilutive put rights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63,620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59,315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55,329</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 income per share available to common stockholders</w:t>
            </w:r>
          </w:p>
        </w:tc>
        <w:tc>
          <w:tcPr>
            <w:tcW w:w="400" w:type="dxa"/>
            <w:vAlign w:val="bottom"/>
            <w:gridSpan w:val="2"/>
          </w:tcPr>
          <w:p>
            <w:pPr>
              <w:ind w:left="300"/>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0.69</w:t>
            </w:r>
          </w:p>
        </w:tc>
        <w:tc>
          <w:tcPr>
            <w:tcW w:w="240" w:type="dxa"/>
            <w:vAlign w:val="bottom"/>
            <w:gridSpan w:val="2"/>
          </w:tcPr>
          <w:p>
            <w:pPr>
              <w:ind w:left="140"/>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0.82</w:t>
            </w:r>
          </w:p>
        </w:tc>
        <w:tc>
          <w:tcPr>
            <w:tcW w:w="240" w:type="dxa"/>
            <w:vAlign w:val="bottom"/>
            <w:gridSpan w:val="2"/>
          </w:tcPr>
          <w:p>
            <w:pPr>
              <w:ind w:left="14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gridSpan w:val="2"/>
          </w:tcPr>
          <w:p>
            <w:pPr>
              <w:ind w:left="14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income per share available to common stockholders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As more fully discussed in Note 1 to the consolidated financial statements included in the Company’s Annual Report on Form 10-K for the year ended December 31, 2022, although currently not exercisable, the OEG Investor has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OEG Investor’s noncontrolling equity interest was redeemed in exchange for shares of the Company’s common stock.</w:t>
      </w:r>
    </w:p>
    <w:p>
      <w:pPr>
        <w:spacing w:after="0" w:line="137"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operating partnership units (“OP Units”) held by the noncontrolling interest holders in RHP Hotel Properties, LP (the “Operating Partnership”) have been excluded from the denominator of the diluted income per share calculation for the three and nine months ended September 30, 2023 and 2022 as there would be no effect on the calculation of diluted income per share because the income attributable to the OP Units held by the noncontrolling interest holders would also be subtracted to derive net income available to common stockholders.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ACCUMULATED OTHER COMPREHENSIVE LOSS:</w:t>
      </w:r>
    </w:p>
    <w:p>
      <w:pPr>
        <w:spacing w:after="0" w:line="189"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Company’s balance in accumulated other comprehensive loss is comprised of amounts related to the Company’s minimum pension liability discussed in Note 13, “Pension Plans,” interest rate derivatives designated as cash flow hedges related to the Company’s outstanding debt as discussed in Note 9, “Debt,” and amounts related to an other-than-temporary impairment of a held-to-maturity investment that existed prior to 2020 with respect to the notes receivable discussed in Note 8, “Notes Receivable,” to the condensed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Changes in accumulated other comprehensive loss by component for the nine months ended September 30, 2023 and 2022 consisted of the following (in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Other-Than-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5"/>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2022</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(10,923)</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Gains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3,029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(11,798)</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(8,769)</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September 30, 2023</w:t>
            </w: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5"/>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Gains (losses)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15,642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9,205</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6,375</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7,949</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17,154</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September 30, 2022</w:t>
            </w: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w:t>
      </w:r>
    </w:p>
    <w:p>
      <w:pPr>
        <w:spacing w:after="0" w:line="189"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Property and equipment, including right-of-use finance lease assets, at September 30, 2023 and December 31, 2022 is recorded at cost (except for right-of-use finance lease assets) and summarized as follows (in thousands):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443,469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4,373,388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3,785,968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1,121,244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1,015,078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50,312</w:t>
            </w: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6,200,350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5,296,440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(2,271,429)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(2,124,732)</w:t>
            </w: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3,928,921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3,171,708</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NOTES RECEIVABLE:</w:t>
      </w:r>
    </w:p>
    <w:p>
      <w:pPr>
        <w:spacing w:after="0" w:line="189"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As further discussed in the Company’s Annual Report on Form 10-K for the year ended December 31, 2022, in connection with the development of Gaylord National, the Company holds two issuances of governmental bonds (“Series A bond” and “Series B bond”) with a total carrying value and approximate fair value of $60.5 million and $67.6 million at September 30, 2023 and December 31, 2022, respectively, net of credit loss reserve of $38.0 million at each of September 30, 2023 and December 31, 2022.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51"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Series B bond is fully reserved. The Series A bond is of higher priority than other tranches which fall between the Company’s two issuances.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During the three months ended September 30, 2023 and 2022, the Company recorded interest income of $1.2 million and $1.3 million, respectively, on these bonds. During the nine months ended September 30, 2023 and 2022, the Company recorded interest income of $3.7 million and $4.0 million, respectively, on these bonds. The Company received payments of $11.0 million and $9.1 million during the nine months ended September 30, 2023 and 2022, respectively, relating to these bonds. At September 30, 2023 and December 31, 2022, before consideration of the credit loss reserve, the Company had accrued interest receivable related to these bonds of $39.8 million and $41.0 million, respectively.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189"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The Company’s debt and finance lease obligations at September 30, 2023 and December 31, 2022 consisted of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r>
      <w:tr>
        <w:trPr>
          <w:trHeight w:val="209"/>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$700M Revolving Credit Facility, interest at SOFR plus 1.50%, maturing May 18, 2027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$500M Term Loan B, interest at SOFR plus 2.75%, maturing May 18, 2030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371,250</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$400M Senior Notes, interest at 7.25%, maturing July 15, 2028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$600M</w:t>
            </w:r>
          </w:p>
        </w:tc>
        <w:tc>
          <w:tcPr>
            <w:tcW w:w="6260" w:type="dxa"/>
            <w:vAlign w:val="bottom"/>
          </w:tcPr>
          <w:p>
            <w:pPr>
              <w:ind w:left="20"/>
              <w:spacing w:after="0"/>
              <w:rPr>
                <w:sz w:val="20"/>
                <w:szCs w:val="20"/>
                <w:color w:val="auto"/>
              </w:rPr>
            </w:pPr>
            <w:r>
              <w:rPr>
                <w:rFonts w:ascii="Arial" w:cs="Arial" w:eastAsia="Arial" w:hAnsi="Arial"/>
                <w:sz w:val="18"/>
                <w:szCs w:val="18"/>
                <w:color w:val="auto"/>
              </w:rPr>
              <w:t>Senior Notes, interest at 4.50%, maturing February 15, 2029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$700M</w:t>
            </w: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at 4.75%, maturing October 15, 2027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$800M</w:t>
            </w:r>
          </w:p>
        </w:tc>
        <w:tc>
          <w:tcPr>
            <w:tcW w:w="6260" w:type="dxa"/>
            <w:vAlign w:val="bottom"/>
          </w:tcPr>
          <w:p>
            <w:pPr>
              <w:ind w:left="20"/>
              <w:spacing w:after="0"/>
              <w:rPr>
                <w:sz w:val="20"/>
                <w:szCs w:val="20"/>
                <w:color w:val="auto"/>
              </w:rPr>
            </w:pPr>
            <w:r>
              <w:rPr>
                <w:rFonts w:ascii="Arial" w:cs="Arial" w:eastAsia="Arial" w:hAnsi="Arial"/>
                <w:sz w:val="18"/>
                <w:szCs w:val="18"/>
                <w:color w:val="auto"/>
                <w:w w:val="96"/>
              </w:rPr>
              <w:t>Gaylord Rockies Term Loan, interest at SOFR plus 2.50%, maturing July 2, 2024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$300M</w:t>
            </w: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OEG Term Loan, interest at SOFR plus 5.00%, maturing June 16, 2029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299,250</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$65M OEG Revolver, interest at SOFR plus 4.50%, maturing June 16, 2027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Block 21 CMBS Loan, interest at 5.58%, maturing January 5, 2026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134,636</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(30,482)</w:t>
            </w:r>
          </w:p>
        </w:tc>
      </w:tr>
      <w:tr>
        <w:trPr>
          <w:trHeight w:val="216"/>
        </w:trPr>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discounts and premiums, net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w:t>
            </w:r>
          </w:p>
        </w:tc>
      </w:tr>
      <w:tr>
        <w:trPr>
          <w:trHeight w:val="210"/>
        </w:trPr>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3,374,787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2,862,592</w:t>
            </w:r>
          </w:p>
        </w:tc>
      </w:tr>
      <w:tr>
        <w:trPr>
          <w:trHeight w:val="20"/>
        </w:trPr>
        <w:tc>
          <w:tcPr>
            <w:tcW w:w="5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Amounts due within one year of the balance sheet date consist of the $800 million Gaylord Rockies term loan, the amortization payments for the $500 million term loan B of 1.0% of the original principal balance, amortization payments for the $300 million OEG term loan of 1.0% of the original principal balance, and amortization of the Block 21 CMBS loan based on a 30-year amortization. The Gaylord Rockies term loan has two, one-year extension options remaining, subject to certain requirements in the Gaylord Rockies term loan.</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September 30, 2023, there were no defaults under the covenants related to the Company’s outstanding debt.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Facility</w:t>
      </w:r>
    </w:p>
    <w:p>
      <w:pPr>
        <w:spacing w:after="0" w:line="185" w:lineRule="exact"/>
        <w:rPr>
          <w:sz w:val="20"/>
          <w:szCs w:val="20"/>
          <w:color w:val="auto"/>
        </w:rPr>
      </w:pPr>
    </w:p>
    <w:p>
      <w:pPr>
        <w:ind w:left="60" w:right="439"/>
        <w:spacing w:after="0" w:line="279" w:lineRule="auto"/>
        <w:rPr>
          <w:sz w:val="20"/>
          <w:szCs w:val="20"/>
          <w:color w:val="auto"/>
        </w:rPr>
      </w:pPr>
      <w:r>
        <w:rPr>
          <w:rFonts w:ascii="Arial" w:cs="Arial" w:eastAsia="Arial" w:hAnsi="Arial"/>
          <w:sz w:val="17"/>
          <w:szCs w:val="17"/>
          <w:color w:val="auto"/>
        </w:rPr>
        <w:t>On May 18, 2023, the Company entered into a Credit Agreement (the “Credit Agreement”) among the Company, as a guarantor, its subsidiary RHP Hotel Properties, LP (the “Borrower”), as borrower, certain other subsidiaries of the Company party thereto, as guarantors, certain subsidiaries of the Company party thereto, as pledgors, the lenders party thereto and Wells Fargo Bank, National Association, as administrative agent.</w:t>
      </w:r>
    </w:p>
    <w:p>
      <w:pPr>
        <w:spacing w:after="0" w:line="131"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Credit Agreement provides a $700 million revolving credit facility (the “Revolver”) and $500 million term loan B (the “Term Loan B”), as well as an accordion feature that will allow Borrower to increase the facilities following the closing date by an aggregate total of up to $475 million, which may be allocated between the Revolver and the Term Loan B at the option of the Borrower. The Revolver replaced the Company’s previous $700 million revolving credit facility, and a portion of the proceeds of the Term Loan B were used to repay in full the approximately $370 million balance of the Company’s previous term loan B. The Revolver was undrawn at closing.</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Borrowings under the Revolver under the Credit Agreement bear interest at an annual rate equal to, at the Company’s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option, either (i) Adjusted Term SOFR plus the applicable margin ranging from 1.40% to 2.00%, dependent upon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Company’s funded debt to total asset value ratio (as defined in the Credit Agreement), (ii) Adjusted Daily Simple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SOFR plus the applicable margin ranging from 1.40% to 2.00%, dependent upon the Company’s funded debt to total asset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value ratio (as defined in the Credit Agreement) or (iii) a base rate as set forth in the Credit Agreement plus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applicable margin ranging from 0.40% to 1.00%, dependent upon the Company’s funded debt to total asset value ratio (as defined in the Credit Agreement). Borrowings under the Term Loan B bear interest at an annual rate equal to, at the Company’s option, (i) Term SOFR plus 2.75%, (ii) Daily Simple SOFR plus 2.75% or (iii) a base rate as set forth in the Credit Agreement plus 1.75%. The Revolver matures on May 18, 2027, with the option to extend the maturity date for a maximum of one additional year through either (i) a single 12-month extension option or (ii) two individual 6-month extensions, and the Term Loan B matures on May 18, 2030.</w:t>
      </w:r>
    </w:p>
    <w:p>
      <w:pPr>
        <w:spacing w:after="0" w:line="151"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Revolver and the Term Loan B are subject to certain events of default which can be triggered by failing to meet customary financial covenants. If an event of default shall occur and be continuing, the principal amount outstanding under the Revolver and Term Loan B, together with all accrued and unpaid interest and other amounts owing in respect thereof, may be declared immediately due and payable.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$400 Million 7.25% Senior Notes due 2028</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June 22, 2023, the Operating Partnership and RHP Finance Corporation (collectively, the “issuing subsidiaries”)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completed the private placement of $400.0 million in aggregate principal amount of 7.25% senior notes due 2028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“$400 Million 7.25% Senior Notes”), which are guaranteed by the Company and its subsidiaries that guarantee the Credit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Agreement.</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 7.25% per annum, payable semi-annually in cash in arrears on January 15 and July 15 each year, beginning on January 15, 2024. The $400 Million 7.25% Senior Notes are general unsecured and unsubordinated obligations of the issuing subsidiaries and rank equal in right of payment with such subsidiaries’ existing and future senior unsecured indebtedness, including the Company’s $700 million in aggregate principal amount of 4.75% senior notes due 2027 and $600 million in aggregate principal amount of 4.50% senior notes due 2029, and senior in right of payment to future subordinated indebtedness, if any.</w:t>
      </w:r>
    </w:p>
    <w:p>
      <w:pPr>
        <w:spacing w:after="0" w:line="125"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37"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net proceeds from the issuance of the $400 Million 7.25% Senior Notes totaled approximately $393 million, after deducting the initial purchasers’ discounts, commissions and offering expenses. The Company used these proceeds to pay a portion of the purchase price for JW Marriott Hill Country discussed in Note 2.</w:t>
      </w:r>
    </w:p>
    <w:p>
      <w:pPr>
        <w:spacing w:after="0" w:line="157"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The $400 Million 7.25% Senior Notes are redeemable before July 15, 2025, in whole or in part, at 100.00%, plus accrued and unpaid interest thereon to, but not including, the redemption date, plus a make-whole premium. The $400 Million</w:t>
      </w:r>
    </w:p>
    <w:p>
      <w:pPr>
        <w:ind w:left="60" w:right="159"/>
        <w:spacing w:after="0" w:line="253" w:lineRule="auto"/>
        <w:rPr>
          <w:sz w:val="20"/>
          <w:szCs w:val="20"/>
          <w:color w:val="auto"/>
        </w:rPr>
      </w:pPr>
      <w:r>
        <w:rPr>
          <w:rFonts w:ascii="Arial" w:cs="Arial" w:eastAsia="Arial" w:hAnsi="Arial"/>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18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 has entered into or previously entered into interest rate swaps to manage interest rate risk associated with the Company’s previous term loan B, the Gaylord Rockies $800 million term loan and the $300 million OEG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$1.6 million will be reclassified from accumulated other comprehensive income as a reduction to interest expense in the next twelve months.</w:t>
      </w:r>
    </w:p>
    <w:p>
      <w:pPr>
        <w:spacing w:after="0" w:line="16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estimated fair value of the Company’s derivative financial instruments at September 30, 2023 and December 31, 2022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Strike</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4"/>
                <w:szCs w:val="14"/>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Asset (Liability) Balance</w:t>
            </w:r>
          </w:p>
        </w:tc>
        <w:tc>
          <w:tcPr>
            <w:tcW w:w="0" w:type="dxa"/>
            <w:vAlign w:val="bottom"/>
          </w:tcPr>
          <w:p>
            <w:pPr>
              <w:spacing w:after="0"/>
              <w:rPr>
                <w:sz w:val="1"/>
                <w:szCs w:val="1"/>
                <w:color w:val="auto"/>
              </w:rPr>
            </w:pPr>
          </w:p>
        </w:tc>
      </w:tr>
      <w:tr>
        <w:trPr>
          <w:trHeight w:val="119"/>
        </w:trPr>
        <w:tc>
          <w:tcPr>
            <w:tcW w:w="20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Type</w:t>
            </w:r>
          </w:p>
        </w:tc>
        <w:tc>
          <w:tcPr>
            <w:tcW w:w="640" w:type="dxa"/>
            <w:vAlign w:val="bottom"/>
            <w:gridSpan w:val="2"/>
            <w:vMerge w:val="continue"/>
          </w:tcPr>
          <w:p>
            <w:pPr>
              <w:spacing w:after="0"/>
              <w:rPr>
                <w:sz w:val="10"/>
                <w:szCs w:val="10"/>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Index</w:t>
            </w:r>
          </w:p>
        </w:tc>
        <w:tc>
          <w:tcPr>
            <w:tcW w:w="12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Rate</w:t>
            </w:r>
          </w:p>
        </w:tc>
        <w:tc>
          <w:tcPr>
            <w:tcW w:w="10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1.2235%</w:t>
            </w: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1-month LIBOR</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87,500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1-month LIBOR</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May 11, 2023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2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6"/>
              </w:rPr>
              <w:t>1-month LIBOR</w:t>
            </w:r>
          </w:p>
        </w:tc>
        <w:tc>
          <w:tcPr>
            <w:tcW w:w="12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May 11, 2023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1.2315%</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1-month LIBOR</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May 11, 2023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Term Loan</w:t>
            </w:r>
          </w:p>
        </w:tc>
        <w:tc>
          <w:tcPr>
            <w:tcW w:w="12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3.3410%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6"/>
              </w:rPr>
              <w:t>1-month LIBOR</w:t>
            </w:r>
          </w:p>
        </w:tc>
        <w:tc>
          <w:tcPr>
            <w:tcW w:w="12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3"/>
              </w:rPr>
              <w:t>August 1, 2023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Gaylord Rockies Term Loan</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5.2105%</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Daily SOFR</w:t>
            </w: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July 2, 2024</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864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OEG Term Loan</w:t>
            </w:r>
          </w:p>
        </w:tc>
        <w:tc>
          <w:tcPr>
            <w:tcW w:w="12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4.5330%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5"/>
              </w:rPr>
              <w:t>3-month SOFR</w:t>
            </w:r>
          </w:p>
        </w:tc>
        <w:tc>
          <w:tcPr>
            <w:tcW w:w="12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December 18, 2025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8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5"/>
              <w:spacing w:after="0" w:line="149" w:lineRule="exact"/>
              <w:rPr>
                <w:sz w:val="20"/>
                <w:szCs w:val="20"/>
                <w:color w:val="auto"/>
              </w:rPr>
            </w:pPr>
            <w:r>
              <w:rPr>
                <w:rFonts w:ascii="Arial" w:cs="Arial" w:eastAsia="Arial" w:hAnsi="Arial"/>
                <w:sz w:val="14"/>
                <w:szCs w:val="14"/>
                <w:b w:val="1"/>
                <w:bCs w:val="1"/>
                <w:color w:val="auto"/>
                <w:w w:val="95"/>
              </w:rPr>
              <w:t>Recognized in OCI</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20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5"/>
              <w:spacing w:after="0"/>
              <w:rPr>
                <w:sz w:val="20"/>
                <w:szCs w:val="20"/>
                <w:color w:val="auto"/>
              </w:rPr>
            </w:pPr>
            <w:r>
              <w:rPr>
                <w:rFonts w:ascii="Arial" w:cs="Arial" w:eastAsia="Arial" w:hAnsi="Arial"/>
                <w:sz w:val="14"/>
                <w:szCs w:val="14"/>
                <w:b w:val="1"/>
                <w:bCs w:val="1"/>
                <w:color w:val="auto"/>
                <w:w w:val="93"/>
              </w:rPr>
              <w:t>on Derivatives</w:t>
            </w: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5"/>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c>
          <w:tcPr>
            <w:tcW w:w="158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Reclassified from</w:t>
            </w: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3"/>
          </w:tcPr>
          <w:p>
            <w:pPr>
              <w:jc w:val="center"/>
              <w:ind w:right="2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25"/>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00" w:type="dxa"/>
            <w:vAlign w:val="bottom"/>
          </w:tcPr>
          <w:p>
            <w:pPr>
              <w:spacing w:after="0"/>
              <w:rPr>
                <w:sz w:val="14"/>
                <w:szCs w:val="14"/>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into Income (Expense)</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07"/>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1,562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7,453</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Interest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1,578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 derivatives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1,562</w:t>
            </w:r>
          </w:p>
        </w:tc>
        <w:tc>
          <w:tcPr>
            <w:tcW w:w="160" w:type="dxa"/>
            <w:vAlign w:val="bottom"/>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7,453</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1,578</w:t>
            </w:r>
          </w:p>
        </w:tc>
        <w:tc>
          <w:tcPr>
            <w:tcW w:w="220" w:type="dxa"/>
            <w:vAlign w:val="bottom"/>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60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5"/>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20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5"/>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5"/>
              <w:spacing w:after="0" w:line="119"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Reclassified from</w:t>
            </w: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3"/>
          </w:tcPr>
          <w:p>
            <w:pPr>
              <w:jc w:val="center"/>
              <w:ind w:right="25"/>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25"/>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00" w:type="dxa"/>
            <w:vAlign w:val="bottom"/>
          </w:tcPr>
          <w:p>
            <w:pPr>
              <w:spacing w:after="0"/>
              <w:rPr>
                <w:sz w:val="14"/>
                <w:szCs w:val="14"/>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into Income (Expense)</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07"/>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Arial" w:cs="Arial" w:eastAsia="Arial" w:hAnsi="Arial"/>
                <w:sz w:val="15"/>
                <w:szCs w:val="15"/>
                <w:color w:val="auto"/>
              </w:rPr>
              <w:t>Interest rate swaps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ind w:right="7"/>
              <w:spacing w:after="0" w:line="162" w:lineRule="exact"/>
              <w:rPr>
                <w:sz w:val="20"/>
                <w:szCs w:val="20"/>
                <w:color w:val="auto"/>
              </w:rPr>
            </w:pPr>
            <w:r>
              <w:rPr>
                <w:rFonts w:ascii="Arial" w:cs="Arial" w:eastAsia="Arial" w:hAnsi="Arial"/>
                <w:sz w:val="15"/>
                <w:szCs w:val="15"/>
                <w:color w:val="auto"/>
              </w:rPr>
              <w:t>3,029</w:t>
            </w: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15,642</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w w:val="90"/>
              </w:rPr>
              <w:t>Interest expense</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ind w:right="27"/>
              <w:spacing w:after="0" w:line="162" w:lineRule="exact"/>
              <w:rPr>
                <w:sz w:val="20"/>
                <w:szCs w:val="20"/>
                <w:color w:val="auto"/>
              </w:rPr>
            </w:pPr>
            <w:r>
              <w:rPr>
                <w:rFonts w:ascii="Arial" w:cs="Arial" w:eastAsia="Arial" w:hAnsi="Arial"/>
                <w:sz w:val="15"/>
                <w:szCs w:val="15"/>
                <w:color w:val="auto"/>
              </w:rPr>
              <w:t>11,734</w:t>
            </w:r>
          </w:p>
        </w:tc>
        <w:tc>
          <w:tcPr>
            <w:tcW w:w="220" w:type="dxa"/>
            <w:vAlign w:val="bottom"/>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(6,375)</w:t>
            </w: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derivatives</w:t>
            </w: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right w:val="single" w:sz="8" w:color="CCEEFF"/>
            </w:tcBorders>
            <w:shd w:val="clear" w:color="auto" w:fill="CCEEFF"/>
          </w:tcPr>
          <w:p>
            <w:pPr>
              <w:jc w:val="right"/>
              <w:ind w:right="7"/>
              <w:spacing w:after="0" w:line="156" w:lineRule="exact"/>
              <w:rPr>
                <w:sz w:val="20"/>
                <w:szCs w:val="20"/>
                <w:color w:val="auto"/>
              </w:rPr>
            </w:pPr>
            <w:r>
              <w:rPr>
                <w:rFonts w:ascii="Arial" w:cs="Arial" w:eastAsia="Arial" w:hAnsi="Arial"/>
                <w:sz w:val="15"/>
                <w:szCs w:val="15"/>
                <w:color w:val="auto"/>
              </w:rPr>
              <w:t>3,029</w:t>
            </w:r>
          </w:p>
        </w:tc>
        <w:tc>
          <w:tcPr>
            <w:tcW w:w="160" w:type="dxa"/>
            <w:vAlign w:val="bottom"/>
            <w:tcBorders>
              <w:top w:val="single" w:sz="8" w:color="auto"/>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15,642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ind w:right="27"/>
              <w:spacing w:after="0" w:line="156" w:lineRule="exact"/>
              <w:rPr>
                <w:sz w:val="20"/>
                <w:szCs w:val="20"/>
                <w:color w:val="auto"/>
              </w:rPr>
            </w:pPr>
            <w:r>
              <w:rPr>
                <w:rFonts w:ascii="Arial" w:cs="Arial" w:eastAsia="Arial" w:hAnsi="Arial"/>
                <w:sz w:val="15"/>
                <w:szCs w:val="15"/>
                <w:color w:val="auto"/>
              </w:rPr>
              <w:t>11,734</w:t>
            </w:r>
          </w:p>
        </w:tc>
        <w:tc>
          <w:tcPr>
            <w:tcW w:w="220" w:type="dxa"/>
            <w:vAlign w:val="bottom"/>
            <w:tcBorders>
              <w:top w:val="single" w:sz="8" w:color="auto"/>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(6,375)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September 30, 2023 and 2022 was $58.5 million and $40.1 million, respectively, and for the nine months ended September 30, 2023 and 2022 was $150.2 million and $106.0 million, respectively.</w:t>
      </w:r>
    </w:p>
    <w:p>
      <w:pPr>
        <w:spacing w:after="0" w:line="14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As of September 30, 2023, the Company has not posted any collateral related to these agreements and was not in breach of any agreement provisions.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DEFERRED MANAGEMENT RIGHTS PROCEEDS:</w:t>
      </w:r>
    </w:p>
    <w:p>
      <w:pPr>
        <w:spacing w:after="0" w:line="202"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189"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The Company is a lessee of a 65.3-acre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are not considered reasonably assured to be exercised and, as a result, are not included in the Company’s calculation of its right-of-use assets and lease liabilities.</w:t>
      </w:r>
    </w:p>
    <w:p>
      <w:pPr>
        <w:spacing w:after="0" w:line="178" w:lineRule="exact"/>
        <w:rPr>
          <w:sz w:val="20"/>
          <w:szCs w:val="20"/>
          <w:color w:val="auto"/>
        </w:rPr>
      </w:pPr>
    </w:p>
    <w:p>
      <w:pPr>
        <w:jc w:val="both"/>
        <w:ind w:left="60" w:right="399"/>
        <w:spacing w:after="0" w:line="311"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4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The Company’s lease costs for the three and nine months ended September 30, 2023 and 2022 are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1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1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13,499</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$ 11,171</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Finance lease cost: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Interest on lease liabilities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$ 11,289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vMerge w:val="restart"/>
          </w:tcPr>
          <w:p>
            <w:pPr>
              <w:jc w:val="right"/>
              <w:ind w:right="25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Future minimum lease payments under non-cancelable leases at September 30, 2023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w w:val="86"/>
              </w:rPr>
              <w:t>Finance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Leases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(476,099)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present value of minimum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7"/>
              </w:rPr>
              <w:t>43.1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11.2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53"/>
              <w:spacing w:after="0"/>
              <w:rPr>
                <w:sz w:val="20"/>
                <w:szCs w:val="20"/>
                <w:color w:val="auto"/>
              </w:rPr>
            </w:pPr>
            <w:r>
              <w:rPr>
                <w:rFonts w:ascii="Arial" w:cs="Arial" w:eastAsia="Arial" w:hAnsi="Arial"/>
                <w:sz w:val="18"/>
                <w:szCs w:val="18"/>
                <w:color w:val="auto"/>
              </w:rPr>
              <w:t>7.0 %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3"/>
          </w:tcPr>
          <w:p>
            <w:pPr>
              <w:jc w:val="right"/>
              <w:ind w:right="153"/>
              <w:spacing w:after="0"/>
              <w:rPr>
                <w:sz w:val="20"/>
                <w:szCs w:val="20"/>
                <w:color w:val="auto"/>
              </w:rPr>
            </w:pPr>
            <w:r>
              <w:rPr>
                <w:rFonts w:ascii="Arial" w:cs="Arial" w:eastAsia="Arial" w:hAnsi="Arial"/>
                <w:sz w:val="18"/>
                <w:szCs w:val="18"/>
                <w:color w:val="auto"/>
              </w:rPr>
              <w:t>3.7 %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 PLANS:</w:t>
      </w:r>
    </w:p>
    <w:p>
      <w:pPr>
        <w:spacing w:after="0" w:line="20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During the nine months ended September 30, 2023, the Company granted 0.2 million restricted stock units with a weighted-average grant date fair value of $87.04 per unit. There were 0.6 million restricted stock units outstanding at each of September 30, 2023 and December 31, 2022.</w:t>
      </w:r>
    </w:p>
    <w:p>
      <w:pPr>
        <w:spacing w:after="0" w:line="143"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Compensation expense for the Company’s stock-based compensation plans was $3.9 million and $3.7 million for the three months ended September 30, 2023 and 2022, respectively, and $11.5 million and $11.1 million for the nine months ended September 30, 2023 and 2022, respectively.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PENSION PLANS:</w:t>
      </w:r>
    </w:p>
    <w:p>
      <w:pPr>
        <w:spacing w:after="0" w:line="202" w:lineRule="exact"/>
        <w:rPr>
          <w:sz w:val="20"/>
          <w:szCs w:val="20"/>
          <w:color w:val="auto"/>
        </w:rPr>
      </w:pPr>
    </w:p>
    <w:p>
      <w:pPr>
        <w:ind w:left="60" w:right="639"/>
        <w:spacing w:after="0" w:line="342" w:lineRule="auto"/>
        <w:rPr>
          <w:sz w:val="20"/>
          <w:szCs w:val="20"/>
          <w:color w:val="auto"/>
        </w:rPr>
      </w:pPr>
      <w:r>
        <w:rPr>
          <w:rFonts w:ascii="Arial" w:cs="Arial" w:eastAsia="Arial" w:hAnsi="Arial"/>
          <w:sz w:val="16"/>
          <w:szCs w:val="16"/>
          <w:color w:val="auto"/>
        </w:rPr>
        <w:t>Net periodic pension expense reflected in other gains and (losses), net in the accompanying condensed consolidated statements of operations included the following components for the respective periods (in thousands):</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80" w:type="dxa"/>
            <w:vAlign w:val="bottom"/>
            <w:gridSpan w:val="6"/>
          </w:tcPr>
          <w:p>
            <w:pPr>
              <w:ind w:left="78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2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(2,882)</w:t>
            </w: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settlement loss</w:t>
            </w: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Borders>
              <w:bottom w:val="single" w:sz="8" w:color="CCEEFF"/>
            </w:tcBorders>
          </w:tcPr>
          <w:p>
            <w:pPr>
              <w:spacing w:after="0"/>
              <w:rPr>
                <w:sz w:val="18"/>
                <w:szCs w:val="18"/>
                <w:color w:val="auto"/>
              </w:rPr>
            </w:pPr>
          </w:p>
        </w:tc>
      </w:tr>
      <w:tr>
        <w:trPr>
          <w:trHeight w:val="210"/>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As a result of increased lump-sum distributions from the Company’s qualified retirement plan during 2022, a net settlement loss of $1.6 million was recognized in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02"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17"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For the three months ended September 30, 2023 and 2022, the Company recorded an income tax provision of $2.2 million and $10.2 million, respectively, related to its TRSs. For the nine months ended September 30, 2023 and 2022, the Company recorded an income tax provision of $7.3 million and $27.7 million, respectively, related to its TRSs. The decrease in the income tax provision for the three and nine months ended September 30, 2023, as compared to the same periods in the prior year, primarily relates to a decrease in income at the Company’s TRSs.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September 30, 2023 and December 31, 2022, the Company had no unrecognized tax benefits.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 AND CONTINGENCIES:</w:t>
      </w:r>
    </w:p>
    <w:p>
      <w:pPr>
        <w:spacing w:after="0" w:line="18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In April 2019, a subsidiary of the Company acquired a 50% equity interest in Circle and has made capital contributions of $41.5 million through September 30, 2023. The Company accounts for its investment in this joint venture under the equity method of accounting. In September 2023, Company management determined to pivot from television network ownership in favor of a distribution approach. Therefore, the Company and its joint venture partner agreed to wind down the joint venture, with operations expected to cease December 31, 2023. As a result, the Company incurred a loss related to Circle of approximately $10.6 million, which is included in loss from unconsolidated joint ventures in the accompanying condensed consolidated statement of operations for the three and nine months ended September 30, 2023. Included in this loss is approximately $3.5 million, which is the Company’s portion of the remaining net obligations of the joint venture, which the Company has committed to fund.</w:t>
      </w:r>
    </w:p>
    <w:p>
      <w:pPr>
        <w:spacing w:after="0" w:line="140"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In connection with the purchase of Block 21, the Company provided (i) limited guarantees to the Block 21 lenders under the Block 21 CMBS Loan via a guaranty agreement, a guaranty of completion agreement and an environmental indemnity, and (ii) a letter of credit drawable by the Block 21 lenders in the event of a default of the Block 21 CMBS Loan.</w:t>
      </w:r>
    </w:p>
    <w:p>
      <w:pPr>
        <w:spacing w:after="0" w:line="122"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EQUITY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w:t>
      </w:r>
    </w:p>
    <w:p>
      <w:pPr>
        <w:spacing w:after="0" w:line="185" w:lineRule="exact"/>
        <w:rPr>
          <w:sz w:val="20"/>
          <w:szCs w:val="20"/>
          <w:color w:val="auto"/>
        </w:rPr>
      </w:pPr>
    </w:p>
    <w:p>
      <w:pPr>
        <w:jc w:val="both"/>
        <w:ind w:left="60" w:right="159"/>
        <w:spacing w:after="0" w:line="301" w:lineRule="auto"/>
        <w:rPr>
          <w:sz w:val="20"/>
          <w:szCs w:val="20"/>
          <w:color w:val="auto"/>
        </w:rPr>
      </w:pPr>
      <w:r>
        <w:rPr>
          <w:rFonts w:ascii="Arial" w:cs="Arial" w:eastAsia="Arial" w:hAnsi="Arial"/>
          <w:sz w:val="16"/>
          <w:szCs w:val="16"/>
          <w:color w:val="auto"/>
        </w:rPr>
        <w:t>In June 2023, the Company completed an underwritten public offering of approximately 4.4 million shares of its common stock, par value $0.01 per share, at a price to the public of $93.25 per share. Net proceeds to the Company, after deducting underwriting discounts and commissions and other expenses paid by the Company, were approximately $395 million. The Company used these proceeds to pay a portion of the purchase price for JW Marriott Hill Country discussed in Note 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198" w:lineRule="exact"/>
        <w:rPr>
          <w:sz w:val="20"/>
          <w:szCs w:val="20"/>
          <w:color w:val="auto"/>
        </w:rPr>
      </w:pPr>
    </w:p>
    <w:p>
      <w:pPr>
        <w:jc w:val="both"/>
        <w:ind w:left="60" w:right="299"/>
        <w:spacing w:after="0" w:line="301" w:lineRule="auto"/>
        <w:rPr>
          <w:sz w:val="20"/>
          <w:szCs w:val="20"/>
          <w:color w:val="auto"/>
        </w:rPr>
      </w:pPr>
      <w:r>
        <w:rPr>
          <w:rFonts w:ascii="Arial" w:cs="Arial" w:eastAsia="Arial" w:hAnsi="Arial"/>
          <w:sz w:val="16"/>
          <w:szCs w:val="16"/>
          <w:color w:val="auto"/>
        </w:rPr>
        <w:t>On February 23, 2023, the Company’s board of directors declared the Company’s first quarter 2023 cash dividend in the amount of $0.75 per share of common stock, or an aggregate of approximately $41.7 million in cash, which was paid on April 17, 2023 to stockholders of record as of the close of business on March 31, 2023. On May 3, 2023, the Company’s board of directors declared the Company’s second quarter 2023 cash dividend in the amount of $1.00 per share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common stock, or an aggregate of approximately $60.1 million in cash, which was paid on July 17, 2023 to stockholders of record as of the close of business on June 30, 2023. On September 18, 2023, the Company’s board of directors declared the Company’s third quarter 2023 cash dividend in the amount of $1.00 per share of common stock, or an aggregate of approximately $60.1 million in cash, which was paid on October 16, 2023 to stockholders of record as of the close of business on September 29, 2023. Any future dividend is subject to the Company’s board of directors’ determination as to the amount of distributions and the timing thereof.</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 in the Operating Partnership</w:t>
      </w:r>
    </w:p>
    <w:p>
      <w:pPr>
        <w:spacing w:after="0" w:line="18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September 30, 2023, 0.4 million outstanding OP Units, or less than 1% of the outstanding OP Units, were held by the noncontrolling limited partners and are included as a component of equity in the accompanying condensed consolidated balance sheets. The Company owns, directly or indirectly, the remaining 99.3% of the outstanding OP Units.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(“ATM”) Equity Distribution Agreement</w:t>
      </w:r>
    </w:p>
    <w:p>
      <w:pPr>
        <w:spacing w:after="0" w:line="198" w:lineRule="exact"/>
        <w:rPr>
          <w:sz w:val="20"/>
          <w:szCs w:val="20"/>
          <w:color w:val="auto"/>
        </w:rPr>
      </w:pPr>
    </w:p>
    <w:p>
      <w:pPr>
        <w:ind w:left="60" w:right="439"/>
        <w:spacing w:after="0" w:line="275" w:lineRule="auto"/>
        <w:rPr>
          <w:sz w:val="20"/>
          <w:szCs w:val="20"/>
          <w:color w:val="auto"/>
        </w:rPr>
      </w:pPr>
      <w:r>
        <w:rPr>
          <w:rFonts w:ascii="Arial" w:cs="Arial" w:eastAsia="Arial" w:hAnsi="Arial"/>
          <w:sz w:val="17"/>
          <w:szCs w:val="17"/>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3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Credit Agreement. Net proceeds which are not used for the repayment of outstanding indebtedness (to the extent then permitted by the Credit Agreement) may be used for general corporate purposes.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shares were issued under the ATM Agreement during the nine months ended September 30, 2023.</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FAIR VALUE MEASUREMENTS:</w:t>
      </w:r>
    </w:p>
    <w:p>
      <w:pPr>
        <w:spacing w:after="0" w:line="18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60"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significant impact of non-performance risk of the parties to the swap contracts. Therefore, these swap contracts have been classified as Level 2.</w:t>
      </w:r>
    </w:p>
    <w:p>
      <w:pPr>
        <w:spacing w:after="0" w:line="143"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30" w:lineRule="exact"/>
        <w:rPr>
          <w:sz w:val="20"/>
          <w:szCs w:val="20"/>
          <w:color w:val="auto"/>
        </w:rPr>
      </w:pPr>
    </w:p>
    <w:p>
      <w:pPr>
        <w:ind w:left="60" w:right="219"/>
        <w:spacing w:after="0" w:line="258" w:lineRule="auto"/>
        <w:rPr>
          <w:sz w:val="20"/>
          <w:szCs w:val="20"/>
          <w:color w:val="auto"/>
        </w:rPr>
      </w:pPr>
      <w:r>
        <w:rPr>
          <w:rFonts w:ascii="Arial" w:cs="Arial" w:eastAsia="Arial" w:hAnsi="Arial"/>
          <w:sz w:val="18"/>
          <w:szCs w:val="18"/>
          <w:color w:val="auto"/>
        </w:rPr>
        <w:t>The Company’s assets and liabilities measured at fair value on a recurring basis at September 30, 2023 and December 31, 2022, were as follows (in thousands):</w:t>
      </w:r>
    </w:p>
    <w:tbl>
      <w:tblPr>
        <w:tblLayout w:type="fixed"/>
        <w:tblInd w:w="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60" w:type="dxa"/>
            <w:vAlign w:val="bottom"/>
            <w:gridSpan w:val="5"/>
            <w:vMerge w:val="restart"/>
          </w:tcPr>
          <w:p>
            <w:pPr>
              <w:ind w:left="94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to fixed interest rate swaps</w:t>
            </w:r>
          </w:p>
        </w:tc>
        <w:tc>
          <w:tcPr>
            <w:tcW w:w="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120" w:type="dxa"/>
            <w:vAlign w:val="bottom"/>
            <w:gridSpan w:val="5"/>
          </w:tcPr>
          <w:p>
            <w:pPr>
              <w:jc w:val="center"/>
              <w:ind w:left="19"/>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measured at fair value</w:t>
            </w:r>
          </w:p>
        </w:tc>
        <w:tc>
          <w:tcPr>
            <w:tcW w:w="9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Variable to fixed interest rate swaps</w:t>
            </w:r>
          </w:p>
        </w:tc>
        <w:tc>
          <w:tcPr>
            <w:tcW w:w="11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60" w:type="dxa"/>
            <w:vAlign w:val="bottom"/>
            <w:gridSpan w:val="2"/>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308" w:lineRule="auto"/>
        <w:rPr>
          <w:sz w:val="20"/>
          <w:szCs w:val="20"/>
          <w:color w:val="auto"/>
        </w:rPr>
      </w:pPr>
      <w:r>
        <w:rPr>
          <w:rFonts w:ascii="Arial" w:cs="Arial" w:eastAsia="Arial" w:hAnsi="Arial"/>
          <w:sz w:val="17"/>
          <w:szCs w:val="17"/>
          <w:color w:val="auto"/>
        </w:rPr>
        <w:t>The remainder of the assets and liabilities held by the Company at September 30, 2023 are not required to be recorded at fair value, and financial assets and liabilities approximate fair value, except as described below.</w:t>
      </w:r>
    </w:p>
    <w:p>
      <w:pPr>
        <w:spacing w:after="0" w:line="106"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The Company has outstanding $600.0 million in aggregate principal amount of $600 million 4.50% senior notes. The carrying value of these notes at September 30, 2023 was $592.7 million, net of unamortized deferred financing costs (“DFCs”). The fair value of these notes, based upon quoted market prices (Level 1), was $516.5 million at September 30, 2023.</w:t>
      </w:r>
    </w:p>
    <w:p>
      <w:pPr>
        <w:spacing w:after="0" w:line="160"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The Company has outstanding $700.0 million in aggregate principal amount of $700 million 4.75% senior notes. The carrying value of these notes at September 30, 2023 was $694.6 million, net of unamortized DFCs and premiums. The fair value of these notes, based upon quoted market prices (Level 1), was $640.2 million at September 30, 2023.</w:t>
      </w:r>
    </w:p>
    <w:p>
      <w:pPr>
        <w:spacing w:after="0" w:line="1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See Note 2, “JW Marriott Hill Country Transaction,” for additional disclosures related to the fair value measurements used in accounting for the purchase of JW Marriott Hill Country.</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FINANCIAL REPORTING BY BUSINESS SEGMENTS: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720" w:right="319" w:hanging="319"/>
        <w:spacing w:after="0" w:line="25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JW Marriott Hill Country (effective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 Inn at Opryland and the AC Hotel;</w:t>
      </w:r>
    </w:p>
    <w:p>
      <w:pPr>
        <w:spacing w:after="0" w:line="1" w:lineRule="exact"/>
        <w:rPr>
          <w:rFonts w:ascii="Arial" w:cs="Arial" w:eastAsia="Arial" w:hAnsi="Arial"/>
          <w:sz w:val="18"/>
          <w:szCs w:val="18"/>
          <w:color w:val="auto"/>
        </w:rPr>
      </w:pPr>
    </w:p>
    <w:p>
      <w:pPr>
        <w:ind w:left="720" w:right="21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OEG business, specifically the Grand Ole Opry, the Ryman Auditorium,</w:t>
      </w:r>
      <w:r>
        <w:rPr>
          <w:rFonts w:ascii="Arial" w:cs="Arial" w:eastAsia="Arial" w:hAnsi="Arial"/>
          <w:sz w:val="18"/>
          <w:szCs w:val="18"/>
          <w:i w:val="1"/>
          <w:iCs w:val="1"/>
          <w:color w:val="auto"/>
        </w:rPr>
        <w:t xml:space="preserve"> </w:t>
      </w:r>
      <w:r>
        <w:rPr>
          <w:rFonts w:ascii="Arial" w:cs="Arial" w:eastAsia="Arial" w:hAnsi="Arial"/>
          <w:sz w:val="18"/>
          <w:szCs w:val="18"/>
          <w:color w:val="auto"/>
        </w:rPr>
        <w:t>WSM-AM, Ole Red, Block 21, the Company’s equity investment in Circle, and the Company’s Nashville-based attractions; and</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446,198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390,602</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$ 1,288,322</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$ 1,053,515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236,751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183,579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Corporate and Other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528,511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467,755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$ 1,525,073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$ 1,237,094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52,466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42,517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137,987</w:t>
            </w:r>
          </w:p>
        </w:tc>
        <w:tc>
          <w:tcPr>
            <w:tcW w:w="3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146,804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Other</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47,969</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160,712</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91,723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88,901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305,526</w:t>
            </w:r>
          </w:p>
        </w:tc>
        <w:tc>
          <w:tcPr>
            <w:tcW w:w="3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205,142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Corporate and Other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sale of assets</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(105,987)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Loss from unconsolidated joint ventures (1)</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gains and (losses), net</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179,255</w:t>
            </w:r>
          </w:p>
        </w:tc>
        <w:tc>
          <w:tcPr>
            <w:tcW w:w="1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620" w:type="dxa"/>
            <w:vAlign w:val="bottom"/>
            <w:gridSpan w:val="7"/>
          </w:tcPr>
          <w:p>
            <w:pPr>
              <w:ind w:left="340"/>
              <w:spacing w:after="0"/>
              <w:rPr>
                <w:sz w:val="20"/>
                <w:szCs w:val="20"/>
                <w:color w:val="auto"/>
              </w:rPr>
            </w:pPr>
            <w:r>
              <w:rPr>
                <w:rFonts w:ascii="Arial" w:cs="Arial" w:eastAsia="Arial" w:hAnsi="Arial"/>
                <w:sz w:val="18"/>
                <w:szCs w:val="18"/>
                <w:color w:val="auto"/>
                <w:w w:val="95"/>
              </w:rPr>
              <w:t>(1)  Loss from unconsolidated joint ventures relates to the Entertainment segment.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gridSpan w:val="3"/>
          </w:tcPr>
          <w:p>
            <w:pPr>
              <w:jc w:val="right"/>
              <w:ind w:right="2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4,038,490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3,314,444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Other</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491,853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223,266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identifiable assets</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5,063,833</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4,040,623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vMerge w:val="restart"/>
          </w:tcPr>
          <w:p>
            <w:pPr>
              <w:jc w:val="right"/>
              <w:ind w:right="2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2022, included in our Annual Report on Form 10-K that was filed with the SEC on February 24, 2023.</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future performance of our business, anticipated business levels and our anticipated financial results during future periods, and other business or operational issues;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2023; (x) our ability to borrow available funds under our credit facility; (xi) our expectations about successfully amending the agreements governing our indebtedness should the need arise; (xii) the effects of inflation and increased costs on our business and on our customers, including group customers at our hotels; (xiii) risks associated with our acquisition of the JW Marriott San Antonio Hill Country Resort &amp; Spa; and (xiv) any other business or operational matters. We have based these forward-looking statements on our current expectations and projections about future events.</w:t>
      </w:r>
    </w:p>
    <w:p>
      <w:pPr>
        <w:spacing w:after="0" w:line="13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on our business, including the effects on costs of labor and supplies and effects on group customers at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any effects of COVID-19 on us and the hospitality and entertainment industries generally, and those factors described elsewhere in this Quarterly Report on Form 10-Q and our Annual Report on Form 10-K for the year ended December 31, 2022 or described from time to time in our other reports filed with the SEC.</w:t>
      </w:r>
    </w:p>
    <w:p>
      <w:pPr>
        <w:spacing w:after="0" w:line="13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Our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5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98 years; the Ryman Auditorium, the storied live music venue and former home of the Grand Ole Opry located in downtown Nashville; WSM-AM, the Opry’s radio home; Ole Red, a brand of Blake Shelton-themed bar, music venue and event spaces; two Nashville-based assets – the Wildhorse Saloon and the General Jackson Showboat; and as of May 31, 2022, Block 21, a mixed-use entertainment, lodging, office, and retail complex located in Austin, Texas (“Block 21”). OEG owns a 50% interest in a joint venture that creates and distributes a linear multicast and over-the-top channel dedicated to the country music lifestyle (“Circle”) (see “Loss from Unconsolidated Joint Ventures” below for further disclosure regarding Circle). See “OEG Transaction” below for additional disclosure regarding our sale of a 30% interest in OEG effective June 16, 2022.</w:t>
      </w:r>
    </w:p>
    <w:p>
      <w:pPr>
        <w:spacing w:after="0" w:line="128"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2022 for important information regarding forward-looking statements made in this report and risks and uncertainties we face.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JW Marriott Hill Country</w:t>
      </w:r>
    </w:p>
    <w:p>
      <w:pPr>
        <w:spacing w:after="0" w:line="225"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On June 30, 2023, we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space. The resort’s amenities include a 26,000 square foot spa; eight food and beverage outlets; a 9-acre water experience; and TPC San Antonio, which features two 18-hole golf courses. We funded the purchase price with approximately $395 million in net proceeds of an underwritten registered public offering of approximately 4.4 million shares of the Company’s common stock, approximately $393 million in net proceeds of a private placement of $400 million aggregate principal amount of 7.25% senior notes due 2028 and cash on hand. JW Marriott Hill Country assets are reflected in our Hospitality segment beginning June 30, 2023.</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 Refinancing</w:t>
      </w:r>
    </w:p>
    <w:p>
      <w:pPr>
        <w:spacing w:after="0" w:line="225"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In May 2023, we completed the refinancing of our previous credit facility by entering into a new credit agreement, which extends the maturity of our $700 million revolving credit facility to 2027 and an increased $500 million term loan B to 2030. The new credit facility also includes an accordion feature that will allow us to increase the facilities by an aggregate total of up to $475 million. A portion of the proceeds of the term loan B were used to repay in full the approximately $370 million balance of our previous term loan B. The revolver was undrawn at closing.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$400 Million 7.25% Senior Notes due 2028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22, 2023, the Operating Partnership and RHP Finance Corporation completed the private placement</w:t>
      </w:r>
    </w:p>
    <w:p>
      <w:pPr>
        <w:spacing w:after="0" w:line="23" w:lineRule="exact"/>
        <w:rPr>
          <w:sz w:val="20"/>
          <w:szCs w:val="20"/>
          <w:color w:val="auto"/>
        </w:rPr>
      </w:pPr>
    </w:p>
    <w:p>
      <w:pPr>
        <w:ind w:left="60" w:right="119"/>
        <w:spacing w:after="0" w:line="290" w:lineRule="auto"/>
        <w:rPr>
          <w:sz w:val="20"/>
          <w:szCs w:val="20"/>
          <w:color w:val="auto"/>
        </w:rPr>
      </w:pPr>
      <w:r>
        <w:rPr>
          <w:rFonts w:ascii="Arial" w:cs="Arial" w:eastAsia="Arial" w:hAnsi="Arial"/>
          <w:sz w:val="17"/>
          <w:szCs w:val="17"/>
          <w:color w:val="auto"/>
        </w:rPr>
        <w:t>of $400.0 million in aggregate principal amount of 7.25% senior notes due 2028 (the “$400 Million 7.25% Senior Notes”), which are guaranteed by the Company and its subsidiaries that guarantee our credit agreement.</w:t>
      </w:r>
    </w:p>
    <w:p>
      <w:pPr>
        <w:spacing w:after="0" w:line="161"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Offering</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In June 2023, we completed an underwritten public offering of approximately 4.4 million shares of our common stock, par value $0.01 per share, at a price to the public of $93.25 per share. Our net proceeds, after deducting underwriting discounts and commissions and other expenses paid by us, were approximately $395 million. We used these proceeds to pay a portion of the purchase price for JW Marriott Hill Country discussed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OEG Transaction</w:t>
      </w:r>
    </w:p>
    <w:p>
      <w:pPr>
        <w:spacing w:after="0" w:line="225"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As more fully described in Note 1, “OEG Transaction,” to the consolidated financial statements included in our Annual Report on Form 10-K for the year ended December 31, 2022, on June 16, 2022, we and certain of our subsidiaries, including OEG Attractions Holdings, LLC, which directly or indirectly owns the assets that comprise our Entertainment Segment,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purchase price for the OEG Transaction may be increased by $30.0 million if OEG achieves certain financial objectives in 2023 or 2024.</w:t>
      </w:r>
    </w:p>
    <w:p>
      <w:pPr>
        <w:spacing w:after="0" w:line="178"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We retained a controlling 70% equity interest in OEG and continue to consolidate OEG and the other subsidiaries comprising our Entertainment segment in our consolidated financial statements. After the payment of transaction expenses, we used substantially all of the net proceeds from the OEG Transaction, together with the net proceeds we received from the OEG Term Loan (as defined in “Principal Debt Agreements” below), to repay the then-outstanding balance of our former $300 million term loan A and to pay down substantially all borrowings then outstanding under our revolving credit facility.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98"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In September 2022, our board of directors approved a dividend policy pursuant to which we will make minimum dividends of 100% of REIT taxable income annually, subject to the board of directors’ future determinations as to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Strategic Plan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08"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i w:val="1"/>
          <w:iCs w:val="1"/>
          <w:color w:val="auto"/>
        </w:rPr>
        <w:t>Existing Hotel Property Design</w:t>
      </w:r>
      <w:r>
        <w:rPr>
          <w:rFonts w:ascii="Arial" w:cs="Arial" w:eastAsia="Arial" w:hAnsi="Arial"/>
          <w:sz w:val="17"/>
          <w:szCs w:val="17"/>
          <w:color w:val="auto"/>
        </w:rPr>
        <w:t>. Our Gaylord Hotels properties focus on the large group meetings market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49"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i w:val="1"/>
          <w:iCs w:val="1"/>
          <w:color w:val="auto"/>
        </w:rPr>
        <w:t>Expansion of Hotel Asset Portfolio</w:t>
      </w:r>
      <w:r>
        <w:rPr>
          <w:rFonts w:ascii="Arial" w:cs="Arial" w:eastAsia="Arial" w:hAnsi="Arial"/>
          <w:sz w:val="17"/>
          <w:szCs w:val="17"/>
          <w:color w:val="auto"/>
        </w:rPr>
        <w:t>. Part of our long-term growth strategy includes acquisitions or developments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40"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i w:val="1"/>
          <w:iCs w:val="1"/>
          <w:color w:val="auto"/>
        </w:rPr>
        <w:t>Continued Investment in Our Existing Properties</w:t>
      </w:r>
      <w:r>
        <w:rPr>
          <w:rFonts w:ascii="Arial" w:cs="Arial" w:eastAsia="Arial" w:hAnsi="Arial"/>
          <w:sz w:val="16"/>
          <w:szCs w:val="16"/>
          <w:color w:val="auto"/>
        </w:rPr>
        <w:t>. We continuously evaluate and invest in our current portfolio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enhancements or expansions as part of our long-term strategic plan. In 2021, we completed our $158 million expansion of Gaylord Palms, and we also completed our renovation of all of the guestrooms at Gaylord National. In 2022, we completed a re-concepting of the food and beverage options at Gaylord National and began a $98 million multi-year interior and exterior enhancement project at Gaylord Rockies to better position the property for our group customers.</w:t>
      </w:r>
    </w:p>
    <w:p>
      <w:pPr>
        <w:spacing w:after="0" w:line="121"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purchased Block 21, and in April 2023 announced a partnership with Luke Combs for an entertainment venue concept expected to be completed in 2024. Further, in 2022, we completed a strategic transaction to sell a minority interest in OEG to an affiliate of Atairos and its strategic partner NBCUniversal, who we believe will be able to help us expand the distribution of our OEG brands.</w:t>
      </w:r>
    </w:p>
    <w:p>
      <w:pPr>
        <w:spacing w:after="0" w:line="155"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i w:val="1"/>
          <w:iCs w:val="1"/>
          <w:color w:val="auto"/>
        </w:rPr>
        <w:t>Short-Term Capital Allocation</w:t>
      </w:r>
      <w:r>
        <w:rPr>
          <w:rFonts w:ascii="Arial" w:cs="Arial" w:eastAsia="Arial" w:hAnsi="Arial"/>
          <w:sz w:val="17"/>
          <w:szCs w:val="17"/>
          <w:color w:val="auto"/>
        </w:rPr>
        <w:t>. Our short-term capital allocation strategy is focused on returning capital to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720" w:right="1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JW Marriott Hill Country (effective June 30, 2023), the Inn at Opryland and the AC Hotel.</w:t>
      </w:r>
    </w:p>
    <w:p>
      <w:pPr>
        <w:spacing w:after="0" w:line="129"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Block 21, our equity investment in Circle, and our other Nashville-based attractions.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For the three and nine months ended September 30, 2023 and 2022, our total revenues were divided among these business segments as follows:</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176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16 %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98"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7"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hotel occupancy – a volume indicator calculated by dividing total rooms sold by total rooms available;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21" w:lineRule="exact"/>
        <w:rPr>
          <w:rFonts w:ascii="Arial" w:cs="Arial" w:eastAsia="Arial" w:hAnsi="Arial"/>
          <w:sz w:val="16"/>
          <w:szCs w:val="16"/>
          <w:color w:val="auto"/>
        </w:rPr>
      </w:pPr>
    </w:p>
    <w:p>
      <w:pPr>
        <w:ind w:left="720" w:right="5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720" w:right="9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3" w:lineRule="exact"/>
        <w:rPr>
          <w:rFonts w:ascii="Arial" w:cs="Arial" w:eastAsia="Arial" w:hAnsi="Arial"/>
          <w:sz w:val="18"/>
          <w:szCs w:val="18"/>
          <w:color w:val="auto"/>
        </w:rPr>
      </w:pPr>
    </w:p>
    <w:p>
      <w:pPr>
        <w:ind w:left="720" w:right="25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definite group room nights booked – a volume indicator which represents the total number of definite group bookings for future room nights at our hotels confirmed during the applicable period, net of cancellations.</w:t>
      </w:r>
    </w:p>
    <w:p>
      <w:pPr>
        <w:spacing w:after="0" w:line="97"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83" w:lineRule="exact"/>
        <w:rPr>
          <w:sz w:val="20"/>
          <w:szCs w:val="20"/>
          <w:color w:val="auto"/>
        </w:rPr>
      </w:pPr>
    </w:p>
    <w:p>
      <w:pPr>
        <w:jc w:val="both"/>
        <w:ind w:left="720" w:right="1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and</w:t>
      </w:r>
    </w:p>
    <w:p>
      <w:pPr>
        <w:spacing w:after="0" w:line="143"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Funds From Operations (“FFO”) available to common stockholders and unit holders and Adjusted FFO available to common stockholders and unit 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98"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ind w:left="60" w:right="579"/>
        <w:spacing w:after="0" w:line="311" w:lineRule="auto"/>
        <w:rPr>
          <w:sz w:val="20"/>
          <w:szCs w:val="20"/>
          <w:color w:val="auto"/>
        </w:rPr>
      </w:pPr>
      <w:r>
        <w:rPr>
          <w:rFonts w:ascii="Arial" w:cs="Arial" w:eastAsia="Arial" w:hAnsi="Arial"/>
          <w:sz w:val="16"/>
          <w:szCs w:val="16"/>
          <w:color w:val="auto"/>
        </w:rPr>
        <w:t>The following table contains our unaudited selected summary financial data for the three and nine months ended September 30, 2023 and 2022. The table also shows the percentage relationships to total revenues and, in the case of segment operating income, its relationship to segment revenues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6"/>
          </w:tcPr>
          <w:p>
            <w:pPr>
              <w:jc w:val="right"/>
              <w:ind w:right="448"/>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132"/>
              <w:spacing w:after="0"/>
              <w:rPr>
                <w:sz w:val="20"/>
                <w:szCs w:val="20"/>
                <w:color w:val="auto"/>
              </w:rPr>
            </w:pPr>
            <w:r>
              <w:rPr>
                <w:rFonts w:ascii="Arial" w:cs="Arial" w:eastAsia="Arial" w:hAnsi="Arial"/>
                <w:sz w:val="14"/>
                <w:szCs w:val="14"/>
                <w:b w:val="1"/>
                <w:bCs w:val="1"/>
                <w:color w:val="auto"/>
                <w:w w:val="95"/>
              </w:rPr>
              <w:t>Three Months Ended September 30,</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gridSpan w:val="2"/>
          </w:tcPr>
          <w:p>
            <w:pPr>
              <w:jc w:val="center"/>
              <w:ind w:left="12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gridSpan w:val="2"/>
          </w:tcPr>
          <w:p>
            <w:pPr>
              <w:jc w:val="center"/>
              <w:ind w:left="8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gridSpan w:val="2"/>
          </w:tcPr>
          <w:p>
            <w:pPr>
              <w:jc w:val="center"/>
              <w:ind w:left="12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gridSpan w:val="2"/>
          </w:tcPr>
          <w:p>
            <w:pPr>
              <w:jc w:val="center"/>
              <w:ind w:left="8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31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76"/>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180,309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34.1</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154,940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33.1</w:t>
            </w:r>
          </w:p>
        </w:tc>
        <w:tc>
          <w:tcPr>
            <w:tcW w:w="300" w:type="dxa"/>
            <w:vAlign w:val="bottom"/>
            <w:gridSpan w:val="3"/>
          </w:tcPr>
          <w:p>
            <w:pPr>
              <w:jc w:val="right"/>
              <w:spacing w:after="0" w:line="176"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510,052</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33.4</w:t>
            </w:r>
          </w:p>
        </w:tc>
        <w:tc>
          <w:tcPr>
            <w:tcW w:w="280" w:type="dxa"/>
            <w:vAlign w:val="bottom"/>
            <w:gridSpan w:val="4"/>
          </w:tcPr>
          <w:p>
            <w:pPr>
              <w:jc w:val="right"/>
              <w:spacing w:after="0"/>
              <w:rPr>
                <w:sz w:val="20"/>
                <w:szCs w:val="20"/>
                <w:color w:val="auto"/>
              </w:rPr>
            </w:pPr>
            <w:r>
              <w:rPr>
                <w:rFonts w:ascii="Arial" w:cs="Arial" w:eastAsia="Arial" w:hAnsi="Arial"/>
                <w:sz w:val="14"/>
                <w:szCs w:val="14"/>
                <w:color w:val="auto"/>
                <w:w w:val="99"/>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418,039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33.8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202,850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186,188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486,387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Other hotel revenue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63,039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49,474</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161,708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149,089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Entertainment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56"/>
        </w:trPr>
        <w:tc>
          <w:tcPr>
            <w:tcW w:w="4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gridSpan w:val="2"/>
          </w:tcPr>
          <w:p>
            <w:pPr>
              <w:ind w:left="180"/>
              <w:spacing w:after="0" w:line="155" w:lineRule="exact"/>
              <w:rPr>
                <w:sz w:val="20"/>
                <w:szCs w:val="20"/>
                <w:color w:val="auto"/>
              </w:rPr>
            </w:pPr>
            <w:r>
              <w:rPr>
                <w:rFonts w:ascii="Arial" w:cs="Arial" w:eastAsia="Arial" w:hAnsi="Arial"/>
                <w:sz w:val="14"/>
                <w:szCs w:val="14"/>
                <w:color w:val="auto"/>
              </w:rPr>
              <w:t>Total revenues</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528,511</w:t>
            </w:r>
          </w:p>
        </w:tc>
        <w:tc>
          <w:tcPr>
            <w:tcW w:w="1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100.0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467,755</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100.0</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1,525,073</w:t>
            </w:r>
          </w:p>
        </w:tc>
        <w:tc>
          <w:tcPr>
            <w:tcW w:w="1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100.0</w:t>
            </w: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1,237,094</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142"/>
        </w:trPr>
        <w:tc>
          <w:tcPr>
            <w:tcW w:w="31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76"/>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45,879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41,366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128,210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112,740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117,435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103,221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272,039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Other hotel expenses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122,748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23.2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103,321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330,397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21.7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289,248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Hotel management fees, net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Entertainment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56,222</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54,148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164,744</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131,549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30,582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4"/>
          </w:tcPr>
          <w:p>
            <w:pPr>
              <w:jc w:val="right"/>
              <w:ind w:right="88"/>
              <w:spacing w:after="0" w:line="176"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per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425</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0.0 %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525</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0.0 %</w:t>
            </w: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on sale of assets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69"/>
              <w:spacing w:after="0"/>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0.0 %</w:t>
            </w:r>
          </w:p>
        </w:tc>
      </w:tr>
      <w:tr>
        <w:trPr>
          <w:trHeight w:val="148"/>
        </w:trPr>
        <w:tc>
          <w:tcPr>
            <w:tcW w:w="40" w:type="dxa"/>
            <w:vAlign w:val="bottom"/>
          </w:tcPr>
          <w:p>
            <w:pPr>
              <w:spacing w:after="0"/>
              <w:rPr>
                <w:sz w:val="12"/>
                <w:szCs w:val="12"/>
                <w:color w:val="auto"/>
              </w:rPr>
            </w:pPr>
          </w:p>
        </w:tc>
        <w:tc>
          <w:tcPr>
            <w:tcW w:w="3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Hospitality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137,987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146,804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tcPr>
          <w:p>
            <w:pPr>
              <w:spacing w:after="0"/>
              <w:rPr>
                <w:sz w:val="15"/>
                <w:szCs w:val="15"/>
                <w:color w:val="auto"/>
              </w:rPr>
            </w:pPr>
          </w:p>
        </w:tc>
        <w:tc>
          <w:tcPr>
            <w:tcW w:w="3140" w:type="dxa"/>
            <w:vAlign w:val="bottom"/>
            <w:gridSpan w:val="2"/>
          </w:tcPr>
          <w:p>
            <w:pPr>
              <w:ind w:left="180"/>
              <w:spacing w:after="0"/>
              <w:rPr>
                <w:sz w:val="20"/>
                <w:szCs w:val="20"/>
                <w:color w:val="auto"/>
              </w:rPr>
            </w:pPr>
            <w:r>
              <w:rPr>
                <w:rFonts w:ascii="Arial" w:cs="Arial" w:eastAsia="Arial" w:hAnsi="Arial"/>
                <w:sz w:val="14"/>
                <w:szCs w:val="14"/>
                <w:color w:val="auto"/>
              </w:rPr>
              <w:t>Entertainment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5,249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16,067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13,293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Corporate and Other</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55"/>
        </w:trPr>
        <w:tc>
          <w:tcPr>
            <w:tcW w:w="4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gridSpan w:val="2"/>
          </w:tcPr>
          <w:p>
            <w:pPr>
              <w:ind w:left="300"/>
              <w:spacing w:after="0" w:line="155" w:lineRule="exact"/>
              <w:rPr>
                <w:sz w:val="20"/>
                <w:szCs w:val="20"/>
                <w:color w:val="auto"/>
              </w:rPr>
            </w:pPr>
            <w:r>
              <w:rPr>
                <w:rFonts w:ascii="Arial" w:cs="Arial" w:eastAsia="Arial" w:hAnsi="Arial"/>
                <w:sz w:val="14"/>
                <w:szCs w:val="14"/>
                <w:color w:val="auto"/>
              </w:rPr>
              <w:t>Total depreciation and amortization</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58,086</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11.0</w:t>
            </w:r>
          </w:p>
        </w:tc>
        <w:tc>
          <w:tcPr>
            <w:tcW w:w="22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47,969</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10.3</w:t>
            </w:r>
          </w:p>
        </w:tc>
        <w:tc>
          <w:tcPr>
            <w:tcW w:w="20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154,700</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10.1</w:t>
            </w:r>
          </w:p>
        </w:tc>
        <w:tc>
          <w:tcPr>
            <w:tcW w:w="18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160,712</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13.0</w:t>
            </w:r>
          </w:p>
        </w:tc>
        <w:tc>
          <w:tcPr>
            <w:tcW w:w="16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w w:val="96"/>
              </w:rPr>
              <w:t>%</w:t>
            </w:r>
          </w:p>
        </w:tc>
      </w:tr>
      <w:tr>
        <w:trPr>
          <w:trHeight w:val="155"/>
        </w:trPr>
        <w:tc>
          <w:tcPr>
            <w:tcW w:w="4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426,588</w:t>
            </w: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80.7</w:t>
            </w:r>
          </w:p>
        </w:tc>
        <w:tc>
          <w:tcPr>
            <w:tcW w:w="2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370,750</w:t>
            </w: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79.3</w:t>
            </w:r>
          </w:p>
        </w:tc>
        <w:tc>
          <w:tcPr>
            <w:tcW w:w="2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1,195,260</w:t>
            </w: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78.4</w:t>
            </w:r>
          </w:p>
        </w:tc>
        <w:tc>
          <w:tcPr>
            <w:tcW w:w="1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1,026,247</w:t>
            </w: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83.0</w:t>
            </w:r>
          </w:p>
        </w:tc>
        <w:tc>
          <w:tcPr>
            <w:tcW w:w="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w:t>
            </w:r>
          </w:p>
        </w:tc>
      </w:tr>
      <w:tr>
        <w:trPr>
          <w:trHeight w:val="142"/>
        </w:trPr>
        <w:tc>
          <w:tcPr>
            <w:tcW w:w="318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Hospitality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Entertainment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20,691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25.1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17,756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23.0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55,940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23.6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38,737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21.1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49"/>
        </w:trPr>
        <w:tc>
          <w:tcPr>
            <w:tcW w:w="4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Corporate and Other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(10,323)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(31,228)</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(32,038)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4"/>
          </w:tcPr>
          <w:p>
            <w:pPr>
              <w:jc w:val="right"/>
              <w:ind w:right="88"/>
              <w:spacing w:after="0" w:line="176"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per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(425)</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(525)</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(0.0)%</w:t>
            </w: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on sale of assets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69"/>
              <w:spacing w:after="0"/>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55"/>
        </w:trPr>
        <w:tc>
          <w:tcPr>
            <w:tcW w:w="40" w:type="dxa"/>
            <w:vAlign w:val="bottom"/>
          </w:tcPr>
          <w:p>
            <w:pPr>
              <w:spacing w:after="0"/>
              <w:rPr>
                <w:sz w:val="13"/>
                <w:szCs w:val="13"/>
                <w:color w:val="auto"/>
              </w:rPr>
            </w:pPr>
          </w:p>
        </w:tc>
        <w:tc>
          <w:tcPr>
            <w:tcW w:w="314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Total operating income</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101,923</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19.3</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97,005</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20.7</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6"/>
              </w:rPr>
              <w:t>%</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329,813</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210,847</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17.0</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6"/>
              </w:rPr>
              <w:t>%</w:t>
            </w:r>
          </w:p>
        </w:tc>
      </w:tr>
      <w:tr>
        <w:trPr>
          <w:trHeight w:val="149"/>
        </w:trPr>
        <w:tc>
          <w:tcPr>
            <w:tcW w:w="3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(58,521)</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(40,092)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(150,228)</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(105,987)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180" w:type="dxa"/>
            <w:vAlign w:val="bottom"/>
            <w:gridSpan w:val="3"/>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6,112</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6"/>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1,378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13,977</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4,138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3180" w:type="dxa"/>
            <w:vAlign w:val="bottom"/>
            <w:gridSpan w:val="3"/>
          </w:tcPr>
          <w:p>
            <w:pPr>
              <w:spacing w:after="0" w:line="149" w:lineRule="exact"/>
              <w:rPr>
                <w:sz w:val="20"/>
                <w:szCs w:val="20"/>
                <w:color w:val="auto"/>
              </w:rPr>
            </w:pPr>
            <w:r>
              <w:rPr>
                <w:rFonts w:ascii="Arial" w:cs="Arial" w:eastAsia="Arial" w:hAnsi="Arial"/>
                <w:sz w:val="14"/>
                <w:szCs w:val="14"/>
                <w:color w:val="auto"/>
              </w:rPr>
              <w:t>Loss from unconsolidated joint ventures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(12,566)</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6"/>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(2,720)</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(17,525)</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(8,348)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gains and (losses),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5,470</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18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color w:val="auto"/>
              </w:rPr>
              <w:t>Provision for income taxes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(2,156)</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6"/>
              </w:rPr>
              <w:t>(A)</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(10,178)</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(7,333)</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(27,747)</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142"/>
        </w:trPr>
        <w:tc>
          <w:tcPr>
            <w:tcW w:w="31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40,785</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47,451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171,922</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73,578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0"/>
        </w:trPr>
        <w:tc>
          <w:tcPr>
            <w:tcW w:w="40" w:type="dxa"/>
            <w:vAlign w:val="bottom"/>
          </w:tcPr>
          <w:p>
            <w:pPr>
              <w:spacing w:after="0"/>
              <w:rPr>
                <w:sz w:val="11"/>
                <w:szCs w:val="11"/>
                <w:color w:val="auto"/>
              </w:rPr>
            </w:pPr>
          </w:p>
        </w:tc>
        <w:tc>
          <w:tcPr>
            <w:tcW w:w="31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Net (income) loss attributable to noncontrolling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40" w:type="dxa"/>
            <w:vAlign w:val="bottom"/>
          </w:tcPr>
          <w:p>
            <w:pPr>
              <w:spacing w:after="0"/>
              <w:rPr>
                <w:sz w:val="14"/>
                <w:szCs w:val="14"/>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interest in consolidated joint venture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715</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6"/>
              </w:rPr>
              <w:t>(A)</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(1,887)</w:t>
            </w: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(1,656)</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(A)</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(2,167)</w:t>
            </w: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4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Net income attributable to noncontrolling interest in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4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the Operating Partnership</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314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Net income available to common stockholders</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41,227</w:t>
            </w:r>
          </w:p>
        </w:tc>
        <w:tc>
          <w:tcPr>
            <w:tcW w:w="16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Arial" w:cs="Arial" w:eastAsia="Arial" w:hAnsi="Arial"/>
                <w:sz w:val="14"/>
                <w:szCs w:val="14"/>
                <w:color w:val="auto"/>
                <w:w w:val="96"/>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45,241</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169,090</w:t>
            </w:r>
          </w:p>
        </w:tc>
        <w:tc>
          <w:tcPr>
            <w:tcW w:w="16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70,904</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80" w:lineRule="exact"/>
        <w:rPr>
          <w:sz w:val="20"/>
          <w:szCs w:val="20"/>
          <w:color w:val="auto"/>
        </w:rPr>
      </w:pPr>
    </w:p>
    <w:p>
      <w:pPr>
        <w:jc w:val="center"/>
        <w:ind w:left="4420" w:right="739" w:hanging="4370"/>
        <w:spacing w:after="0" w:line="778"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table summarizes our financial results for the three and nine months ended September 30, 2023 and 2022 (in thousands, except percentages and per share data):</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left="419"/>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382"/>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200" w:type="dxa"/>
            <w:vAlign w:val="bottom"/>
            <w:gridSpan w:val="2"/>
            <w:vMerge w:val="restart"/>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112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$ 528,511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$ 467,755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$ 1,525,073</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$ 1,237,094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426,588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370,750</w:t>
            </w: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15.1 %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1,195,260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1,026,247</w:t>
            </w:r>
          </w:p>
        </w:tc>
        <w:tc>
          <w:tcPr>
            <w:tcW w:w="16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329,813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210,847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56.4 %</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40,785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47,451</w:t>
            </w: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(14.0)%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171,922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73,578</w:t>
            </w:r>
          </w:p>
        </w:tc>
        <w:tc>
          <w:tcPr>
            <w:tcW w:w="16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w w:val="96"/>
              </w:rPr>
              <w:t>133.7 %</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common</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45,241</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169,090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70,904</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6"/>
              </w:rPr>
              <w:t>138.5 %</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Net income available to common</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stockholders per share - diluted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Pr>
          <w:p>
            <w:pPr>
              <w:spacing w:after="0"/>
              <w:rPr>
                <w:sz w:val="20"/>
                <w:szCs w:val="20"/>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(19.0)%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w w:val="96"/>
              </w:rPr>
              <w:t>117.2 %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increase in our total revenues for the three months ended September 30, 2023, as compared to the same period in 2022, is attributable to increases in our Hospitality segment and Entertainment segment of $55.6 million and $5.2 million, respectively, as presented in the tables below. The increase in our total revenues for the nine months ended September 30, 2023, as compared to the same period in 2022, is attributable to increases in our Hospitality segment and Entertainment segment of $234.8 million and $53.2 million, respectively, as presented in the tables below.</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The increase in our total operating expenses for the three months ended September 30, 2023, as compared to the same period in 2022, is primarily the result of increases in our Hospitality segment and Entertainment segment of $42.8 million and $2.1 million, respectively, as well as an increase in depreciation expense of $10.1 million, as presented in the tables below. The increase in our total operating expenses for the nine months ended September 30, 2023, as compared to the same period in 2022, is primarily the result of increases in our Hospitality segment and Entertainment segment of $143.2 million and $33.2 million, respectively, partially offset by a decrease in depreciation expense of $6.0 million, as presented in the tables below.</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Our decrease in net income of $6.7 million for the three months ended September 30, 2023, as compared to the same period in 2022, was primarily due to the changes in our revenues and operating expenses reflected above, and the following factors, each as described more fully below:</w:t>
      </w:r>
    </w:p>
    <w:p>
      <w:pPr>
        <w:spacing w:after="0" w:line="143"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$18.4 million increase in interest expense in the 2023 period, as compared to the 2022 period.</w:t>
      </w:r>
    </w:p>
    <w:p>
      <w:pPr>
        <w:spacing w:after="0" w:line="198"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$9.8 million increase in loss from unconsolidated joint ventures in the 2023 period, as compared to the 2022 period.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$8.0 million decrease in the provision for income taxes in the 2023 period, as compared to the 2022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Our increase in net income of $98.3 million for the nine months ended September 30, 2023, as compared to the same period in 2022, was primarily due to the changes in our revenues and operating expenses reflected above, and the following factors, each as described more fully below:</w:t>
      </w:r>
    </w:p>
    <w:p>
      <w:pPr>
        <w:spacing w:after="0" w:line="157"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$44.2 million increase in interest expense in the 2023 period, as compared to the 2022 period.</w:t>
      </w:r>
    </w:p>
    <w:p>
      <w:pPr>
        <w:spacing w:after="0" w:line="184"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$9.2 million increase in loss from unconsolidated joint ventures in the 2023 period, as compared to the 2022 period.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$20.4 million decrease in the provision for income taxes in the 2023 period, as compared to the 2022 period.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Factors and Trends Contributing to Performance and Current Environment</w:t>
      </w:r>
    </w:p>
    <w:p>
      <w:pPr>
        <w:spacing w:after="0" w:line="18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Important factors and trends contributing to our performance during the three months ended September 30, 2023, compared to the three months ended September 30, 2022, were:</w:t>
      </w:r>
    </w:p>
    <w:p>
      <w:pPr>
        <w:spacing w:after="0" w:line="130" w:lineRule="exact"/>
        <w:rPr>
          <w:sz w:val="20"/>
          <w:szCs w:val="20"/>
          <w:color w:val="auto"/>
        </w:rPr>
      </w:pPr>
    </w:p>
    <w:p>
      <w:pPr>
        <w:ind w:left="720" w:right="17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addition of JW Marriott Hill Country, including $50.0 million in revenues; the property averaged $235.43 in RevPAR and $542.67 in Total RevPAR.</w:t>
      </w:r>
    </w:p>
    <w:p>
      <w:pPr>
        <w:spacing w:after="0" w:line="143"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same-store (Hospitality segment excluding JW Marriott Hill Country) group rooms traveled in the 2023 period of 3.1% over the 2022 period.</w:t>
      </w:r>
    </w:p>
    <w:p>
      <w:pPr>
        <w:spacing w:after="0" w:line="129"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same-store cancelled room nights at our hotels of 16.9% in the 2023 period, as compared to the 2022 period, and a decrease in same-store group attrition at our hotels from 19.2% in the 2022 period to 14.7% in the 2023 period.</w:t>
      </w:r>
    </w:p>
    <w:p>
      <w:pPr>
        <w:spacing w:after="0" w:line="143"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same-store incentive management fees of 106.8% in the 2023 period, as compared to the 2022 period, primarily due to improved full year results.</w:t>
      </w:r>
    </w:p>
    <w:p>
      <w:pPr>
        <w:spacing w:after="0" w:line="143" w:lineRule="exact"/>
        <w:rPr>
          <w:rFonts w:ascii="Arial" w:cs="Arial" w:eastAsia="Arial" w:hAnsi="Arial"/>
          <w:sz w:val="18"/>
          <w:szCs w:val="18"/>
          <w:color w:val="auto"/>
        </w:rPr>
      </w:pPr>
    </w:p>
    <w:p>
      <w:pPr>
        <w:ind w:left="720" w:right="479" w:hanging="319"/>
        <w:spacing w:after="0" w:line="308"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Entertainment revenue of 6.7% in the 2023 period, as compared to the 2022 period, primarily attributable to a revenue increase at the Grand Ole Opry as a result of increased attendance.</w:t>
      </w:r>
    </w:p>
    <w:p>
      <w:pPr>
        <w:spacing w:after="0" w:line="106"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Important factors and trends contributing to our performance during the nine months ended September 30, 2023, compared to the nine months ended September 30, 2022, which was partially impacted by the Omicron variant of COVID-19, were:</w:t>
      </w:r>
    </w:p>
    <w:p>
      <w:pPr>
        <w:spacing w:after="0" w:line="83"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addition of JW Marriott Hill Country on June 30, 2023, including $50.7 million in revenues.</w:t>
      </w:r>
    </w:p>
    <w:p>
      <w:pPr>
        <w:spacing w:after="0" w:line="198"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Same-store hotel occupancy of 72.3% and ADR of $237.74 in the 2023 period, an increase of 8.4 points of occupancy and 3.3%, respectively, over the 2022 period.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same-store group rooms traveled in the 2023 period of 21.2% over the 2022 period.</w:t>
      </w:r>
    </w:p>
    <w:p>
      <w:pPr>
        <w:spacing w:after="0" w:line="184"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same-store increase of 17.9% in outside-the-room spend at our hotels in the 2023 period, as compared to the 2022 period, with group catering revenue particularly strong.</w:t>
      </w:r>
    </w:p>
    <w:p>
      <w:pPr>
        <w:spacing w:after="0" w:line="143"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same-store cancelled room nights at our hotels of 43.6% in the 2023 period, as compared to the 2022 period, and a decrease in same-store group attrition at our hotels from 22.2% in the 2022 period to 15.5% in the 2023 period.</w:t>
      </w:r>
    </w:p>
    <w:p>
      <w:pPr>
        <w:spacing w:after="0" w:line="143" w:lineRule="exact"/>
        <w:rPr>
          <w:rFonts w:ascii="Arial" w:cs="Arial" w:eastAsia="Arial" w:hAnsi="Arial"/>
          <w:sz w:val="18"/>
          <w:szCs w:val="18"/>
          <w:color w:val="auto"/>
        </w:rPr>
      </w:pPr>
    </w:p>
    <w:p>
      <w:pPr>
        <w:ind w:left="720" w:right="239" w:hanging="319"/>
        <w:spacing w:after="0" w:line="31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decrease in attrition and cancellation fee collections of $13.3 million, as compared to the prior year period, as cancellations and the related fee collections continue to decline. As these collections have no direct associated expenses, this decrease has had a negative impact on operating income as a percentage of revenue, or margin.</w:t>
      </w:r>
    </w:p>
    <w:p>
      <w:pPr>
        <w:spacing w:after="0" w:line="108" w:lineRule="exact"/>
        <w:rPr>
          <w:rFonts w:ascii="Arial" w:cs="Arial" w:eastAsia="Arial" w:hAnsi="Arial"/>
          <w:sz w:val="16"/>
          <w:szCs w:val="16"/>
          <w:color w:val="auto"/>
        </w:rPr>
      </w:pPr>
    </w:p>
    <w:p>
      <w:pPr>
        <w:ind w:left="720" w:right="41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same-store incentive management fees of 213.6% in the 2023 period, as compared to the 2022 period, primarily due to improved full year results.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hanging="319"/>
        <w:spacing w:after="0" w:line="279"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Entertainment revenue of 29.0% in the 2023 period, as compared to the 2022 period, primarily attributable to the addition of Block 21, as well as revenue increases throughout our other OEG businesses as a result of increased attendance or volume, as applicable. Excluding the addition of Block 21, Entertainment revenue increased 15.9% in the 2023 period, as compared to the 2022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important factors and trends for the three and nine months ended, and as of, September 30, 2023 include:</w:t>
      </w:r>
    </w:p>
    <w:p>
      <w:pPr>
        <w:spacing w:after="0" w:line="196" w:lineRule="exact"/>
        <w:rPr>
          <w:sz w:val="20"/>
          <w:szCs w:val="20"/>
          <w:color w:val="auto"/>
        </w:rPr>
      </w:pPr>
    </w:p>
    <w:p>
      <w:pPr>
        <w:jc w:val="both"/>
        <w:ind w:left="720" w:right="99" w:hanging="319"/>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 same-store basis, group room nights on the books for all future years at our hotels at September 30, 2023 are slightly ahead of those on the books at the same point in 2022. In addition, the ADR on those group nights on the books at September 30, 2023 is 5.3% higher than the same point in 2022.</w:t>
      </w:r>
    </w:p>
    <w:p>
      <w:pPr>
        <w:spacing w:after="0" w:line="143" w:lineRule="exact"/>
        <w:rPr>
          <w:rFonts w:ascii="Arial" w:cs="Arial" w:eastAsia="Arial" w:hAnsi="Arial"/>
          <w:sz w:val="18"/>
          <w:szCs w:val="18"/>
          <w:color w:val="auto"/>
        </w:rPr>
      </w:pPr>
    </w:p>
    <w:p>
      <w:pPr>
        <w:ind w:left="720" w:right="539" w:hanging="319"/>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improved revenue performance noted above has mitigated increasing costs in the current inflationary environment, which include increased interest rates, which drove higher interest expense on our higher debt levels, as well as increased wages.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left="60" w:right="639"/>
        <w:spacing w:after="0" w:line="342" w:lineRule="auto"/>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Hospitality segment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2023 and 2022 (in thousands, except percentages and performance metrics):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Rooms</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180,309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154,940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510,052</w:t>
            </w: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418,039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22.0</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202,850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186,188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616,562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486,387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26.8</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Other hotel revenue</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63,039</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49,474</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27.4</w:t>
            </w:r>
          </w:p>
        </w:tc>
        <w:tc>
          <w:tcPr>
            <w:tcW w:w="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161,708</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149,089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3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hospitality revenue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446,198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390,602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14.2</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1,288,322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1,053,515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22.3</w:t>
            </w:r>
          </w:p>
        </w:tc>
        <w:tc>
          <w:tcPr>
            <w:tcW w:w="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Hospitality operating expenses: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41,366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128,210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117,435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103,221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339,642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272,039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expenses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122,748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103,321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330,397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289,248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Management fees, net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15,947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11,276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41.4</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46,560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27,542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69.1</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52,466</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42,517</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137,987</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146,804</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color w:val="auto"/>
              </w:rPr>
              <w:t>Total Hospitality operating expenses</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354,475</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301,701</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17.5</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982,796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848,373</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15.8</w:t>
            </w:r>
          </w:p>
        </w:tc>
        <w:tc>
          <w:tcPr>
            <w:tcW w:w="3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Hospitality operating income</w:t>
            </w: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91,723</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88,901</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3.2</w:t>
            </w:r>
          </w:p>
        </w:tc>
        <w:tc>
          <w:tcPr>
            <w:tcW w:w="2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305,526</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205,142</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48.9</w:t>
            </w:r>
          </w:p>
        </w:tc>
        <w:tc>
          <w:tcPr>
            <w:tcW w:w="3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ind w:left="20"/>
              <w:spacing w:after="0"/>
              <w:rPr>
                <w:sz w:val="20"/>
                <w:szCs w:val="20"/>
                <w:color w:val="auto"/>
              </w:rPr>
            </w:pPr>
            <w:r>
              <w:rPr>
                <w:rFonts w:ascii="Arial" w:cs="Arial" w:eastAsia="Arial" w:hAnsi="Arial"/>
                <w:sz w:val="14"/>
                <w:szCs w:val="14"/>
                <w:color w:val="auto"/>
              </w:rPr>
              <w:t>Hospitality performance metrics:</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239.00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226.20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240.53</w:t>
            </w: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230.07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(1)</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173.80</w:t>
            </w: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(2)</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424.91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407.77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439.00</w:t>
            </w: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370.63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572,574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416,128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1,273,161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994,838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Same-store Hospitality performance metrics (4):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230.50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226.20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237.74</w:t>
            </w: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230.07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(1)</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165.58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171.80</w:t>
            </w: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(2)</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413.58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407.77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435.39</w:t>
            </w: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370.63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546,724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416,128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31.4</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1,247,311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994,838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19" w:hanging="330"/>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spacing w:after="0" w:line="143" w:lineRule="exact"/>
        <w:rPr>
          <w:rFonts w:ascii="Arial" w:cs="Arial" w:eastAsia="Arial" w:hAnsi="Arial"/>
          <w:sz w:val="18"/>
          <w:szCs w:val="18"/>
          <w:color w:val="auto"/>
        </w:rPr>
      </w:pPr>
    </w:p>
    <w:p>
      <w:pPr>
        <w:ind w:left="380" w:right="21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43" w:lineRule="exact"/>
        <w:rPr>
          <w:rFonts w:ascii="Arial" w:cs="Arial" w:eastAsia="Arial" w:hAnsi="Arial"/>
          <w:sz w:val="18"/>
          <w:szCs w:val="18"/>
          <w:color w:val="auto"/>
        </w:rPr>
      </w:pPr>
    </w:p>
    <w:p>
      <w:pPr>
        <w:ind w:left="380" w:right="199" w:hanging="330"/>
        <w:spacing w:after="0" w:line="286"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definite group room nights booked includes approximately 77,000 and 93,000 group room cancellations in the three months ended September 30, 2023 and 2022, respectively, and approximately 194,000 and 343,000 group room cancellations in the nine months ended September 30, 2023 and 2022, respectively.</w:t>
      </w:r>
    </w:p>
    <w:p>
      <w:pPr>
        <w:spacing w:after="0" w:line="124" w:lineRule="exact"/>
        <w:rPr>
          <w:rFonts w:ascii="Arial" w:cs="Arial" w:eastAsia="Arial" w:hAnsi="Arial"/>
          <w:sz w:val="17"/>
          <w:szCs w:val="17"/>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Same-store Hospitality segment metrics do not include JW Marriott Hill Country, which we purchased June 30, 2023.</w:t>
      </w:r>
    </w:p>
    <w:p>
      <w:pPr>
        <w:spacing w:after="0" w:line="221"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increase in total Hospitality segment revenue in the three months ended September 30, 2023, as compared to the same period in 2022, is primarily due to the addition of $50.0 million in revenue from JW Marriott Hill Country, which we purchased June 30, 2023, as well as increases of $5.1 million, $3.4 million, $3.3 million and $3.2 million at Gaylord Opryland, Gaylord Palms, Gaylord Texan and Gaylord National, respectively, partially offset by a decrease of $9.1 million at Gaylord Rockies, as presented in the tables below.</w:t>
      </w:r>
    </w:p>
    <w:p>
      <w:pPr>
        <w:spacing w:after="0" w:line="147"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increase in total Hospitality segment revenue in the nine months ended September 30, 2023, as compared to the same period in 2022, is primarily due to the addition of $50.7 million in revenue from JW Marriott Hill Country, as well as increases of $48.4 million, $48.2 million, $36.8 million, $33.6 million and $16.5 million at Gaylord Opryland, Gaylord National, Gaylord Texan, Gaylord Palms and Gaylord Rockies, respectively, as presented in the tables below.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Total Hospitality segment revenues in the three and nine months ended September 30, 2023 include $11.7 million and $31.7 million, respectively, in attrition and cancellation fee revenue, an increase of $1.7 million and a decrease of $13.3 million, respectively, in attrition and cancellation fees from the 2022 periods.</w:t>
      </w:r>
    </w:p>
    <w:p>
      <w:pPr>
        <w:spacing w:after="0" w:line="157"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6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28 %</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27 %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24 %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28 %</w:t>
            </w:r>
          </w:p>
        </w:tc>
      </w:tr>
    </w:tbl>
    <w:p>
      <w:pPr>
        <w:spacing w:after="0" w:line="187"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Rooms expenses increased in the three and nine months ended September 30, 2023, as compared to the same periods in 2022. The increase in rooms expenses in the three months ended September 30, 2023, as compared to the same period in 2022, is primarily due to JW Marriott Hill Country, which we purchased June 30, 2023. The increase in rooms expenses in the nine months ended September 30, 2023, as compared to the same period in 2022, is primarily due to JW Marriott Hill Country, as well as increases at each of our Gaylord Hotels properties due to increased volume, as presented in the tables below.</w:t>
      </w:r>
    </w:p>
    <w:p>
      <w:pPr>
        <w:spacing w:after="0" w:line="152" w:lineRule="exact"/>
        <w:rPr>
          <w:sz w:val="20"/>
          <w:szCs w:val="20"/>
          <w:color w:val="auto"/>
        </w:rPr>
      </w:pPr>
    </w:p>
    <w:p>
      <w:pPr>
        <w:ind w:left="60" w:right="559"/>
        <w:spacing w:after="0" w:line="286" w:lineRule="auto"/>
        <w:rPr>
          <w:sz w:val="20"/>
          <w:szCs w:val="20"/>
          <w:color w:val="auto"/>
        </w:rPr>
      </w:pPr>
      <w:r>
        <w:rPr>
          <w:rFonts w:ascii="Arial" w:cs="Arial" w:eastAsia="Arial" w:hAnsi="Arial"/>
          <w:sz w:val="17"/>
          <w:szCs w:val="17"/>
          <w:color w:val="auto"/>
        </w:rPr>
        <w:t>The increase in food and beverage expenses in the three months ended September 30, 2023, as compared to the same period in 2022, is primarily due to JW Marriott Hill Country, as well as increases at Gaylord Opryland and Gaylord National, partially offset by a decrease at Gaylord Rockies, as presented in the tables below.</w:t>
      </w:r>
    </w:p>
    <w:p>
      <w:pPr>
        <w:spacing w:after="0" w:line="138"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increase in food and beverage expenses in the nine months ended September 30, 2023, as compared to the same period in 2022, is primarily due to JW Marriott Hill Country, as well as increases at each of our Gaylord Hotels properties due to increased volume, as presented in the tables below.</w:t>
      </w:r>
    </w:p>
    <w:p>
      <w:pPr>
        <w:spacing w:after="0" w:line="143"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Other hotel expenses for the three and nine months ended September 30, 2023 and 2022 consist of the following (in thousands):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3"/>
              </w:rPr>
              <w:t>Nine Months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left="277"/>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50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$ 122,988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$ 109,580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14.5 %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30,861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27,890</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36.8 %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27,397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45,527</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20.3 %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147,047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124,381</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122,748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103,321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18.8 %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$ 330,397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$ 289,248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and nine months ended September 30, 2023, as compared to the same periods in 2022, primarily due to the addition of JW Marriott Hill Country, as well as increases at Gaylord Opryland and Gaylord National associated with increased business levels. Utility costs increased during the three and nine months ended September 30, 2023, as compared to the same periods in 2022, primarily due to the addition of JW Marriott Hill Country, as well as an increase at Gaylord Opryland associated with increased utility rates. Property taxes increased during the three and nine months ended September 30, 2023, as compared to the 2022 periods, primarily due to the addition of JW Marriott Hill Country, partially offset by a decrease at Gaylord National due to a settlement of an appeal from prior tax years. Other expenses, which include supplies, advertising, maintenance costs and consulting costs, increased during the three and nine months ended September 30, 2023, as compared to the same periods in 2022, primarily due to the addition of JW Marriott Hill Country, as well as a various increases at Gaylord Opryland, Gaylord Palms, Gaylord National and Gaylord Texan due to increased business levels.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In the three months ended September 30, 2023 and 2022, we incurred $10.5 million and $8.6 million, respectively, and in the nine months ended September 30, 2023 and 2022, we incurred $28.9 million and $23.2 million, respectively, related to base management fees for our Hospitality segment. In the three months ended September 30, 2023 and 2022, we incurred $6.2 million and $3.4 million, respectively, and in the nine months ended September 30, 2023 and 2022, we incurred $20.0 million and $6.6 million, respectively, related to incentive management fees for our Hospitality segment. Management fees are presented throughout this Quarterly Report on Form 10-Q net of the amortization of the deferred management rights proceeds discussed in Note 10, “Deferred Management Rights Proceeds,” to the accompanying condensed consolidated financial statements included herein.</w:t>
      </w:r>
    </w:p>
    <w:p>
      <w:pPr>
        <w:spacing w:after="0" w:line="159"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Total Hospitality segment depreciation and amortization expense increased in the three months ended September 30, 2023, as compared to the same period in 2022, primarily due to JW Marriott Hill Country, which we purchased June 30, 2023. Total Hospitality segment depreciation and amortization expense decreased in the nine months ended September 30, 2023, as compared to the same period in 2022, as the increase related to JW Marriott Hill Country was offset by the intangible asset associated with advanced bookings at Gaylord Rockies when we purchased an additional interest in Gaylord Rockies in 2018 becoming fully amortized during 2022.</w:t>
      </w:r>
    </w:p>
    <w:p>
      <w:pPr>
        <w:spacing w:after="0" w:line="137"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2023 and 2022.</w:t>
      </w:r>
    </w:p>
    <w:p>
      <w:pPr>
        <w:spacing w:after="0" w:line="170"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and nine months ended September 30,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2022 are as 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6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46,812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45,960</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1.9 %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139,285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122,491</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143,179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111,753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28.1 %</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18,614</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51,591</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111,939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106,819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334,220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285,835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25,566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23,229</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61,814</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30,608</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5,170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3,824</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35.2 %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8,806</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80.8 %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352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82,390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77,331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240,965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208,921</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72.7 %</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73.0 %</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(0.3)pts</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72.2 %</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65.7 %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6.5 pts</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Arial" w:cs="Arial" w:eastAsia="Arial" w:hAnsi="Arial"/>
                <w:sz w:val="16"/>
                <w:szCs w:val="16"/>
                <w:color w:val="auto"/>
              </w:rPr>
              <w:t>RevPAR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176.18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172.98</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1.8 %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176.66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155.36</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and nine months ended September 30, 2023 and 2022</w:t>
      </w:r>
      <w:r>
        <w:rPr>
          <w:rFonts w:ascii="Arial" w:cs="Arial" w:eastAsia="Arial" w:hAnsi="Arial"/>
          <w:sz w:val="18"/>
          <w:szCs w:val="18"/>
          <w:i w:val="1"/>
          <w:iCs w:val="1"/>
          <w:color w:val="auto"/>
        </w:rPr>
        <w:t xml:space="preserve"> </w:t>
      </w:r>
      <w:r>
        <w:rPr>
          <w:rFonts w:ascii="Arial" w:cs="Arial" w:eastAsia="Arial" w:hAnsi="Arial"/>
          <w:sz w:val="18"/>
          <w:szCs w:val="18"/>
          <w:color w:val="auto"/>
        </w:rPr>
        <w:t>are as follows (in thousands, except percentages and performance metrics):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420" w:type="dxa"/>
            <w:vAlign w:val="bottom"/>
            <w:gridSpan w:val="2"/>
            <w:vMerge w:val="restart"/>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Rooms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$ 22,812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$ 21,982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3.8 %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83,332</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71,006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30,891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30,803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111,525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90,245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10,182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7,731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31.7 %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27,403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27,402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63,885</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5.6 %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222,260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188,653</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Arial" w:cs="Arial" w:eastAsia="Arial" w:hAnsi="Arial"/>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5,480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9.5 %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18.7 %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17,902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17,607</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58,389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48,469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22,154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20,403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59,538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Management fees, net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2,927</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1,889</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54.9 %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8,915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86.2 %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5,650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5,526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96"/>
        </w:trPr>
        <w:tc>
          <w:tcPr>
            <w:tcW w:w="288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8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54,636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50,905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7.3 %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167,055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144,966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Occupancy</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67.4 %</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65.2 %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74.2 %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65.2 %</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9.0 pts</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$ 214.22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$ 213.17</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0.5 %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239.56</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RevPAR</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$ 144.33</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$ 139.08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3.8 %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177.67</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151.39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$ 404.19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$ 382.88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5.6 %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473.89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and nine months ended September 30, 2023 and 2022</w:t>
      </w:r>
      <w:r>
        <w:rPr>
          <w:rFonts w:ascii="Arial" w:cs="Arial" w:eastAsia="Arial" w:hAnsi="Arial"/>
          <w:sz w:val="18"/>
          <w:szCs w:val="18"/>
          <w:i w:val="1"/>
          <w:iCs w:val="1"/>
          <w:color w:val="auto"/>
        </w:rPr>
        <w:t xml:space="preserve"> </w:t>
      </w:r>
      <w:r>
        <w:rPr>
          <w:rFonts w:ascii="Arial" w:cs="Arial" w:eastAsia="Arial" w:hAnsi="Arial"/>
          <w:sz w:val="18"/>
          <w:szCs w:val="18"/>
          <w:color w:val="auto"/>
        </w:rPr>
        <w:t>are as follows (in thousands, except percentages and performance metrics):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420" w:type="dxa"/>
            <w:vAlign w:val="bottom"/>
            <w:gridSpan w:val="2"/>
            <w:vMerge w:val="restart"/>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Rooms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$ 28,485</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$ 26,808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6.3 %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86,662</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76,066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35,962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34,803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128,270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99,932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9,544</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9,123</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4.6 %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26,936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29,037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73,991</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70,734</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4.6 %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241,868</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205,035</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Arial" w:cs="Arial" w:eastAsia="Arial" w:hAnsi="Arial"/>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20,752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19,780</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4.9 %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67,024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55,385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18,302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17,932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Management fees, net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3,172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1,915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65.6 %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10,092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5,000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101.8 %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5,704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6"/>
        </w:trPr>
        <w:tc>
          <w:tcPr>
            <w:tcW w:w="288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8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54,436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51,861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168,120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147,512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Occupancy</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73.0 %</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70.6 %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75.0 %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67.6 %</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7.4 pts</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$ 233.92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$ 227.40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2.9 %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RevPAR</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$ 170.68</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$ 160.63</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6.3 %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175.00</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153.60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$ 443.36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$ 423.84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4.6 %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488.40</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and nine months ended September 30,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2022 are as follows (in thousands, except percentages and performance metrics):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420" w:type="dxa"/>
            <w:vAlign w:val="bottom"/>
            <w:gridSpan w:val="2"/>
            <w:vMerge w:val="restart"/>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Rooms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$ 28,486</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$ 26,462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7.6 %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88,481</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69,743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35,430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36,402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110,390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02"/>
        </w:trPr>
        <w:tc>
          <w:tcPr>
            <w:tcW w:w="288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8,208</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6,061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35.4 %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23,039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16,721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37.8 %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72,124</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68,925</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4.6 %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221,910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173,735</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Arial" w:cs="Arial" w:eastAsia="Arial" w:hAnsi="Arial"/>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10,543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10,065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21,164</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19,907</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6.3 %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65,658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51,322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27.9 %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20,655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20,465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62,352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Management fees, net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1,492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1,176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26.9 %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4,084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2,868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42.4 %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8,415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8,268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288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8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62,269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59,881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189,074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163,142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Occupancy</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71.5 %</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65.4 %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6.1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68.9 %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55.1 %</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13.8 pts</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$ 216.85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$ 220.25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235.67</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Arial" w:cs="Arial" w:eastAsia="Arial" w:hAnsi="Arial"/>
                <w:sz w:val="16"/>
                <w:szCs w:val="16"/>
                <w:color w:val="auto"/>
              </w:rPr>
              <w:t>RevPAR</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$ 155.12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$ 144.11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7.6 %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162.38</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127.99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$ 392.76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$ 375.35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4.6 %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407.24</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and nine months ended September 30,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2022 are as 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96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80"/>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78"/>
        </w:trPr>
        <w:tc>
          <w:tcPr>
            <w:tcW w:w="3960" w:type="dxa"/>
            <w:vAlign w:val="bottom"/>
          </w:tcPr>
          <w:p>
            <w:pPr>
              <w:spacing w:after="0"/>
              <w:rPr>
                <w:sz w:val="15"/>
                <w:szCs w:val="15"/>
                <w:color w:val="auto"/>
              </w:rPr>
            </w:pPr>
          </w:p>
        </w:tc>
        <w:tc>
          <w:tcPr>
            <w:tcW w:w="620" w:type="dxa"/>
            <w:vAlign w:val="bottom"/>
          </w:tcPr>
          <w:p>
            <w:pPr>
              <w:jc w:val="right"/>
              <w:ind w:right="8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rPr>
              <w:t>Rooms</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$ 27,092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$ 28,536</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75,447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64,478</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17.0 %</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32,365</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101,379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94,484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7.3 %</w:t>
            </w:r>
          </w:p>
        </w:tc>
      </w:tr>
      <w:tr>
        <w:trPr>
          <w:trHeight w:val="203"/>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hotel revenue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7,854</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11.4 %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23,926</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(5.7)%</w:t>
            </w:r>
          </w:p>
        </w:tc>
      </w:tr>
      <w:tr>
        <w:trPr>
          <w:trHeight w:val="196"/>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68,203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199,377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182,888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9.0 %</w:t>
            </w: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7.0 %</w:t>
            </w: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620" w:type="dxa"/>
            <w:vAlign w:val="bottom"/>
          </w:tcPr>
          <w:p>
            <w:pPr>
              <w:jc w:val="right"/>
              <w:spacing w:after="0"/>
              <w:rPr>
                <w:sz w:val="20"/>
                <w:szCs w:val="20"/>
                <w:color w:val="auto"/>
              </w:rPr>
            </w:pPr>
            <w:r>
              <w:rPr>
                <w:rFonts w:ascii="Arial" w:cs="Arial" w:eastAsia="Arial" w:hAnsi="Arial"/>
                <w:sz w:val="16"/>
                <w:szCs w:val="16"/>
                <w:color w:val="auto"/>
              </w:rPr>
              <w:t>19,383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21,892</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59,314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52,878</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12.2 %</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620" w:type="dxa"/>
            <w:vAlign w:val="bottom"/>
          </w:tcPr>
          <w:p>
            <w:pPr>
              <w:jc w:val="right"/>
              <w:spacing w:after="0"/>
              <w:rPr>
                <w:sz w:val="20"/>
                <w:szCs w:val="20"/>
                <w:color w:val="auto"/>
              </w:rPr>
            </w:pPr>
            <w:r>
              <w:rPr>
                <w:rFonts w:ascii="Arial" w:cs="Arial" w:eastAsia="Arial" w:hAnsi="Arial"/>
                <w:sz w:val="16"/>
                <w:szCs w:val="16"/>
                <w:color w:val="auto"/>
              </w:rPr>
              <w:t>2,031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2,299</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5,927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5,423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9.3 %</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42,370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59,001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(28.2)%</w:t>
            </w:r>
          </w:p>
        </w:tc>
      </w:tr>
      <w:tr>
        <w:trPr>
          <w:trHeight w:val="196"/>
        </w:trPr>
        <w:tc>
          <w:tcPr>
            <w:tcW w:w="39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620" w:type="dxa"/>
            <w:vAlign w:val="bottom"/>
          </w:tcPr>
          <w:p>
            <w:pPr>
              <w:jc w:val="right"/>
              <w:spacing w:after="0"/>
              <w:rPr>
                <w:sz w:val="20"/>
                <w:szCs w:val="20"/>
                <w:color w:val="auto"/>
              </w:rPr>
            </w:pPr>
            <w:r>
              <w:rPr>
                <w:rFonts w:ascii="Arial" w:cs="Arial" w:eastAsia="Arial" w:hAnsi="Arial"/>
                <w:sz w:val="16"/>
                <w:szCs w:val="16"/>
                <w:color w:val="auto"/>
              </w:rPr>
              <w:t>53,233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56,379</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158,848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168,490</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(5.7)%</w:t>
            </w:r>
          </w:p>
        </w:tc>
      </w:tr>
      <w:tr>
        <w:trPr>
          <w:trHeight w:val="203"/>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2"/>
        </w:trPr>
        <w:tc>
          <w:tcPr>
            <w:tcW w:w="396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79.9 %</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86.9 %</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(7.0)pts</w:t>
            </w:r>
          </w:p>
        </w:tc>
        <w:tc>
          <w:tcPr>
            <w:tcW w:w="120" w:type="dxa"/>
            <w:vAlign w:val="bottom"/>
          </w:tcPr>
          <w:p>
            <w:pPr>
              <w:spacing w:after="0"/>
              <w:rPr>
                <w:sz w:val="17"/>
                <w:szCs w:val="17"/>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6"/>
                <w:szCs w:val="16"/>
                <w:color w:val="auto"/>
              </w:rPr>
              <w:t>75.9 %</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67.7 %</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8.2 pts</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$ 245.52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$ 237.69</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4.4 %</w:t>
            </w: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rPr>
              <w:t>RevPAR</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$ 196.19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$ 206.65</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184.12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157.35</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17.0 %</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$ 493.90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$ 560.11</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9.0 %</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i w:val="1"/>
          <w:iCs w:val="1"/>
          <w:color w:val="auto"/>
        </w:rPr>
        <w:t>JW Marriott Hill Country Results</w:t>
      </w:r>
      <w:r>
        <w:rPr>
          <w:rFonts w:ascii="Arial" w:cs="Arial" w:eastAsia="Arial" w:hAnsi="Arial"/>
          <w:sz w:val="18"/>
          <w:szCs w:val="18"/>
          <w:color w:val="auto"/>
        </w:rPr>
        <w:t>. We purchased JW Marriott Hill Country June 30, 2023. The results of JW Marriott Hill</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for the three and nine months ended September 30, 2023 are as follows (in thousands, except percentages and performance metrics):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4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r>
      <w:tr>
        <w:trPr>
          <w:trHeight w:val="19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Rooms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21,702</w:t>
            </w:r>
          </w:p>
        </w:tc>
        <w:tc>
          <w:tcPr>
            <w:tcW w:w="3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21,702</w:t>
            </w:r>
          </w:p>
        </w:tc>
      </w:tr>
      <w:tr>
        <w:trPr>
          <w:trHeight w:val="203"/>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19,373</w:t>
            </w:r>
          </w:p>
        </w:tc>
      </w:tr>
      <w:tr>
        <w:trPr>
          <w:trHeight w:val="203"/>
        </w:trPr>
        <w:tc>
          <w:tcPr>
            <w:tcW w:w="5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hotel revenue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8,951</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9,672</w:t>
            </w:r>
          </w:p>
        </w:tc>
      </w:tr>
      <w:tr>
        <w:trPr>
          <w:trHeight w:val="196"/>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50,747</w:t>
            </w: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w:t>
            </w: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11,867</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11,867</w:t>
            </w:r>
          </w:p>
        </w:tc>
      </w:tr>
      <w:tr>
        <w:trPr>
          <w:trHeight w:val="203"/>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16,128</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16,621</w:t>
            </w: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03"/>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w:t>
            </w:r>
          </w:p>
        </w:tc>
      </w:tr>
      <w:tr>
        <w:trPr>
          <w:trHeight w:val="196"/>
        </w:trPr>
        <w:tc>
          <w:tcPr>
            <w:tcW w:w="594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42,150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42,643</w:t>
            </w: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03"/>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327.17</w:t>
            </w: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RevPAR</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235.43</w:t>
            </w:r>
          </w:p>
        </w:tc>
        <w:tc>
          <w:tcPr>
            <w:tcW w:w="3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235.43</w:t>
            </w:r>
          </w:p>
        </w:tc>
      </w:tr>
      <w:tr>
        <w:trPr>
          <w:trHeight w:val="202"/>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550.50</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98"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Entertainment segment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2023 and 2022 (in thousands, except percentages):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40" w:type="dxa"/>
            <w:vAlign w:val="bottom"/>
            <w:gridSpan w:val="6"/>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60" w:type="dxa"/>
            <w:vAlign w:val="bottom"/>
            <w:gridSpan w:val="6"/>
          </w:tcPr>
          <w:p>
            <w:pPr>
              <w:jc w:val="center"/>
              <w:ind w:left="298"/>
              <w:spacing w:after="0"/>
              <w:rPr>
                <w:sz w:val="20"/>
                <w:szCs w:val="20"/>
                <w:color w:val="auto"/>
              </w:rPr>
            </w:pPr>
            <w:r>
              <w:rPr>
                <w:rFonts w:ascii="Arial" w:cs="Arial" w:eastAsia="Arial" w:hAnsi="Arial"/>
                <w:sz w:val="14"/>
                <w:szCs w:val="14"/>
                <w:b w:val="1"/>
                <w:bCs w:val="1"/>
                <w:color w:val="auto"/>
                <w:w w:val="93"/>
              </w:rPr>
              <w:t>Nine Months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left="238"/>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6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8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62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48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$ 82,313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$ 77,153</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236,751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183,579</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56,222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54,148</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164,744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131,549</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Operating income (1)(2)</w:t>
            </w:r>
          </w:p>
        </w:tc>
        <w:tc>
          <w:tcPr>
            <w:tcW w:w="14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$ 20,691</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$ 17,756</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16.5 %</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55,940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38,737</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179" w:hanging="330"/>
        <w:spacing w:after="0" w:line="26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Entertainment segment operating income does not include preopening costs of $0.2 million in the three months ended September 30, 2023 and $0.4 million and $0.5 million in the nine months ended September 30, 2023 and 2022, respectively. See discussion of this item below.</w:t>
      </w:r>
    </w:p>
    <w:p>
      <w:pPr>
        <w:spacing w:after="0" w:line="143" w:lineRule="exact"/>
        <w:rPr>
          <w:rFonts w:ascii="Arial" w:cs="Arial" w:eastAsia="Arial" w:hAnsi="Arial"/>
          <w:sz w:val="18"/>
          <w:szCs w:val="18"/>
          <w:color w:val="auto"/>
        </w:rPr>
      </w:pPr>
    </w:p>
    <w:p>
      <w:pPr>
        <w:jc w:val="both"/>
        <w:ind w:left="380" w:right="359" w:hanging="330"/>
        <w:spacing w:after="0" w:line="311"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Entertainment segment operating income does not include loss from unconsolidated joint ventures of $12.6 million and $2.7 million in the three months ended September 30, 2023 and 2022, respectively, and $17.5 million and $8.3 million in the nine months ended September 30, 2023 and 2022, respectively. See discussion of this item below.</w:t>
      </w:r>
    </w:p>
    <w:p>
      <w:pPr>
        <w:spacing w:after="0" w:line="122"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Revenues and operating expenses increased in our Entertainment segment in the three months ended September 30, 2023, as compared to the prior year period, primarily due to increased revenue and operating expenses at the Grand Ole Opry, primarily due to increased attendance.</w:t>
      </w:r>
    </w:p>
    <w:p>
      <w:pPr>
        <w:spacing w:after="0" w:line="143"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Revenues, operating expenses and depreciation and amortization increased in our Entertainment segment in the nine months ended September 30, 2023, as compared to the prior year period, primarily due to Block 21, which we acquired in May 2022. In addition, Entertainment segment revenues increased in the 2023 periods, as compared to the 2022 period, due to increased revenues throughout our other OEG businesses as a result of increased attendance or volume, as applicable. Entertainment segment operating expenses also increased in the 2023 periods, as compared to the 2022 periods, due to increased variable expenses associated with higher business levels.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9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2023 and 2022 (in thousands, except percentages):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left="299"/>
              <w:spacing w:after="0"/>
              <w:rPr>
                <w:sz w:val="20"/>
                <w:szCs w:val="20"/>
                <w:color w:val="auto"/>
              </w:rPr>
            </w:pPr>
            <w:r>
              <w:rPr>
                <w:rFonts w:ascii="Arial" w:cs="Arial" w:eastAsia="Arial" w:hAnsi="Arial"/>
                <w:sz w:val="14"/>
                <w:szCs w:val="14"/>
                <w:b w:val="1"/>
                <w:bCs w:val="1"/>
                <w:color w:val="auto"/>
                <w:w w:val="94"/>
              </w:rPr>
              <w:t>Nine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620" w:type="dxa"/>
            <w:vAlign w:val="bottom"/>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48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40" w:type="dxa"/>
            <w:vAlign w:val="bottom"/>
            <w:vMerge w:val="continue"/>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30,582</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31,423</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Depreciation and amortization</w:t>
            </w: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(9,652)</w:t>
            </w:r>
          </w:p>
        </w:tc>
        <w:tc>
          <w:tcPr>
            <w:tcW w:w="8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(31,228)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(32,038)</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15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segment operating expenses do not include a loss on sale of assets of $0.5 million in the nine months ended September 30, 2022.</w:t>
      </w:r>
    </w:p>
    <w:p>
      <w:pPr>
        <w:spacing w:after="0" w:line="130"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and decreased in the nine months ended September 30, 2023, respectively, as compared to the prior year periods, primarily as a result of changes in employment expenses.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8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Preopening costs during the three and nine months ended September 30, 2023 primarily include costs associated with Ole Red Las Vegas, which is expected to be completed in January 2024. Preopening costs during the nine months ended September 30, 2022 primarily include costs associated with Ole Red Nashville International Airport, which was completed in May 2022.</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Loss on Sale of Assets</w:t>
      </w:r>
    </w:p>
    <w:p>
      <w:pPr>
        <w:spacing w:after="0" w:line="198"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Loss on sale of assets during the nine months ended September 30, 2022 includes the sale of a parcel of land in Nashville, Tennessee.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other factors which affected our net income for the three and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2022 (in thousands, except percentages):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3"/>
              </w:rPr>
              <w:t>Nine Months Ended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8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9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5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restart"/>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54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$ 58,521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$ 40,092</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$ 150,228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$ 105,987</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343.5</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
              <w:spacing w:after="0"/>
              <w:rPr>
                <w:sz w:val="20"/>
                <w:szCs w:val="20"/>
                <w:color w:val="auto"/>
              </w:rPr>
            </w:pPr>
            <w:r>
              <w:rPr>
                <w:rFonts w:ascii="Arial" w:cs="Arial" w:eastAsia="Arial" w:hAnsi="Arial"/>
                <w:sz w:val="18"/>
                <w:szCs w:val="18"/>
                <w:color w:val="auto"/>
              </w:rPr>
              <w:t>13,977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4,138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7"/>
              </w:rPr>
              <w:t>Loss from unconsolidated joint ventures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(12,566)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(2,720)</w:t>
            </w:r>
          </w:p>
        </w:tc>
        <w:tc>
          <w:tcPr>
            <w:tcW w:w="16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w w:val="95"/>
              </w:rPr>
              <w:t>(362.0)%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(8,348)</w:t>
            </w:r>
          </w:p>
        </w:tc>
        <w:tc>
          <w:tcPr>
            <w:tcW w:w="160" w:type="dxa"/>
            <w:vAlign w:val="bottom"/>
          </w:tcPr>
          <w:p>
            <w:pPr>
              <w:spacing w:after="0"/>
              <w:rPr>
                <w:sz w:val="18"/>
                <w:szCs w:val="18"/>
                <w:color w:val="auto"/>
              </w:rPr>
            </w:pPr>
          </w:p>
        </w:tc>
        <w:tc>
          <w:tcPr>
            <w:tcW w:w="900" w:type="dxa"/>
            <w:vAlign w:val="bottom"/>
            <w:gridSpan w:val="3"/>
          </w:tcPr>
          <w:p>
            <w:pPr>
              <w:jc w:val="right"/>
              <w:ind w:right="90"/>
              <w:spacing w:after="0"/>
              <w:rPr>
                <w:sz w:val="20"/>
                <w:szCs w:val="20"/>
                <w:color w:val="auto"/>
              </w:rPr>
            </w:pPr>
            <w:r>
              <w:rPr>
                <w:rFonts w:ascii="Arial" w:cs="Arial" w:eastAsia="Arial" w:hAnsi="Arial"/>
                <w:sz w:val="18"/>
                <w:szCs w:val="18"/>
                <w:color w:val="auto"/>
                <w:w w:val="95"/>
              </w:rPr>
              <w:t>(109.9)%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5,470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(10,178)</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(27,747)</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73.6</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Interest expense increased $18.4 million and $44.2 million during the three and nine months ended September 30, 2023, as compared to the same periods in 2022, due primarily to higher interest rates and higher levels of indebtedness attributable to the new OEG Term Loan and the Block 21 CMBS loan, as well as the May 2023 refinancing and increase of the term loan B and the June 2023 issuance of the $400 Million 7.25% Senior Notes.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Cash interest expense increased $18.9 million to $55.9 million in the three months and increased $43.5 million to $141.8 million in the nine months ended September 30, 2023, as compared to the same periods in 2022. Non-cash interest expense, which includes amortization of deferred financing costs and debt discounts or premiums and is offset by capitalized interest, decreased $0.5 million to $2.7 million in the three months and increased $0.7 million to $8.4 million in the nine months ended September 30, 2023, as compared to the same periods in 2022.</w:t>
      </w:r>
    </w:p>
    <w:p>
      <w:pPr>
        <w:spacing w:after="0" w:line="14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Our weighted average interest rate on our borrowings, excluding capitalized interest, but including the impact of interest rate swaps, was 6.8% and 5.5% for the three months ended September 30, 2023 and 2022, respectively, and 6.4% and 4.8% for the nine months ended September 30, 2023,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Interest income for the three and nine months ended September 30, 2023 primarily includes amounts earned on our larger than historical cash balances, as well as the bonds that were received in connection with the development of Gaylord National, which we hold as notes receivable. See Note 8, “Notes Receivable,” to the accompanying condensed consolidated financial statements included herein for additional discussion of interest income on these bonds. In addition, the nine-month 2023 period includes interest earned on amounts held in escrow from the issuance of the $400 Million 7.25% Senior Notes as part of the JW Marriott Hill Country transaction.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185"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As a result of the May 2023 refinancing of our credit facility and the extension of the Gaylord Rockies $800 million term loan, we recognized a loss on extinguishment of debt of $2.3 million in the nine months ended September 30, 2023.</w:t>
      </w:r>
    </w:p>
    <w:p>
      <w:pPr>
        <w:spacing w:after="0" w:line="83"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As a result of the June 2022 repayment of our previous $300 million term loan A with the proceeds from a $300 million OEG term loan, we recognized a loss on extinguishment of debt of $1.5 million in the nine months ended September 30,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18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loss from unconsolidated joint ventures for the three and nine months ended September 30, 2023 and 2022 represents our equity method share of losses associated with Circle.</w:t>
      </w:r>
    </w:p>
    <w:p>
      <w:pPr>
        <w:spacing w:after="0" w:line="130"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In September 2023, we determined to pivot from television network ownership in favor of a distribution approach. Therefore, we and our joint venture partner agreed to wind down the joint venture, with operations expected to cease December 31, 2023. As a result, we incurred a loss related to Circle of approximately $10.6 million, which is included in loss from unconsolidated joint ventures in the accompanying condensed consolidated statement of operations for the three and nine months ended September 30, 2023.</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Other gains and (losses), net for the three and nine months ended September 30, 2023 and 2022 primarily includes a gain of $6.1 million and $2.9 million, respectively, from a fund associated with the Gaylord National bonds to reimburse us for certain marketing and maintenance expenses.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198"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43"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For the three months ended September 30, 2023 and 2022, we recorded an income tax provision of $2.2 million and $10.2 million, respectively, and for the nine months ended September 30, 2023 and 2022, we recorded an income tax provision of $7.3 million and $27.7 million, respectively, related to our TRSs. The decrease in the income tax provision for the 2023 periods, as compared to the 2022 periods, primarily relates to a decrease in income at our TRSs.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8"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EBITDAre, Adjusted EBITDAre and Adjusted EBITDAre, Excluding Noncontrolling Interest in Consolidated Joint Venture Definition</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in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plus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Transaction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income on bonds;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then exclude the pro rata share of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related to noncontrolling interests in consolidated joint ventures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pacing w:after="0" w:line="170"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use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when evaluating our performance because we believe that presenting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provides useful information to investors regarding our operating performance and debt leverage metrics.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calculate Adjusted FFO available to common stockholders and unit holders, we then exclude,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color w:val="auto"/>
        </w:rPr>
        <w:t>FFO available to common stockholders and unit holders and Adjusted FFO available to common stockholders and unit holders exclude the ownership portion of the joint ventures not controlled or owned by the Company.</w:t>
      </w:r>
    </w:p>
    <w:p>
      <w:pPr>
        <w:spacing w:after="0" w:line="146"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believe that the presentation of FFO available to common stockholders and unit holders and Adjusted FFO available to common stockholders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7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caution investors that amounts presented in accordance with our definitions of Adjusted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FFO available to common stockholders and unit holders, and Adjusted FFO available to common stockholders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following is a reconciliation of our consolidated GAAP net income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three and nine months ended September 30, 2023 and 2022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78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47,451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$ 171,922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20"/>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52,409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38,714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136,251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101,849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58,086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47,969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154,700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160,712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Loss on sale of assets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Pro rata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17"/>
                <w:szCs w:val="17"/>
                <w:i w:val="1"/>
                <w:iCs w:val="1"/>
                <w:color w:val="auto"/>
              </w:rPr>
              <w:t>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144,335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470,228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364,281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20"/>
              <w:spacing w:after="0"/>
              <w:rPr>
                <w:sz w:val="20"/>
                <w:szCs w:val="20"/>
                <w:color w:val="auto"/>
              </w:rPr>
            </w:pPr>
            <w:r>
              <w:rPr>
                <w:rFonts w:ascii="Arial" w:cs="Arial" w:eastAsia="Arial" w:hAnsi="Arial"/>
                <w:sz w:val="17"/>
                <w:szCs w:val="17"/>
                <w:color w:val="auto"/>
              </w:rPr>
              <w:t>Preopening costs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20"/>
              <w:spacing w:after="0"/>
              <w:rPr>
                <w:sz w:val="20"/>
                <w:szCs w:val="20"/>
                <w:color w:val="auto"/>
              </w:rPr>
            </w:pPr>
            <w:r>
              <w:rPr>
                <w:rFonts w:ascii="Arial" w:cs="Arial" w:eastAsia="Arial" w:hAnsi="Arial"/>
                <w:sz w:val="17"/>
                <w:szCs w:val="17"/>
                <w:color w:val="auto"/>
              </w:rPr>
              <w:t>Equity-based compensation expense</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3,694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11,480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11,134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Pension settlement charge</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20"/>
              <w:spacing w:after="0"/>
              <w:rPr>
                <w:sz w:val="20"/>
                <w:szCs w:val="20"/>
                <w:color w:val="auto"/>
              </w:rPr>
            </w:pPr>
            <w:r>
              <w:rPr>
                <w:rFonts w:ascii="Arial" w:cs="Arial" w:eastAsia="Arial" w:hAnsi="Arial"/>
                <w:sz w:val="17"/>
                <w:szCs w:val="17"/>
                <w:color w:val="auto"/>
              </w:rPr>
              <w:t>Interest income on Gaylord National bonds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1,314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Loss on extinguishment of debt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20"/>
              <w:spacing w:after="0"/>
              <w:rPr>
                <w:sz w:val="20"/>
                <w:szCs w:val="20"/>
                <w:color w:val="auto"/>
              </w:rPr>
            </w:pPr>
            <w:r>
              <w:rPr>
                <w:rFonts w:ascii="Arial" w:cs="Arial" w:eastAsia="Arial" w:hAnsi="Arial"/>
                <w:sz w:val="17"/>
                <w:szCs w:val="17"/>
                <w:color w:val="auto"/>
              </w:rPr>
              <w:t>Transaction costs of acquisitions</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9"/>
              </w:rPr>
              <w:t>Pro rata adjusted EBITDA</w:t>
            </w:r>
            <w:r>
              <w:rPr>
                <w:rFonts w:ascii="Arial" w:cs="Arial" w:eastAsia="Arial" w:hAnsi="Arial"/>
                <w:sz w:val="17"/>
                <w:szCs w:val="17"/>
                <w:i w:val="1"/>
                <w:iCs w:val="1"/>
                <w:color w:val="auto"/>
                <w:w w:val="99"/>
              </w:rPr>
              <w:t>re</w:t>
            </w:r>
            <w:r>
              <w:rPr>
                <w:rFonts w:ascii="Arial" w:cs="Arial" w:eastAsia="Arial" w:hAnsi="Arial"/>
                <w:sz w:val="17"/>
                <w:szCs w:val="17"/>
                <w:color w:val="auto"/>
                <w:w w:val="99"/>
              </w:rPr>
              <w:t xml:space="preserve"> from unconsolidated joint ventures (1)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170,874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151,125</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503,251</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387,744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20" w:type="dxa"/>
            <w:vAlign w:val="bottom"/>
            <w:gridSpan w:val="2"/>
            <w:shd w:val="clear" w:color="auto" w:fill="CCEEFF"/>
          </w:tcPr>
          <w:p>
            <w:pPr>
              <w:ind w:left="120"/>
              <w:spacing w:after="0" w:line="185" w:lineRule="exact"/>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of noncontrolling interest in consolidated joint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venture</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(7,686)</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(6,345)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(20,801)</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(7,476)</w:t>
            </w:r>
          </w:p>
        </w:tc>
        <w:tc>
          <w:tcPr>
            <w:tcW w:w="0" w:type="dxa"/>
            <w:vAlign w:val="bottom"/>
          </w:tcPr>
          <w:p>
            <w:pPr>
              <w:spacing w:after="0"/>
              <w:rPr>
                <w:sz w:val="1"/>
                <w:szCs w:val="1"/>
                <w:color w:val="auto"/>
              </w:rPr>
            </w:pPr>
          </w:p>
        </w:tc>
      </w:tr>
      <w:tr>
        <w:trPr>
          <w:trHeight w:val="165"/>
        </w:trPr>
        <w:tc>
          <w:tcPr>
            <w:tcW w:w="5120" w:type="dxa"/>
            <w:vAlign w:val="bottom"/>
            <w:gridSpan w:val="2"/>
          </w:tcPr>
          <w:p>
            <w:pPr>
              <w:ind w:left="20"/>
              <w:spacing w:after="0" w:line="165" w:lineRule="exact"/>
              <w:rPr>
                <w:sz w:val="20"/>
                <w:szCs w:val="20"/>
                <w:color w:val="auto"/>
              </w:rPr>
            </w:pPr>
            <w:r>
              <w:rPr>
                <w:rFonts w:ascii="Arial" w:cs="Arial" w:eastAsia="Arial" w:hAnsi="Arial"/>
                <w:sz w:val="17"/>
                <w:szCs w:val="17"/>
                <w:color w:val="auto"/>
                <w:w w:val="98"/>
              </w:rPr>
              <w:t>Adjusted EBITDA</w:t>
            </w:r>
            <w:r>
              <w:rPr>
                <w:rFonts w:ascii="Arial" w:cs="Arial" w:eastAsia="Arial" w:hAnsi="Arial"/>
                <w:sz w:val="17"/>
                <w:szCs w:val="17"/>
                <w:i w:val="1"/>
                <w:iCs w:val="1"/>
                <w:color w:val="auto"/>
                <w:w w:val="98"/>
              </w:rPr>
              <w:t>re</w:t>
            </w:r>
            <w:r>
              <w:rPr>
                <w:rFonts w:ascii="Arial" w:cs="Arial" w:eastAsia="Arial" w:hAnsi="Arial"/>
                <w:sz w:val="17"/>
                <w:szCs w:val="17"/>
                <w:color w:val="auto"/>
                <w:w w:val="98"/>
              </w:rPr>
              <w:t>, excluding noncontrolling interest in consolidated</w:t>
            </w:r>
          </w:p>
        </w:tc>
        <w:tc>
          <w:tcPr>
            <w:tcW w:w="180" w:type="dxa"/>
            <w:vAlign w:val="bottom"/>
            <w:tcBorders>
              <w:top w:val="single" w:sz="8" w:color="auto"/>
            </w:tcBorders>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163,188</w:t>
            </w:r>
          </w:p>
        </w:tc>
        <w:tc>
          <w:tcPr>
            <w:tcW w:w="16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4"/>
              </w:rPr>
              <w:t>144,780</w:t>
            </w:r>
          </w:p>
        </w:tc>
        <w:tc>
          <w:tcPr>
            <w:tcW w:w="140" w:type="dxa"/>
            <w:vAlign w:val="bottom"/>
          </w:tcPr>
          <w:p>
            <w:pPr>
              <w:spacing w:after="0"/>
              <w:rPr>
                <w:sz w:val="14"/>
                <w:szCs w:val="14"/>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2"/>
              </w:rPr>
              <w:t>$ 482,450</w:t>
            </w:r>
          </w:p>
        </w:tc>
        <w:tc>
          <w:tcPr>
            <w:tcW w:w="16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1"/>
              </w:rPr>
              <w:t>380,268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joint venture</w:t>
            </w:r>
          </w:p>
        </w:tc>
        <w:tc>
          <w:tcPr>
            <w:tcW w:w="1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759" w:hanging="319"/>
        <w:spacing w:after="0" w:line="301"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September 2023, we determined to pivot from television network ownership in favor of a distribution approach. Therefore, we and our joint venture partner agreed to wind down the Circle joint venture, with operations expected to cease December 31, 2023. As a result, we incurred a loss related to Circle of approximately $10.6 million in the three and nine months ended September 30, 2023.</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is a reconciliation of our consolidated GAAP net income to FFO and Adjusted FFO for the three and nine months ended September 30, 2023 and 2022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9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224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r>
      <w:tr>
        <w:trPr>
          <w:trHeight w:val="21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$ 171,922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14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(1,887)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(2,167)</w:t>
            </w:r>
          </w:p>
        </w:tc>
      </w:tr>
      <w:tr>
        <w:trPr>
          <w:trHeight w:val="209"/>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Net income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47,938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154,581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160,620</w:t>
            </w:r>
          </w:p>
        </w:tc>
        <w:tc>
          <w:tcPr>
            <w:tcW w:w="1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(1,808)</w:t>
            </w:r>
          </w:p>
        </w:tc>
      </w:tr>
      <w:tr>
        <w:trPr>
          <w:trHeight w:val="216"/>
        </w:trPr>
        <w:tc>
          <w:tcPr>
            <w:tcW w:w="5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18"/>
                <w:szCs w:val="18"/>
                <w:color w:val="auto"/>
              </w:rPr>
            </w:pPr>
          </w:p>
        </w:tc>
      </w:tr>
      <w:tr>
        <w:trPr>
          <w:trHeight w:val="20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FFO available to common stockholders and unit holders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230,292</w:t>
            </w:r>
          </w:p>
        </w:tc>
        <w:tc>
          <w:tcPr>
            <w:tcW w:w="14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Right-of-use asset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4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Pension settlement charge</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 rata adjustments from joint ventures (1)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Loss on other assets</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4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Amortization of debt discounts and premiums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(3,616)</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r>
      <w:tr>
        <w:trPr>
          <w:trHeight w:val="216"/>
        </w:trPr>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 costs of acquisitions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Deferred tax provision</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140" w:type="dxa"/>
            <w:vAlign w:val="bottom"/>
            <w:tcBorders>
              <w:bottom w:val="single" w:sz="8" w:color="CCEEFF"/>
            </w:tcBorders>
          </w:tcPr>
          <w:p>
            <w:pPr>
              <w:spacing w:after="0"/>
              <w:rPr>
                <w:sz w:val="18"/>
                <w:szCs w:val="18"/>
                <w:color w:val="auto"/>
              </w:rPr>
            </w:pPr>
          </w:p>
        </w:tc>
      </w:tr>
      <w:tr>
        <w:trPr>
          <w:trHeight w:val="21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Adjusted FFO available to common stockholders and unit holders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111,279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100,773</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$ 347,264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250,462</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67" w:lineRule="exact"/>
        <w:rPr>
          <w:sz w:val="20"/>
          <w:szCs w:val="20"/>
          <w:color w:val="auto"/>
        </w:rPr>
      </w:pPr>
    </w:p>
    <w:p>
      <w:pPr>
        <w:ind w:left="720" w:right="759" w:hanging="319"/>
        <w:spacing w:after="0" w:line="30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September 2023, we determined to pivot from television network ownership in favor of a distribution approach. Therefore, we and our joint venture partner agreed to wind down the Circle joint venture, with operations expected to cease December 31, 2023. As a result, we incurred a loss related to Circle of approximately $10.6 million in the three and nine months ended September 30,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Cash flow from operating activities is the principal source of cash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fund our operating expenses, interest payments on debt, maintenance capital expenditures, and dividends to stockholders. During the nine months ended September 30, 2023, our net cash flows provided by operating activities were $369.9 million, primarily reflecting our net income before depreciation expense, amortization expense and other non-cash charges of $368.5 million and favorable changes in working capital of $1.4 million. The favorable changes in working capital primarily resulted from a decrease in accounts receivable due to the timing of collections, an increase in advanced ticket sales at our OEG venues, and an increase in advanced deposits at our hotel properties, partially offset by an increase in prepaid expenses primarily in advance of our upcoming holiday-themed programming.</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nine months ended September 30, 2022, our net cash flows provided by operating activities were</w:t>
      </w:r>
    </w:p>
    <w:p>
      <w:pPr>
        <w:spacing w:after="0" w:line="23" w:lineRule="exact"/>
        <w:rPr>
          <w:sz w:val="20"/>
          <w:szCs w:val="20"/>
          <w:color w:val="auto"/>
        </w:rPr>
      </w:pPr>
    </w:p>
    <w:p>
      <w:pPr>
        <w:ind w:left="60" w:right="179"/>
        <w:spacing w:after="0" w:line="292" w:lineRule="auto"/>
        <w:rPr>
          <w:sz w:val="20"/>
          <w:szCs w:val="20"/>
          <w:color w:val="auto"/>
        </w:rPr>
      </w:pPr>
      <w:r>
        <w:rPr>
          <w:rFonts w:ascii="Arial" w:cs="Arial" w:eastAsia="Arial" w:hAnsi="Arial"/>
          <w:sz w:val="16"/>
          <w:szCs w:val="16"/>
          <w:color w:val="auto"/>
        </w:rPr>
        <w:t>$246.0 million, primarily reflecting our net income before depreciation expense, amortization expense and other non-cash charges of $265.5 million, partially offset by unfavorable changes in working capital of $19.5 million. The unfavorable changes in working capital primarily resulted from an increase in accounts receivable due to an increase in group business at our Gaylord Hotels properties, partially offset by an increase in accounts payable and accrued liabilities related to increased advanced ticket purchases at our OEG venues and advanced deposits on future hotel room stays.</w:t>
      </w:r>
    </w:p>
    <w:p>
      <w:pPr>
        <w:spacing w:after="0" w:line="122"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i w:val="1"/>
          <w:iCs w:val="1"/>
          <w:color w:val="auto"/>
        </w:rPr>
        <w:t xml:space="preserve">Cash Flows Used In Investing Activities. </w:t>
      </w:r>
      <w:r>
        <w:rPr>
          <w:rFonts w:ascii="Arial" w:cs="Arial" w:eastAsia="Arial" w:hAnsi="Arial"/>
          <w:sz w:val="16"/>
          <w:szCs w:val="16"/>
          <w:color w:val="auto"/>
        </w:rPr>
        <w:t>During the nine months ended September 30, 2023, our primary uses of funds for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activities were the use of $791.5 million in net cash to purchase JW Marriott Hill Country and purchases of property and equipment, which totaled $122.2 million. Purchases of property and equipment consisted primarily of enhancements at Gaylord Rockies to better position the property for our group customers, the construction of Ole Red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Las Vegas, a rooms, restaurant and meeting space renovation at Gaylord Palms, enhancements to the offerings at Block 21, and ongoing maintenance capital expenditures for each of our existing properties.</w:t>
      </w:r>
    </w:p>
    <w:p>
      <w:pPr>
        <w:spacing w:after="0" w:line="143"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During the nine months ended September 30, 2022, our primary use of funds for investing activities were the use of $94.0 million in net cash to fund a portion of the purchase price of Block 21 and purchases of property and equipment, which totaled $48.2 million, and consisted primarily of the enhancements at Gaylord Rockies, a re-concepting of the food and beverage options at Gaylord National, the construction of Ole Red Nashville International Airport, and ongoing maintenance capital expenditures for each of our existing properties.</w:t>
      </w:r>
    </w:p>
    <w:p>
      <w:pPr>
        <w:spacing w:after="0" w:line="147"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i w:val="1"/>
          <w:iCs w:val="1"/>
          <w:color w:val="auto"/>
        </w:rPr>
        <w:t>Cash Flows Provided By Financing Activities</w:t>
      </w:r>
      <w:r>
        <w:rPr>
          <w:rFonts w:ascii="Arial" w:cs="Arial" w:eastAsia="Arial" w:hAnsi="Arial"/>
          <w:sz w:val="16"/>
          <w:szCs w:val="16"/>
          <w:color w:val="auto"/>
        </w:rPr>
        <w:t>. Our cash flows from financing activities primarily reflect the incurrence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of long-term debt, and the payment of cash dividends. During the nine months ended September 30, 2023, our net cash flows provided by financing activities were $769.9 million, primarily reflecting the issuance of the $400 Million</w:t>
      </w:r>
    </w:p>
    <w:p>
      <w:pPr>
        <w:spacing w:after="0" w:line="2" w:lineRule="exact"/>
        <w:rPr>
          <w:sz w:val="20"/>
          <w:szCs w:val="20"/>
          <w:color w:val="auto"/>
        </w:rPr>
      </w:pPr>
    </w:p>
    <w:p>
      <w:pPr>
        <w:ind w:left="60" w:right="159"/>
        <w:spacing w:after="0" w:line="277" w:lineRule="auto"/>
        <w:rPr>
          <w:sz w:val="20"/>
          <w:szCs w:val="20"/>
          <w:color w:val="auto"/>
        </w:rPr>
      </w:pPr>
      <w:r>
        <w:rPr>
          <w:rFonts w:ascii="Arial" w:cs="Arial" w:eastAsia="Arial" w:hAnsi="Arial"/>
          <w:sz w:val="17"/>
          <w:szCs w:val="17"/>
          <w:color w:val="auto"/>
        </w:rPr>
        <w:t>7.25% Senior Notes, $395.4 million in net proceeds from the issuance of approximately 4.4 million shares of our common stock, and the net borrowing of $122.5 million under our refinanced credit facility, partially offset by the payment of $115.9 million in cash dividends and the payment of $23.4 million in deferred financing costs.</w:t>
      </w:r>
    </w:p>
    <w:p>
      <w:pPr>
        <w:spacing w:after="0" w:line="132"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During the nine months ended September 30, 2022, our net cash flows provided by financing activities were $59.6 million, primarily reflecting the net proceeds for the OEG Transaction of $286.2 million and the issuance of the OEG term loan and the repayment of our then-existing term loan A, partially offset by the net repayment of $194.6 million under our various debt agreements and the payment of $15.2 million in deferred financing costs.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At September 30, 2023, we had $543.1 million in unrestricted cash and $750.4 million available for borrowing in the aggregate under our revolving credit facility and the OEG revolving credit facility. During the nine months ended September 30, 2023, we issued $400 million in new senior notes, received $395.4 million from the issuance of approximately 4.4 million shares of our common stock, net borrowed $118.2 million under our various debt agreements, used $791.5 million in net cash to purchase JW Marriott Hill Country, incurred capital expenditures of $122.2 million and paid $115.9 million in cash dividends. These changes, as well as the cash flows provided by operations discussed above, were the primary factors in the increase in our cash balance from December 31, 2022 to September 30, 2023.</w:t>
      </w:r>
    </w:p>
    <w:p>
      <w:pPr>
        <w:spacing w:after="0" w:line="12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anticipate investing in our operations during the remainder of 2023 by spending between approximately $55 million and $75 million in capital expenditures, which primarily includes enhancements at Gaylord Rockies to better position the property for our group customers, enhancements to the offerings at Block 21, the construction of Ole Red Las Vegas, and ongoing maintenance capital for each of our existing properties. Further, our dividend policy provides that we will make minimum dividends of 100% of REIT taxable income annually. Future dividends are subject to our board of directors’ future determinations as to amount and timing. Following completion of the one-year extension of the Gaylord Rockies Loan (as defined and discussed below), we currently have no debt maturities until July 2024. We believe we will be able to refinance our debt agreements prior to their maturities, including extension options.</w:t>
      </w:r>
    </w:p>
    <w:p>
      <w:pPr>
        <w:spacing w:after="0" w:line="151"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5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Our outstanding principal debt agreements are described below. At September 30, 2023, there were no defaults under the covenants related to our outstanding debt.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198"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May 18, 2023, we entered into a Credit Agreement (the “Credit Agreement”) among the Company, as a</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Credit Agreement provides for a $700.0 million revolving credit facility (the “Revolver”) and a $500.0 million senior secured term loan B (the “Term Loan B”), as well as an accordion feature that will allow us to increase the facilities following the closing date by an aggregate total of up to $475 million, which may be allocated between the Revolver and the Term Loan B at our option.</w:t>
      </w:r>
    </w:p>
    <w:p>
      <w:pPr>
        <w:spacing w:after="0" w:line="160"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Each of the Revolver and the Term Loan B is guaranteed by us, each of our subsidiaries that own the Gaylord Hotels properties, other than Gaylord Rockies,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Gaylord Rockies and OEG are not subject to the liens of the Credit Agreement.</w:t>
      </w:r>
    </w:p>
    <w:p>
      <w:pPr>
        <w:spacing w:after="0" w:line="152"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In addition, 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1"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maintain a consolidated net leverage ratio of not greater than 6.50x.</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of not less than 1.50x.</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secured indebtedness must not exceed 30% of consolidated total asset value.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secured recourse indebtedness must not exceed 10% of consolidated total asset value.</w:t>
      </w:r>
    </w:p>
    <w:p>
      <w:pPr>
        <w:spacing w:after="0" w:line="19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Unencumbered leverage ratio must not exceed 55% (with the ability to surge to 60% in connection with a material acquisition).</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Unencumbered adjusted NOI to unsecured interest expense ratio must not exceed 2.0x.</w:t>
      </w:r>
    </w:p>
    <w:p>
      <w:pPr>
        <w:spacing w:after="0" w:line="185"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8"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The maturity date of the Revolver is May 18, 2027, with the option to extend the maturity date</w:t>
      </w:r>
      <w:r>
        <w:rPr>
          <w:rFonts w:ascii="Arial" w:cs="Arial" w:eastAsia="Arial" w:hAnsi="Arial"/>
          <w:sz w:val="17"/>
          <w:szCs w:val="17"/>
          <w:i w:val="1"/>
          <w:iCs w:val="1"/>
          <w:color w:val="auto"/>
        </w:rPr>
        <w:t xml:space="preserve"> </w:t>
      </w:r>
      <w:r>
        <w:rPr>
          <w:rFonts w:ascii="Arial" w:cs="Arial" w:eastAsia="Arial" w:hAnsi="Arial"/>
          <w:sz w:val="17"/>
          <w:szCs w:val="17"/>
          <w:color w:val="auto"/>
        </w:rPr>
        <w:t>for a maximum of one additional year through either (i) a single 12-month extension option or (ii) two individual 6-month extensions. Borrowings under the Revolver bear interest at an annual rate equal to, at our option, either (i) Adjusted Term SOFR plus the applicable margin ranging from 1.40% to 2.00%, dependent upon our funded debt to total asset value ratio (as defined in the Credit Agreement), (ii) Adjusted Daily Simple SOFR plus the applicable margin ranging from 1.40% to 2.00%, dependent upon our funded debt to total asset value ratio (as defined in the Credit Agreement), or (iii) a base rate as set forth in the Credit Agreement plus the applicable margin ranging from 0.40% to 1.00%, dependent upon the our funded debt to total asset value ratio (as defined in the Credit Agreement). Principal is payable in full at maturity, and the Revolver was undrawn at closing.</w:t>
      </w:r>
    </w:p>
    <w:p>
      <w:pPr>
        <w:spacing w:after="0" w:line="140" w:lineRule="exact"/>
        <w:rPr>
          <w:sz w:val="20"/>
          <w:szCs w:val="20"/>
          <w:color w:val="auto"/>
        </w:rPr>
      </w:pPr>
    </w:p>
    <w:p>
      <w:pPr>
        <w:jc w:val="both"/>
        <w:ind w:left="60" w:right="259"/>
        <w:spacing w:after="0" w:line="259" w:lineRule="auto"/>
        <w:rPr>
          <w:sz w:val="20"/>
          <w:szCs w:val="20"/>
          <w:color w:val="auto"/>
        </w:rPr>
      </w:pPr>
      <w:r>
        <w:rPr>
          <w:rFonts w:ascii="Arial" w:cs="Arial" w:eastAsia="Arial" w:hAnsi="Arial"/>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4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At September 30, 2023, no amounts were outstanding under the Revolver, and the lending banks had issued $14.6 million of letters of credit under the Credit Agreement, which left $685.4 million of availability under the Revolver (subject to the satisfaction of debt incurrence tests under the indentures governing our $600 million in aggregate principal amount of senior notes due 2029 (the “$600 Million 4.50% Senior Notes”), our $700 million in aggregate principal amount of senior notes due 2027 (the “$700 Million 4.75% Senior Notes”) and our $400 Million 7.25% Senior Notes, which we met at September 30,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i w:val="1"/>
          <w:iCs w:val="1"/>
          <w:color w:val="auto"/>
        </w:rPr>
        <w:t xml:space="preserve">Term Loan B. </w:t>
      </w:r>
      <w:r>
        <w:rPr>
          <w:rFonts w:ascii="Arial" w:cs="Arial" w:eastAsia="Arial" w:hAnsi="Arial"/>
          <w:sz w:val="16"/>
          <w:szCs w:val="16"/>
          <w:color w:val="auto"/>
        </w:rPr>
        <w:t>The Term Loan B has a maturity date of May 18, 2030. The applicable interest rate margins for borrowings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 Loan B are, at our option, either (i) Term SOFR plus 2.75%, (ii) Daily Simple SOFR plus 2.75% or (iii) a base rate as set forth in the Credit Agreement plus 1.75%. At September 30, 2023, the interest rate on the Term Loan B was Term SOFR plus 2.75%.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At September 30, 2023, $497.5 million in borrowings were outstanding under the Term Loan B. A portion of the proceeds of the Term Loan B were used to repay in full the approximately $370 million balance of our previous term loan B.</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purposes of the Term Loan B, each of Term SOFR and Daily Simple SOFR are subject to a floor of 0.00%.</w:t>
      </w:r>
    </w:p>
    <w:p>
      <w:pPr>
        <w:spacing w:after="0" w:line="185"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3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color w:val="auto"/>
        </w:rPr>
        <w:t>The $700 Million 4.75% Senior Notes are currently redeemable, in whole or in part, at a redemption price expressed as a percentage of the principal amount thereof, which percentage is 102.375%, 101.188%, and 100.000% beginning on October 15 of 2023, 2024, and 2025, respectively, plus accrued and unpaid interest thereon to, but not including, the redemption date.</w:t>
      </w:r>
    </w:p>
    <w:p>
      <w:pPr>
        <w:spacing w:after="0" w:line="160"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i w:val="1"/>
          <w:iCs w:val="1"/>
          <w:color w:val="auto"/>
        </w:rPr>
        <w:t>$400 Million 7.25% Senior Notes</w:t>
      </w:r>
      <w:r>
        <w:rPr>
          <w:rFonts w:ascii="Arial" w:cs="Arial" w:eastAsia="Arial" w:hAnsi="Arial"/>
          <w:sz w:val="16"/>
          <w:szCs w:val="16"/>
          <w:color w:val="auto"/>
        </w:rPr>
        <w:t>. On June 22, 2023, the Operating Partnership and Finco completed the private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2"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7.25% per annum, payable semi-annually in cash in arrears on January 15 and July 15 each year, beginning on January 15, 2024. The $400 Million 7.25% Senior Notes are general unsecured and unsubordinated obligations of the issuing subsidiaries and rank equal in right of payment with such subsidiaries’ existing and future senior unsecured indebtedness, including the $700 Million 4.75% Senior Notes and $600 Million 4.50% Senior Notes, and senior in right of payment to future subordinated indebtedness, if any. The $400 Million 7.25% Senior Notes are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93" w:lineRule="auto"/>
        <w:rPr>
          <w:sz w:val="20"/>
          <w:szCs w:val="20"/>
          <w:color w:val="auto"/>
        </w:rPr>
      </w:pPr>
      <w:r>
        <w:rPr>
          <w:rFonts w:ascii="Arial" w:cs="Arial" w:eastAsia="Arial" w:hAnsi="Arial"/>
          <w:sz w:val="16"/>
          <w:szCs w:val="16"/>
          <w:color w:val="auto"/>
        </w:rPr>
        <w:t>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37"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The $400 Million 7.25% Senior Notes are redeemable before July 15, 2025, in whole or in part, at 100.00%, plus accrued and unpaid interest thereon to, but not including, the redemption date, plus a make-whole premium. The $400 Million</w:t>
      </w:r>
    </w:p>
    <w:p>
      <w:pPr>
        <w:ind w:left="60" w:right="159"/>
        <w:spacing w:after="0" w:line="253" w:lineRule="auto"/>
        <w:rPr>
          <w:sz w:val="20"/>
          <w:szCs w:val="20"/>
          <w:color w:val="auto"/>
        </w:rPr>
      </w:pPr>
      <w:r>
        <w:rPr>
          <w:rFonts w:ascii="Arial" w:cs="Arial" w:eastAsia="Arial" w:hAnsi="Arial"/>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5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w:t>
      </w:r>
    </w:p>
    <w:p>
      <w:pPr>
        <w:spacing w:after="0" w:line="143"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i w:val="1"/>
          <w:iCs w:val="1"/>
          <w:color w:val="auto"/>
        </w:rPr>
        <w:t>$600 Million 4.50% Senior Notes</w:t>
      </w:r>
      <w:r>
        <w:rPr>
          <w:rFonts w:ascii="Arial" w:cs="Arial" w:eastAsia="Arial" w:hAnsi="Arial"/>
          <w:sz w:val="16"/>
          <w:szCs w:val="16"/>
          <w:color w:val="auto"/>
        </w:rPr>
        <w:t>. On February 17, 2021,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5%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$700 Million 4.75%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9"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Each of the indentures governing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154"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i w:val="1"/>
          <w:iCs w:val="1"/>
          <w:color w:val="auto"/>
        </w:rPr>
        <w:t>$800 Million Term Loan (Gaylord Rockies)</w:t>
      </w:r>
      <w:r>
        <w:rPr>
          <w:rFonts w:ascii="Arial" w:cs="Arial" w:eastAsia="Arial" w:hAnsi="Arial"/>
          <w:sz w:val="16"/>
          <w:szCs w:val="16"/>
          <w:color w:val="auto"/>
        </w:rPr>
        <w:t>. On July 2, 2019, Aurora Convention Center Hotel, LLC (“Hotel Owner”) and</w:t>
      </w:r>
      <w:r>
        <w:rPr>
          <w:rFonts w:ascii="Arial" w:cs="Arial" w:eastAsia="Arial" w:hAnsi="Arial"/>
          <w:sz w:val="16"/>
          <w:szCs w:val="16"/>
          <w:i w:val="1"/>
          <w:iCs w:val="1"/>
          <w:color w:val="auto"/>
        </w:rPr>
        <w:t xml:space="preserve"> </w:t>
      </w:r>
      <w:r>
        <w:rPr>
          <w:rFonts w:ascii="Arial" w:cs="Arial" w:eastAsia="Arial" w:hAnsi="Arial"/>
          <w:sz w:val="16"/>
          <w:szCs w:val="16"/>
          <w:color w:val="auto"/>
        </w:rPr>
        <w:t>Aurora Convention Center Hotel Lessee, LLC (“Tenant” and collectively, with Hotel Owner, the “Loan Parties”), subsidiaries of the entities that comprised the joint venture that owned Gaylord Rockies (the “Gaylord Rockies joint venture”), entered into a Second Amended and Restated Loan Agreement (as amended, the “Gaylord Rockies Loan”) with Wells Fargo Bank, National Association, as administrative agent, which refinanced the Gaylord Rockies joint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venture’s previous $500 million construction loan and $39 million mezzanine loan, which were scheduled to mature in December 2019. The Gaylord Rockies Loan consists of an $800.0 million secured term loan facility, matures July 2, 2024 with two, one-year extension options remaining, subject to certain requirements in the Gaylord Rockies Loan. The first one-year extension option was successfully completed in May 2023. The Gaylord Rockies Loan bears interest at Adjusted Daily Simple SOFR plus 2.50%. We have entered into an interest rate swap to fix the SOFR portion of the interest rate at 5.2105% for the fifth year of the loan. We have designated this interest rate swap as an effective cash flow hedge.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Gaylord Rockies Loan is secured by a deed of trust lien on the Gaylord Rockies real estate and related assets.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Generally, the Gaylord Rockies Loan is non-recourse to the Company, subject to customary non-recourse carve-outs.</w:t>
      </w:r>
    </w:p>
    <w:p>
      <w:pPr>
        <w:spacing w:after="0" w:line="222"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On June 30,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and (ii) provide favorable changes to the debt service coverage ratio provisions. The Loan Amendment includes restrictions on distributions to our subsidiaries that own Gaylord Rockies.</w:t>
      </w:r>
    </w:p>
    <w:p>
      <w:pPr>
        <w:spacing w:after="0" w:line="17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Further, on May 2, 2023, the Loan Parties entered into a Benchmark Replacement Modification Agreement to the Gaylord Rockies Loan Agreement, which replaced LIBOR with Adjusted Daily Simple SOFR.</w:t>
      </w:r>
    </w:p>
    <w:p>
      <w:pPr>
        <w:spacing w:after="0" w:line="170"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i w:val="1"/>
          <w:iCs w:val="1"/>
          <w:color w:val="auto"/>
        </w:rPr>
        <w:t>OEG Credit Agreement</w:t>
      </w:r>
      <w:r>
        <w:rPr>
          <w:rFonts w:ascii="Arial" w:cs="Arial" w:eastAsia="Arial" w:hAnsi="Arial"/>
          <w:sz w:val="16"/>
          <w:szCs w:val="16"/>
          <w:color w:val="auto"/>
        </w:rPr>
        <w:t>. On June 16, 2022, OEG Borrower, LLC (“OEG Borrower”) and OEG Finance, LLC (“OEG</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(ii) Adjusted Term SOFR plus 5.00% (all as specifically more described in the OEG Credit Agreement). The OEG Revolver bears interest at a rate equal to either, at OEG Borrower’s election, (i) the Alternate Base Rate plus 3.75% or (ii) Adjusted Term SOFR plus 4.50%,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and include customary financial covenants and restrictions. The net proceeds we received from the OEG Term Loan were used to repay the outstanding balance of our former $300 million Term Loan A. At September 30, 2023, $297.0 million was outstanding under the OEG Term Loan and there were no amounts outstanding under the OEG Revolver.</w:t>
      </w:r>
    </w:p>
    <w:p>
      <w:pPr>
        <w:spacing w:after="0" w:line="174"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i w:val="1"/>
          <w:iCs w:val="1"/>
          <w:color w:val="auto"/>
        </w:rPr>
        <w:t>Block 21 CMBS Loan</w:t>
      </w:r>
      <w:r>
        <w:rPr>
          <w:rFonts w:ascii="Arial" w:cs="Arial" w:eastAsia="Arial" w:hAnsi="Arial"/>
          <w:sz w:val="18"/>
          <w:szCs w:val="18"/>
          <w:color w:val="auto"/>
        </w:rPr>
        <w:t>. At the closing of the purchase of Block 21 on May 31, 2022, a subsidiary of the Company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the $136 million, ten-year, non-recourse term loan secured by a mortgage on Block 21 (the “Block 21 CMBS Loan”). The Block 21 CMBS Loan has a fixed interest rate of 5.58% per annum, payable monthly, matures January 5, 2026, and payments are due monthly based on a 30-year amortization. At September 30, 2023, $132.6 million was outstanding under the Block 21 CMBS Loan.</w:t>
      </w:r>
    </w:p>
    <w:p>
      <w:pPr>
        <w:spacing w:after="0" w:line="161"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During a Trigger Period, any cash generated in excess of amounts necessary to fund loan obligations, budgeted operating expenses and specified reserves will not be distributed to Block 21. Block 21 was in a Trigger Period as of our purchase date but exited the Trigger Period with first quarter 2023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i w:val="1"/>
          <w:iCs w:val="1"/>
          <w:color w:val="auto"/>
        </w:rPr>
        <w:t>Additional Debt Limitations</w:t>
      </w:r>
      <w:r>
        <w:rPr>
          <w:rFonts w:ascii="Arial" w:cs="Arial" w:eastAsia="Arial" w:hAnsi="Arial"/>
          <w:sz w:val="16"/>
          <w:szCs w:val="16"/>
          <w:color w:val="auto"/>
        </w:rPr>
        <w:t>. Pursuant to the terms of the management agreements and pooling agreement with Marriott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Gaylord Hotels properties, excluding Gaylord Rockies, we are subject to certain debt limitations described below.</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7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Estimated Interest on Principal Debt Agreements</w:t>
      </w:r>
    </w:p>
    <w:p>
      <w:pPr>
        <w:spacing w:after="0" w:line="185"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Based on the stated interest rates on our fixed-rate debt and the rates in effect at September 30, 2023 for our variable-rate debt after considering interest rate swaps, our estimated interest obligations through 2027 are $724.3 million. These estimated obligations are $55.8 million for the remainder of 2023, $194.7 million in 2024, $165.8 million in 2025, $157.9 million in 2026, and $150.2 million in 2027.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2022 for a discussion of the interest we paid during 2022, 2021 and 2020.</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Inflation</w:t>
      </w:r>
    </w:p>
    <w:p>
      <w:pPr>
        <w:spacing w:after="0" w:line="18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Inflation has had a more meaningful impact on our business during recent periods than in historical periods. However, favorable occupancy, ADR and outside-the-room spend in our Hospitality segment and business levels in our Entertainment segment have reduced the impact of increased operating costs, including increased wages and food and beverage costs, on our financial position and results of operations. 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198"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The Company’s $400 Million 7.25% Senior Notes,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color w:val="auto"/>
        </w:rPr>
        <w:t>have guaranteed these senior notes, and the guarantees are structurally subordinated to all indebtedness and other obligations of such subsidiaries that have not guaranteed these senior notes.</w:t>
      </w:r>
    </w:p>
    <w:p>
      <w:pPr>
        <w:spacing w:after="0" w:line="143"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1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2,525,484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2,525,484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payables due to non-guarantor subsidiaries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2,380,652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2,422,366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Total noncontrolling interest</w:t>
            </w: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September 30,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non-guarantor subsidiaries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 (excluding expenses to non-guarantor subsidiaries)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 to non-guarantor subsidiaries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non-guarantor subsidiaries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depreciation and amortization, income taxes,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2022. There were no newly identified critical accounting policies in the first nine months of 2023, nor were there any material changes to the critical accounting policies and estimates discussed in our Annual Report on Form 10-K for the year ended December 31, 2022.</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There have been no material changes in our quantitative and qualitative market risks since December 31, 2022. For a discussion of the Company’s exposure to market risk, refer to the Company’s market risk disclosures set forth in Part II, Item 7A. “Quantitative and Qualitative Disclosures About Market Risk” of the Company’s Annual Report on Form 10-K for the year ended December 31, 2022.</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39"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83"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On June 30, 2023, we acquired JW Marriott Hill Country. We are currently in the process of assessing JW Marriott Hill Country’s internal control over financial reporting and integrating the entity’s internal control over financial reporting with our existing internal control over financial reporting. As permitted by SEC regulations, we intend to exclude JW Marriott Hill Country from our assessment of internal control over financial reporting as of December 31, 2023.</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is a party to certain litigation in the ordinary course, as described in Note 15, “Commitments and Contingencies,” to our condensed consolidated financial statements included herein and which our management deems will not have a material effect on our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Except as otherwise described herein, there have been no material changes from the risk factors disclosed in Part I, Item 1A, “Risk Factors,” of our Annual Report on Form 10-K for the fiscal year ended December 31, 2022.</w:t>
      </w:r>
    </w:p>
    <w:p>
      <w:pPr>
        <w:spacing w:after="0" w:line="10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Our financial and operating results may suffer if we are unsuccessful in integrating JW Marriott Hill Country with our existing assets.</w:t>
      </w:r>
    </w:p>
    <w:p>
      <w:pPr>
        <w:spacing w:after="0" w:line="130"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If we are unable to successfully integrate JW Marriott Hill Country with our other assets in an efficient and effective manner, the anticipated benefits of the JW Marriott Hill Country transaction may not be realized fully, or at all, or may take longer to realize than expected and may not meet estimated growth projections or expectations. Further, we may not achieve the projected efficiencies and synergies once we have fully integrated JW Marriott Hill Country into our operations, which may lead to additional costs not anticipated at the time of the JW Marriott Hill Country transaction. An inability to realize the full extent of the anticipated benefits of the JW Marriott Hill Country transaction or any delays encountered in the integration process could have an adverse effect on our results of operations, cash flows and financial position.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Integrating JW Marriott Hill Country may be more difficult, costly or time consuming than expected.</w:t>
      </w:r>
    </w:p>
    <w:p>
      <w:pPr>
        <w:spacing w:after="0" w:line="18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integration of JW Marriott Hill Country with our other assets will require the dedication of significant management resources, which may distract management’s attention from day-to-day business operations. San Antonio, Texas is a new market for us, and our relative unfamiliarity with the market may result in our having to devote additional time and expense to gain familiarity with the market and effectively manage this asset. Many of these factors will be outside of our control and any one of them could result in delays, increased costs, decreases in revenues and diversion of management’s time and energy from ongoing business concerns, which could materially affect our financial position, results of operations and cash flows.</w:t>
      </w:r>
    </w:p>
    <w:p>
      <w:pPr>
        <w:spacing w:after="0" w:line="154" w:lineRule="exact"/>
        <w:rPr>
          <w:sz w:val="20"/>
          <w:szCs w:val="20"/>
          <w:color w:val="auto"/>
        </w:rPr>
      </w:pPr>
    </w:p>
    <w:p>
      <w:pPr>
        <w:jc w:val="both"/>
        <w:ind w:left="60" w:right="659"/>
        <w:spacing w:after="0" w:line="381" w:lineRule="auto"/>
        <w:rPr>
          <w:sz w:val="20"/>
          <w:szCs w:val="20"/>
          <w:color w:val="auto"/>
        </w:rPr>
      </w:pPr>
      <w:r>
        <w:rPr>
          <w:rFonts w:ascii="Arial" w:cs="Arial" w:eastAsia="Arial" w:hAnsi="Arial"/>
          <w:sz w:val="15"/>
          <w:szCs w:val="15"/>
          <w:b w:val="1"/>
          <w:bCs w:val="1"/>
          <w:i w:val="1"/>
          <w:iCs w:val="1"/>
          <w:color w:val="auto"/>
        </w:rPr>
        <w:t>Each of our Gaylord Hotels properties and JW Marriott Hill Country operate under a brand owned by Marriott; therefore, we are subject to risks associated with concentrating our hotel portfolio in brands owned by Marriott.</w:t>
      </w:r>
    </w:p>
    <w:p>
      <w:pPr>
        <w:spacing w:after="0" w:line="73"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Each of our hotel properties are managed by Marriott under Marriott-owned brands, including JW Marriott Hill Country, which is managed under the JW Marriott brand. As a result, our success is dependent in part on the continued success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59" w:lineRule="auto"/>
        <w:rPr>
          <w:sz w:val="20"/>
          <w:szCs w:val="20"/>
          <w:color w:val="auto"/>
        </w:rPr>
      </w:pPr>
      <w:r>
        <w:rPr>
          <w:rFonts w:ascii="Arial" w:cs="Arial" w:eastAsia="Arial" w:hAnsi="Arial"/>
          <w:sz w:val="18"/>
          <w:szCs w:val="18"/>
          <w:color w:val="auto"/>
        </w:rPr>
        <w:t>Marriott and, in particular, the Gaylord Hotels and JW Marriott brands. Consequently, if market recognition or the positive perception of Marriott is reduced or compromised, the goodwill associated with the Gaylord Hotels and JW Marriott hotel in our portfolio may be adversely affected, which could negatively impact our financial condition, results of operations and our ability to service debt and make distributions to our stockholders.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During the fiscal quarter ended September 30, 2023, no director or Section 16 officer adopted or terminated any Rule 10b5-1 trading arrangements or non-Rule 10b5-1 trading arrangements (in each case, as defined in Item 408(a) of Regulation S-K).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9"/>
          </w:tcPr>
          <w:p>
            <w:pPr>
              <w:ind w:left="300"/>
              <w:spacing w:after="0"/>
              <w:rPr>
                <w:sz w:val="20"/>
                <w:szCs w:val="20"/>
                <w:color w:val="auto"/>
              </w:rPr>
            </w:pPr>
            <w:r>
              <w:rPr>
                <w:rFonts w:ascii="Arial" w:cs="Arial" w:eastAsia="Arial" w:hAnsi="Arial"/>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6"/>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Amended and Restated Certificate of Incorporation of Ryman Hospitality Properties, Inc.</w:t>
              </w:r>
            </w:hyperlink>
          </w:p>
        </w:tc>
        <w:tc>
          <w:tcPr>
            <w:tcW w:w="100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October 1, 2012).</w:t>
              </w:r>
            </w:hyperlink>
          </w:p>
        </w:tc>
        <w:tc>
          <w:tcPr>
            <w:tcW w:w="5460" w:type="dxa"/>
            <w:vAlign w:val="bottom"/>
            <w:tcBorders>
              <w:top w:val="single" w:sz="8" w:color="0000EE"/>
            </w:tcBorders>
            <w:gridSpan w:val="6"/>
          </w:tcPr>
          <w:p>
            <w:pPr>
              <w:spacing w:after="0"/>
              <w:rPr>
                <w:sz w:val="17"/>
                <w:szCs w:val="17"/>
                <w:color w:val="auto"/>
              </w:rPr>
            </w:pPr>
          </w:p>
        </w:tc>
        <w:tc>
          <w:tcPr>
            <w:tcW w:w="700" w:type="dxa"/>
            <w:vAlign w:val="bottom"/>
            <w:gridSpan w:val="4"/>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6820" w:type="dxa"/>
            <w:vAlign w:val="bottom"/>
            <w:tcBorders>
              <w:bottom w:val="single" w:sz="8" w:color="0000EE"/>
            </w:tcBorders>
            <w:gridSpan w:val="9"/>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Second Amended and Restated Bylaws of Ryman Hospitality Properties, Inc. (incorporated by</w:t>
              </w:r>
            </w:hyperlink>
          </w:p>
        </w:tc>
        <w:tc>
          <w:tcPr>
            <w:tcW w:w="62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reference to Exhibit 3.2 to the Company’s Annual Report on Form 10-K filed February 24, 2023).</w:t>
              </w:r>
            </w:hyperlink>
          </w:p>
        </w:tc>
        <w:tc>
          <w:tcPr>
            <w:tcW w:w="380" w:type="dxa"/>
            <w:vAlign w:val="bottom"/>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3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List of Parent and Subsidiary Guarantors.</w:t>
            </w:r>
          </w:p>
        </w:tc>
        <w:tc>
          <w:tcPr>
            <w:tcW w:w="4440" w:type="dxa"/>
            <w:vAlign w:val="bottom"/>
            <w:gridSpan w:val="9"/>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of Mark Fioravanti pursuant to Section 302 of Sarbanes-Oxley Act of 2002.</w:t>
            </w:r>
          </w:p>
        </w:tc>
        <w:tc>
          <w:tcPr>
            <w:tcW w:w="1020" w:type="dxa"/>
            <w:vAlign w:val="bottom"/>
            <w:gridSpan w:val="7"/>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Jennifer Hutcheson pursuant to Section 302 of Sarbanes-Oxley Act of 2002.</w:t>
            </w:r>
          </w:p>
        </w:tc>
        <w:tc>
          <w:tcPr>
            <w:tcW w:w="800" w:type="dxa"/>
            <w:vAlign w:val="bottom"/>
            <w:gridSpan w:val="5"/>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0000EE"/>
                <w:w w:val="98"/>
              </w:rPr>
              <w:t>Certification of Mark Fioravanti and Jennifer Hutcheson pursuant to 18 U.S.C. Section 1350, as</w:t>
            </w: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adopted pursuant to Section 906 of Sarbanes-Oxley Act of 2002.</w:t>
            </w:r>
          </w:p>
        </w:tc>
        <w:tc>
          <w:tcPr>
            <w:tcW w:w="54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r>
      <w:tr>
        <w:trPr>
          <w:trHeight w:val="438"/>
        </w:trPr>
        <w:tc>
          <w:tcPr>
            <w:tcW w:w="1240" w:type="dxa"/>
            <w:vAlign w:val="bottom"/>
          </w:tcPr>
          <w:p>
            <w:pPr>
              <w:ind w:left="4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w w:val="93"/>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w w:val="98"/>
              </w:rPr>
              <w:t>the quarterly period ended September 30, 2023, formatted in Inline XBRL (eXtensible Business</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w w:val="90"/>
              </w:rPr>
              <w:t>Reporting Language): (i) Condensed Consolidated Balance Sheets (unaudited) at September 30, 2023</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w w:val="92"/>
              </w:rPr>
              <w:t>and December 31, 2022, (ii) Condensed Consolidated Statements of Operations and Comprehensive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rPr>
              <w:t>Income (unaudited) for the three and nine months ended September 30, 2023 and 2022,</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w w:val="98"/>
              </w:rPr>
              <w:t>(iii) Condensed Consolidated Statements of Cash Flows (unaudited) for the nine months ended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rPr>
              <w:t>September 30, 2023 and 2022, (iv) Condensed Consolidated Statements of Equity (Deficit)</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w w:val="96"/>
              </w:rPr>
              <w:t>(unaudited) for the three and nine months ended September 30, 2023 and 2022, and (v) Notes to</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rPr>
              <w:t>Condensed Consolidated Financial Statements (unaudited).</w:t>
            </w:r>
          </w:p>
        </w:tc>
      </w:tr>
      <w:tr>
        <w:trPr>
          <w:trHeight w:val="432"/>
        </w:trPr>
        <w:tc>
          <w:tcPr>
            <w:tcW w:w="1240" w:type="dxa"/>
            <w:vAlign w:val="bottom"/>
          </w:tcPr>
          <w:p>
            <w:pPr>
              <w:ind w:left="48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44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7, 2023</w:t>
            </w: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By:/s/ Mark Fioravanti</w:t>
            </w:r>
          </w:p>
        </w:tc>
      </w:tr>
      <w:tr>
        <w:trPr>
          <w:trHeight w:val="195"/>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By:/s/ Jennifer Hutcheson</w:t>
            </w:r>
          </w:p>
        </w:tc>
      </w:tr>
      <w:tr>
        <w:trPr>
          <w:trHeight w:val="195"/>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22"/>
          <w:szCs w:val="22"/>
          <w:b w:val="1"/>
          <w:bCs w:val="1"/>
          <w:color w:val="auto"/>
        </w:rPr>
        <w:t>Exhibit 22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List of Parent and Subsidiary Guarantors</w:t>
      </w:r>
    </w:p>
    <w:p>
      <w:pPr>
        <w:spacing w:after="0" w:line="266" w:lineRule="exact"/>
        <w:rPr>
          <w:sz w:val="20"/>
          <w:szCs w:val="20"/>
          <w:color w:val="auto"/>
        </w:rPr>
      </w:pPr>
    </w:p>
    <w:p>
      <w:pPr>
        <w:ind w:left="200" w:right="399"/>
        <w:spacing w:after="0" w:line="288" w:lineRule="auto"/>
        <w:rPr>
          <w:sz w:val="20"/>
          <w:szCs w:val="20"/>
          <w:color w:val="auto"/>
        </w:rPr>
      </w:pPr>
      <w:r>
        <w:rPr>
          <w:rFonts w:ascii="Arial" w:cs="Arial" w:eastAsia="Arial" w:hAnsi="Arial"/>
          <w:sz w:val="19"/>
          <w:szCs w:val="19"/>
          <w:color w:val="auto"/>
        </w:rPr>
        <w:t>Ryman Hospitality Properties, Inc., a Delaware corporation (the “Company”), as the parent company, serves as guarantor, and each of the below listed subsidiaries of the Company serves as an issuer or guarantor, as applicable, for the Company’s (i) 4.75% Senior Notes due 2027, (ii)</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4.50% Senior Notes due 2029 and (iii) 7.25% Senior Notes due 2028.</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2420" w:type="dxa"/>
            <w:vAlign w:val="bottom"/>
          </w:tcPr>
          <w:p>
            <w:pPr>
              <w:spacing w:after="0"/>
              <w:rPr>
                <w:sz w:val="20"/>
                <w:szCs w:val="20"/>
                <w:color w:val="auto"/>
              </w:rPr>
            </w:pPr>
            <w:r>
              <w:rPr>
                <w:rFonts w:ascii="Arial" w:cs="Arial" w:eastAsia="Arial" w:hAnsi="Arial"/>
                <w:sz w:val="22"/>
                <w:szCs w:val="22"/>
                <w:b w:val="1"/>
                <w:bCs w:val="1"/>
                <w:color w:val="auto"/>
                <w:w w:val="88"/>
              </w:rPr>
              <w:t>Exact Name of Subsidiary</w:t>
            </w:r>
          </w:p>
        </w:tc>
        <w:tc>
          <w:tcPr>
            <w:tcW w:w="7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22"/>
                <w:szCs w:val="22"/>
                <w:b w:val="1"/>
                <w:bCs w:val="1"/>
                <w:color w:val="auto"/>
                <w:w w:val="88"/>
              </w:rPr>
              <w:t>Jurisdiction of Organization</w:t>
            </w:r>
          </w:p>
        </w:tc>
        <w:tc>
          <w:tcPr>
            <w:tcW w:w="540" w:type="dxa"/>
            <w:vAlign w:val="bottom"/>
          </w:tcPr>
          <w:p>
            <w:pPr>
              <w:spacing w:after="0"/>
              <w:rPr>
                <w:sz w:val="21"/>
                <w:szCs w:val="21"/>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b w:val="1"/>
                <w:bCs w:val="1"/>
                <w:color w:val="auto"/>
                <w:w w:val="99"/>
              </w:rPr>
              <w:t>Type of Obligor</w:t>
            </w:r>
          </w:p>
        </w:tc>
      </w:tr>
      <w:tr>
        <w:trPr>
          <w:trHeight w:val="20"/>
        </w:trPr>
        <w:tc>
          <w:tcPr>
            <w:tcW w:w="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9"/>
        </w:trPr>
        <w:tc>
          <w:tcPr>
            <w:tcW w:w="8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22"/>
                <w:szCs w:val="22"/>
                <w:color w:val="auto"/>
                <w:w w:val="96"/>
              </w:rPr>
              <w:t>RHP Hotel Properties, LP</w:t>
            </w:r>
          </w:p>
        </w:tc>
        <w:tc>
          <w:tcPr>
            <w:tcW w:w="7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22"/>
                <w:szCs w:val="22"/>
                <w:color w:val="auto"/>
              </w:rPr>
              <w:t>Delaware</w:t>
            </w:r>
          </w:p>
        </w:tc>
        <w:tc>
          <w:tcPr>
            <w:tcW w:w="540" w:type="dxa"/>
            <w:vAlign w:val="bottom"/>
          </w:tcPr>
          <w:p>
            <w:pPr>
              <w:spacing w:after="0"/>
              <w:rPr>
                <w:sz w:val="23"/>
                <w:szCs w:val="23"/>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Finance Corporation</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Opryland Hospitality,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Tennessee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Hotels,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Partner,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GP, LP</w:t>
            </w:r>
          </w:p>
        </w:tc>
        <w:tc>
          <w:tcPr>
            <w:tcW w:w="316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LP</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NH,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74"/>
        </w:trPr>
        <w:tc>
          <w:tcPr>
            <w:tcW w:w="80" w:type="dxa"/>
            <w:vAlign w:val="bottom"/>
          </w:tcPr>
          <w:p>
            <w:pPr>
              <w:spacing w:after="0"/>
              <w:rPr>
                <w:sz w:val="23"/>
                <w:szCs w:val="23"/>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SA,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807"/>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20" w:firstLine="656"/>
        <w:spacing w:after="0" w:line="286" w:lineRule="auto"/>
        <w:tabs>
          <w:tab w:leader="none" w:pos="1296"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6"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38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80" w:firstLine="656"/>
        <w:spacing w:after="0" w:line="263"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983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20" w:firstLine="656"/>
        <w:spacing w:after="0" w:line="311" w:lineRule="auto"/>
        <w:tabs>
          <w:tab w:leader="none" w:pos="1328"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40" w:firstLine="656"/>
        <w:spacing w:after="0" w:line="286"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80" w:firstLine="8"/>
        <w:spacing w:after="0" w:line="263"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60" w:firstLine="656"/>
        <w:spacing w:after="0" w:line="263" w:lineRule="auto"/>
        <w:tabs>
          <w:tab w:leader="none" w:pos="13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4517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Jennifer Hutcheson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September 30, 2023, as filed with the Securities and Exchange Commission on the date hereof (the "Report"), each of the undersigned certifies, pursuant to 18 U.S.C. § 1350, as adopted pursuant to §906 of the Sarbanes-Oxley Act of 2002, that:</w:t>
      </w:r>
    </w:p>
    <w:p>
      <w:pPr>
        <w:spacing w:after="0" w:line="165" w:lineRule="exact"/>
        <w:rPr>
          <w:sz w:val="20"/>
          <w:szCs w:val="20"/>
          <w:color w:val="auto"/>
        </w:rPr>
      </w:pPr>
    </w:p>
    <w:p>
      <w:pPr>
        <w:ind w:left="1280" w:hanging="624"/>
        <w:spacing w:after="0"/>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240" w:firstLine="656"/>
        <w:spacing w:after="0" w:line="277" w:lineRule="auto"/>
        <w:tabs>
          <w:tab w:leader="none" w:pos="1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November 7, 2023</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Jennifer Hutcheson</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and Chief Accounting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November 7, 2023</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upperLetter"/>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9" Type="http://schemas.openxmlformats.org/officeDocument/2006/relationships/hyperlink" Target="http://www.sec.gov/Archives/edgar/data/1040829/000119312512410191/d419132dex31.htm" TargetMode="External"/><Relationship Id="rId60" Type="http://schemas.openxmlformats.org/officeDocument/2006/relationships/hyperlink" Target="https://www.sec.gov/Archives/edgar/data/1040829/000155837023002012/rhp-20221231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2023-11-07T13:53:23Z</dcterms:created>
  <dcterms:modified xsi:type="dcterms:W3CDTF">2023-11-07T13:53:23Z</dcterms:modified>
</cp:coreProperties>
</file>