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428625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166" w:lineRule="exact"/>
        <w:rPr>
          <w:sz w:val="24"/>
          <w:szCs w:val="24"/>
          <w:color w:val="auto"/>
        </w:rPr>
      </w:pPr>
    </w:p>
    <w:p>
      <w:pPr>
        <w:ind w:left="3340" w:right="980" w:hanging="3332"/>
        <w:spacing w:after="0" w:line="282" w:lineRule="auto"/>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 For the quarterly period ended June 30, 2024</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185" w:lineRule="exact"/>
        <w:rPr>
          <w:sz w:val="24"/>
          <w:szCs w:val="24"/>
          <w:color w:val="auto"/>
        </w:rPr>
      </w:pPr>
    </w:p>
    <w:p>
      <w:pPr>
        <w:ind w:left="3740" w:right="960" w:hanging="3732"/>
        <w:spacing w:after="0" w:line="282" w:lineRule="auto"/>
        <w:tabs>
          <w:tab w:leader="none" w:pos="258"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Commission file number 1-13079</w:t>
      </w:r>
    </w:p>
    <w:p>
      <w:pPr>
        <w:spacing w:after="0" w:line="117"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b w:val="1"/>
          <w:bCs w:val="1"/>
          <w:u w:val="single" w:color="auto"/>
          <w:color w:val="auto"/>
        </w:rPr>
        <w:t>RYMAN HOSPITALITY PROPERTIES, INC.</w:t>
      </w:r>
    </w:p>
    <w:p>
      <w:pPr>
        <w:spacing w:after="0" w:line="31"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67" w:lineRule="exact"/>
        <w:rPr>
          <w:sz w:val="24"/>
          <w:szCs w:val="24"/>
          <w:color w:val="auto"/>
        </w:rPr>
      </w:pPr>
    </w:p>
    <w:tbl>
      <w:tblPr>
        <w:tblLayout w:type="fixed"/>
        <w:tblInd w:w="1340" w:type="dxa"/>
        <w:tblCellMar>
          <w:top w:w="0" w:type="dxa"/>
          <w:left w:w="0" w:type="dxa"/>
          <w:bottom w:w="0" w:type="dxa"/>
          <w:right w:w="0" w:type="dxa"/>
        </w:tblCellMar>
      </w:tblPr>
      <w:tr>
        <w:trPr>
          <w:trHeight w:val="207"/>
        </w:trPr>
        <w:tc>
          <w:tcPr>
            <w:tcW w:w="760" w:type="dxa"/>
            <w:vAlign w:val="bottom"/>
          </w:tcPr>
          <w:p>
            <w:pPr>
              <w:spacing w:after="0"/>
              <w:rPr>
                <w:sz w:val="17"/>
                <w:szCs w:val="17"/>
                <w:color w:val="auto"/>
              </w:rPr>
            </w:pPr>
          </w:p>
        </w:tc>
        <w:tc>
          <w:tcPr>
            <w:tcW w:w="4520" w:type="dxa"/>
            <w:vAlign w:val="bottom"/>
            <w:gridSpan w:val="2"/>
          </w:tcPr>
          <w:p>
            <w:pPr>
              <w:jc w:val="center"/>
              <w:ind w:right="3750"/>
              <w:spacing w:after="0"/>
              <w:rPr>
                <w:sz w:val="20"/>
                <w:szCs w:val="20"/>
                <w:color w:val="auto"/>
              </w:rPr>
            </w:pPr>
            <w:r>
              <w:rPr>
                <w:rFonts w:ascii="Times New Roman" w:cs="Times New Roman" w:eastAsia="Times New Roman" w:hAnsi="Times New Roman"/>
                <w:sz w:val="18"/>
                <w:szCs w:val="18"/>
                <w:color w:val="auto"/>
                <w:w w:val="98"/>
              </w:rPr>
              <w:t>Delaware</w:t>
            </w:r>
          </w:p>
        </w:tc>
        <w:tc>
          <w:tcPr>
            <w:tcW w:w="154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color w:val="auto"/>
              </w:rPr>
              <w:t>73-0664379</w:t>
            </w:r>
          </w:p>
        </w:tc>
      </w:tr>
      <w:tr>
        <w:trPr>
          <w:trHeight w:val="20"/>
        </w:trPr>
        <w:tc>
          <w:tcPr>
            <w:tcW w:w="7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8"/>
        </w:trPr>
        <w:tc>
          <w:tcPr>
            <w:tcW w:w="5280" w:type="dxa"/>
            <w:vAlign w:val="bottom"/>
            <w:gridSpan w:val="3"/>
          </w:tcPr>
          <w:p>
            <w:pPr>
              <w:jc w:val="center"/>
              <w:ind w:right="299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154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5280" w:type="dxa"/>
            <w:vAlign w:val="bottom"/>
            <w:gridSpan w:val="3"/>
          </w:tcPr>
          <w:p>
            <w:pPr>
              <w:jc w:val="center"/>
              <w:ind w:right="299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54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46"/>
        </w:trPr>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4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rPr>
              <w:t>One Gaylord Drive</w:t>
            </w: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16"/>
        </w:trPr>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4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8"/>
              </w:rPr>
              <w:t>Nashville, Tennessee 37214</w:t>
            </w: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4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4"/>
        </w:trPr>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4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rPr>
              <w:t>(Zip Code)</w:t>
            </w: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(615) 316-6000</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3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360"/>
        </w:trPr>
        <w:tc>
          <w:tcPr>
            <w:tcW w:w="7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w:t>
            </w:r>
          </w:p>
        </w:tc>
      </w:tr>
      <w:tr>
        <w:trPr>
          <w:trHeight w:val="234"/>
        </w:trPr>
        <w:tc>
          <w:tcPr>
            <w:tcW w:w="740" w:type="dxa"/>
            <w:vAlign w:val="bottom"/>
          </w:tcPr>
          <w:p>
            <w:pPr>
              <w:spacing w:after="0"/>
              <w:rPr>
                <w:sz w:val="20"/>
                <w:szCs w:val="20"/>
                <w:color w:val="auto"/>
              </w:rPr>
            </w:pPr>
          </w:p>
        </w:tc>
        <w:tc>
          <w:tcPr>
            <w:tcW w:w="34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Title of Each Class</w:t>
            </w:r>
          </w:p>
        </w:tc>
        <w:tc>
          <w:tcPr>
            <w:tcW w:w="19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Which Registered</w:t>
            </w:r>
          </w:p>
        </w:tc>
      </w:tr>
      <w:tr>
        <w:trPr>
          <w:trHeight w:val="228"/>
        </w:trPr>
        <w:tc>
          <w:tcPr>
            <w:tcW w:w="740" w:type="dxa"/>
            <w:vAlign w:val="bottom"/>
          </w:tcPr>
          <w:p>
            <w:pPr>
              <w:spacing w:after="0"/>
              <w:rPr>
                <w:sz w:val="19"/>
                <w:szCs w:val="19"/>
                <w:color w:val="auto"/>
              </w:rPr>
            </w:pPr>
          </w:p>
        </w:tc>
        <w:tc>
          <w:tcPr>
            <w:tcW w:w="3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$.01</w:t>
            </w:r>
          </w:p>
        </w:tc>
        <w:tc>
          <w:tcPr>
            <w:tcW w:w="380" w:type="dxa"/>
            <w:vAlign w:val="bottom"/>
          </w:tcPr>
          <w:p>
            <w:pPr>
              <w:spacing w:after="0"/>
              <w:rPr>
                <w:sz w:val="19"/>
                <w:szCs w:val="19"/>
                <w:color w:val="auto"/>
              </w:rPr>
            </w:pPr>
          </w:p>
        </w:tc>
        <w:tc>
          <w:tcPr>
            <w:tcW w:w="1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RHP</w:t>
            </w:r>
          </w:p>
        </w:tc>
        <w:tc>
          <w:tcPr>
            <w:tcW w:w="320" w:type="dxa"/>
            <w:vAlign w:val="bottom"/>
          </w:tcPr>
          <w:p>
            <w:pPr>
              <w:spacing w:after="0"/>
              <w:rPr>
                <w:sz w:val="19"/>
                <w:szCs w:val="19"/>
                <w:color w:val="auto"/>
              </w:rPr>
            </w:pPr>
          </w:p>
        </w:tc>
        <w:tc>
          <w:tcPr>
            <w:tcW w:w="2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79" w:lineRule="exact"/>
        <w:rPr>
          <w:sz w:val="24"/>
          <w:szCs w:val="24"/>
          <w:color w:val="auto"/>
        </w:rPr>
      </w:pPr>
    </w:p>
    <w:p>
      <w:pPr>
        <w:ind w:right="26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90" w:lineRule="exact"/>
        <w:rPr>
          <w:sz w:val="24"/>
          <w:szCs w:val="24"/>
          <w:color w:val="auto"/>
        </w:rPr>
      </w:pPr>
    </w:p>
    <w:p>
      <w:pPr>
        <w:jc w:val="both"/>
        <w:ind w:right="1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03" w:lineRule="exact"/>
        <w:rPr>
          <w:sz w:val="24"/>
          <w:szCs w:val="24"/>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Smaller reporting company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ind w:right="680"/>
        <w:spacing w:after="0" w:line="239"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63" w:lineRule="exact"/>
        <w:rPr>
          <w:sz w:val="24"/>
          <w:szCs w:val="24"/>
          <w:color w:val="auto"/>
        </w:rPr>
      </w:pPr>
    </w:p>
    <w:p>
      <w:pPr>
        <w:ind w:right="760"/>
        <w:spacing w:after="0" w:line="32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Indicate the number of shares outstanding of each of the issuer’s classes of common stock, as of the latest practicable date.</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Class</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Outstanding as of July 31, 2024</w:t>
            </w:r>
          </w:p>
        </w:tc>
      </w:tr>
      <w:tr>
        <w:trPr>
          <w:trHeight w:val="228"/>
        </w:trPr>
        <w:tc>
          <w:tcPr>
            <w:tcW w:w="4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$.01</w:t>
            </w:r>
          </w:p>
        </w:tc>
        <w:tc>
          <w:tcPr>
            <w:tcW w:w="280" w:type="dxa"/>
            <w:vAlign w:val="bottom"/>
          </w:tcPr>
          <w:p>
            <w:pPr>
              <w:spacing w:after="0"/>
              <w:rPr>
                <w:sz w:val="19"/>
                <w:szCs w:val="19"/>
                <w:color w:val="auto"/>
              </w:rPr>
            </w:pPr>
          </w:p>
        </w:tc>
        <w:tc>
          <w:tcPr>
            <w:tcW w:w="4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59,900,031 shares</w:t>
            </w:r>
          </w:p>
        </w:tc>
      </w:tr>
      <w:tr>
        <w:trPr>
          <w:trHeight w:val="319"/>
        </w:trPr>
        <w:tc>
          <w:tcPr>
            <w:tcW w:w="4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r>
        <w:trPr>
          <w:trHeight w:val="81"/>
        </w:trPr>
        <w:tc>
          <w:tcPr>
            <w:tcW w:w="47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860" w:type="dxa"/>
            <w:vAlign w:val="bottom"/>
            <w:tcBorders>
              <w:bottom w:val="single" w:sz="8" w:color="auto"/>
            </w:tcBorders>
          </w:tcPr>
          <w:p>
            <w:pPr>
              <w:spacing w:after="0"/>
              <w:rPr>
                <w:sz w:val="7"/>
                <w:szCs w:val="7"/>
                <w:color w:val="auto"/>
              </w:rPr>
            </w:pPr>
          </w:p>
        </w:tc>
      </w:tr>
      <w:tr>
        <w:trPr>
          <w:trHeight w:val="682"/>
        </w:trPr>
        <w:tc>
          <w:tcPr>
            <w:tcW w:w="4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1" w:right="999"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540" w:type="dxa"/>
            <w:vAlign w:val="bottom"/>
            <w:gridSpan w:val="15"/>
          </w:tcPr>
          <w:p>
            <w:pPr>
              <w:jc w:val="center"/>
              <w:ind w:right="1800"/>
              <w:spacing w:after="0"/>
              <w:rPr>
                <w:sz w:val="20"/>
                <w:szCs w:val="20"/>
                <w:color w:val="auto"/>
              </w:rPr>
            </w:pPr>
            <w:r>
              <w:rPr>
                <w:rFonts w:ascii="Times New Roman" w:cs="Times New Roman" w:eastAsia="Times New Roman" w:hAnsi="Times New Roman"/>
                <w:sz w:val="18"/>
                <w:szCs w:val="18"/>
                <w:b w:val="1"/>
                <w:bCs w:val="1"/>
                <w:color w:val="auto"/>
                <w:w w:val="99"/>
              </w:rPr>
              <w:t>RYMAN HOSPITALITY PROPERTIES, INC.</w:t>
            </w:r>
          </w:p>
        </w:tc>
        <w:tc>
          <w:tcPr>
            <w:tcW w:w="780" w:type="dxa"/>
            <w:vAlign w:val="bottom"/>
          </w:tcPr>
          <w:p>
            <w:pPr>
              <w:spacing w:after="0"/>
              <w:rPr>
                <w:sz w:val="20"/>
                <w:szCs w:val="20"/>
                <w:color w:val="auto"/>
              </w:rPr>
            </w:pPr>
          </w:p>
        </w:tc>
      </w:tr>
      <w:tr>
        <w:trPr>
          <w:trHeight w:val="405"/>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560" w:type="dxa"/>
            <w:vAlign w:val="bottom"/>
            <w:gridSpan w:val="11"/>
          </w:tcPr>
          <w:p>
            <w:pPr>
              <w:jc w:val="center"/>
              <w:ind w:right="278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780" w:type="dxa"/>
            <w:vAlign w:val="bottom"/>
          </w:tcPr>
          <w:p>
            <w:pPr>
              <w:spacing w:after="0"/>
              <w:rPr>
                <w:sz w:val="24"/>
                <w:szCs w:val="24"/>
                <w:color w:val="auto"/>
              </w:rPr>
            </w:pPr>
          </w:p>
        </w:tc>
      </w:tr>
      <w:tr>
        <w:trPr>
          <w:trHeight w:val="392"/>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0" w:type="dxa"/>
            <w:vAlign w:val="bottom"/>
            <w:gridSpan w:val="13"/>
          </w:tcPr>
          <w:p>
            <w:pPr>
              <w:jc w:val="center"/>
              <w:ind w:right="2160"/>
              <w:spacing w:after="0"/>
              <w:rPr>
                <w:sz w:val="20"/>
                <w:szCs w:val="20"/>
                <w:color w:val="auto"/>
              </w:rPr>
            </w:pPr>
            <w:r>
              <w:rPr>
                <w:rFonts w:ascii="Times New Roman" w:cs="Times New Roman" w:eastAsia="Times New Roman" w:hAnsi="Times New Roman"/>
                <w:sz w:val="18"/>
                <w:szCs w:val="18"/>
                <w:b w:val="1"/>
                <w:bCs w:val="1"/>
                <w:color w:val="auto"/>
              </w:rPr>
              <w:t>For the Quarter Ended June 30, 2024</w:t>
            </w:r>
          </w:p>
        </w:tc>
        <w:tc>
          <w:tcPr>
            <w:tcW w:w="780" w:type="dxa"/>
            <w:vAlign w:val="bottom"/>
          </w:tcPr>
          <w:p>
            <w:pPr>
              <w:spacing w:after="0"/>
              <w:rPr>
                <w:sz w:val="24"/>
                <w:szCs w:val="24"/>
                <w:color w:val="auto"/>
              </w:rPr>
            </w:pPr>
          </w:p>
        </w:tc>
      </w:tr>
      <w:tr>
        <w:trPr>
          <w:trHeight w:val="392"/>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560" w:type="dxa"/>
            <w:vAlign w:val="bottom"/>
            <w:gridSpan w:val="11"/>
          </w:tcPr>
          <w:p>
            <w:pPr>
              <w:jc w:val="center"/>
              <w:ind w:right="278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780" w:type="dxa"/>
            <w:vAlign w:val="bottom"/>
          </w:tcPr>
          <w:p>
            <w:pPr>
              <w:spacing w:after="0"/>
              <w:rPr>
                <w:sz w:val="24"/>
                <w:szCs w:val="24"/>
                <w:color w:val="auto"/>
              </w:rPr>
            </w:pPr>
          </w:p>
        </w:tc>
      </w:tr>
      <w:tr>
        <w:trPr>
          <w:trHeight w:val="405"/>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85"/>
        </w:trPr>
        <w:tc>
          <w:tcPr>
            <w:tcW w:w="21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Part I - Financial Information</w:t>
            </w:r>
          </w:p>
        </w:tc>
        <w:tc>
          <w:tcPr>
            <w:tcW w:w="6000" w:type="dxa"/>
            <w:vAlign w:val="bottom"/>
            <w:gridSpan w:val="18"/>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412"/>
        </w:trPr>
        <w:tc>
          <w:tcPr>
            <w:tcW w:w="640" w:type="dxa"/>
            <w:vAlign w:val="bottom"/>
          </w:tcPr>
          <w:p>
            <w:pPr>
              <w:spacing w:after="0"/>
              <w:rPr>
                <w:sz w:val="24"/>
                <w:szCs w:val="24"/>
                <w:color w:val="auto"/>
              </w:rPr>
            </w:pPr>
          </w:p>
        </w:tc>
        <w:tc>
          <w:tcPr>
            <w:tcW w:w="748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Item 1. Financial Statements.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20"/>
        </w:trPr>
        <w:tc>
          <w:tcPr>
            <w:tcW w:w="6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Condensed Consolidated Balance Sheets (Unaudited) – June 30, 2024 and December 31,</w:t>
            </w:r>
          </w:p>
        </w:tc>
        <w:tc>
          <w:tcPr>
            <w:tcW w:w="520" w:type="dxa"/>
            <w:vAlign w:val="bottom"/>
            <w:gridSpan w:val="4"/>
          </w:tcPr>
          <w:p>
            <w:pPr>
              <w:spacing w:after="0"/>
              <w:rPr>
                <w:sz w:val="24"/>
                <w:szCs w:val="24"/>
                <w:color w:val="auto"/>
              </w:rPr>
            </w:pPr>
          </w:p>
        </w:tc>
        <w:tc>
          <w:tcPr>
            <w:tcW w:w="780" w:type="dxa"/>
            <w:vAlign w:val="bottom"/>
          </w:tcPr>
          <w:p>
            <w:pPr>
              <w:spacing w:after="0"/>
              <w:rPr>
                <w:sz w:val="24"/>
                <w:szCs w:val="24"/>
                <w:color w:val="auto"/>
              </w:rPr>
            </w:pPr>
          </w:p>
        </w:tc>
      </w:tr>
      <w:tr>
        <w:trPr>
          <w:trHeight w:val="196"/>
        </w:trPr>
        <w:tc>
          <w:tcPr>
            <w:tcW w:w="1200" w:type="dxa"/>
            <w:vAlign w:val="bottom"/>
            <w:gridSpan w:val="3"/>
          </w:tcPr>
          <w:p>
            <w:pPr>
              <w:spacing w:after="0"/>
              <w:rPr>
                <w:sz w:val="17"/>
                <w:szCs w:val="17"/>
                <w:color w:val="auto"/>
              </w:rPr>
            </w:pPr>
          </w:p>
        </w:tc>
        <w:tc>
          <w:tcPr>
            <w:tcW w:w="3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4"/>
              </w:rPr>
              <w:t>2023</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3</w:t>
            </w:r>
          </w:p>
        </w:tc>
      </w:tr>
      <w:tr>
        <w:trPr>
          <w:trHeight w:val="412"/>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92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Condensed Consolidated Statements of Operations and Comprehensive Income</w:t>
            </w:r>
          </w:p>
        </w:tc>
        <w:tc>
          <w:tcPr>
            <w:tcW w:w="780" w:type="dxa"/>
            <w:vAlign w:val="bottom"/>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72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(Unaudited) - For the Three and Six Months Ended June 30, 2024 and 2023</w:t>
            </w:r>
          </w:p>
        </w:tc>
        <w:tc>
          <w:tcPr>
            <w:tcW w:w="1200" w:type="dxa"/>
            <w:vAlign w:val="bottom"/>
            <w:gridSpan w:val="5"/>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4</w:t>
            </w:r>
          </w:p>
        </w:tc>
      </w:tr>
      <w:tr>
        <w:trPr>
          <w:trHeight w:val="20"/>
        </w:trPr>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8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Cash Flows (Unaudited) - For the Six Months Ended</w:t>
            </w:r>
          </w:p>
        </w:tc>
        <w:tc>
          <w:tcPr>
            <w:tcW w:w="240" w:type="dxa"/>
            <w:vAlign w:val="bottom"/>
            <w:gridSpan w:val="2"/>
          </w:tcPr>
          <w:p>
            <w:pPr>
              <w:spacing w:after="0"/>
              <w:rPr>
                <w:sz w:val="24"/>
                <w:szCs w:val="24"/>
                <w:color w:val="auto"/>
              </w:rPr>
            </w:pPr>
          </w:p>
        </w:tc>
        <w:tc>
          <w:tcPr>
            <w:tcW w:w="780" w:type="dxa"/>
            <w:vAlign w:val="bottom"/>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June 30, 2024 and 2023</w:t>
            </w:r>
          </w:p>
        </w:tc>
        <w:tc>
          <w:tcPr>
            <w:tcW w:w="5200" w:type="dxa"/>
            <w:vAlign w:val="bottom"/>
            <w:gridSpan w:val="13"/>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5</w:t>
            </w:r>
          </w:p>
        </w:tc>
      </w:tr>
      <w:tr>
        <w:trPr>
          <w:trHeight w:val="412"/>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70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Equity and Noncontrolling Interest (Unaudited) - For</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4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the Three and Six Months Ended June 30, 2024 and 2023</w:t>
            </w:r>
          </w:p>
        </w:tc>
        <w:tc>
          <w:tcPr>
            <w:tcW w:w="2780" w:type="dxa"/>
            <w:vAlign w:val="bottom"/>
            <w:gridSpan w:val="10"/>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6</w:t>
            </w:r>
          </w:p>
        </w:tc>
      </w:tr>
      <w:tr>
        <w:trPr>
          <w:trHeight w:val="412"/>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92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Notes to Condensed Consolidated Financial Statements (Unaudited)</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r>
      <w:tr>
        <w:trPr>
          <w:trHeight w:val="20"/>
        </w:trPr>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640" w:type="dxa"/>
            <w:vAlign w:val="bottom"/>
          </w:tcPr>
          <w:p>
            <w:pPr>
              <w:spacing w:after="0"/>
              <w:rPr>
                <w:sz w:val="24"/>
                <w:szCs w:val="24"/>
                <w:color w:val="auto"/>
              </w:rPr>
            </w:pPr>
          </w:p>
        </w:tc>
        <w:tc>
          <w:tcPr>
            <w:tcW w:w="706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w w:val="99"/>
              </w:rPr>
              <w:t>Item 2. Management’s Discussion and Analysis of Financial Condition and Results of Operations.</w:t>
            </w:r>
          </w:p>
        </w:tc>
        <w:tc>
          <w:tcPr>
            <w:tcW w:w="420" w:type="dxa"/>
            <w:vAlign w:val="bottom"/>
            <w:gridSpan w:val="3"/>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r>
      <w:tr>
        <w:trPr>
          <w:trHeight w:val="412"/>
        </w:trPr>
        <w:tc>
          <w:tcPr>
            <w:tcW w:w="640" w:type="dxa"/>
            <w:vAlign w:val="bottom"/>
          </w:tcPr>
          <w:p>
            <w:pPr>
              <w:spacing w:after="0"/>
              <w:rPr>
                <w:sz w:val="24"/>
                <w:szCs w:val="24"/>
                <w:color w:val="auto"/>
              </w:rPr>
            </w:pPr>
          </w:p>
        </w:tc>
        <w:tc>
          <w:tcPr>
            <w:tcW w:w="498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Item 3. Quantitative and Qualitative Disclosures About Market Risk.</w:t>
            </w:r>
          </w:p>
        </w:tc>
        <w:tc>
          <w:tcPr>
            <w:tcW w:w="2500" w:type="dxa"/>
            <w:vAlign w:val="bottom"/>
            <w:gridSpan w:val="8"/>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r>
      <w:tr>
        <w:trPr>
          <w:trHeight w:val="412"/>
        </w:trPr>
        <w:tc>
          <w:tcPr>
            <w:tcW w:w="640" w:type="dxa"/>
            <w:vAlign w:val="bottom"/>
          </w:tcPr>
          <w:p>
            <w:pPr>
              <w:spacing w:after="0"/>
              <w:rPr>
                <w:sz w:val="24"/>
                <w:szCs w:val="24"/>
                <w:color w:val="auto"/>
              </w:rPr>
            </w:pPr>
          </w:p>
        </w:tc>
        <w:tc>
          <w:tcPr>
            <w:tcW w:w="238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Item 4. Controls and Procedures.</w:t>
            </w:r>
          </w:p>
        </w:tc>
        <w:tc>
          <w:tcPr>
            <w:tcW w:w="5100" w:type="dxa"/>
            <w:vAlign w:val="bottom"/>
            <w:gridSpan w:val="12"/>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r>
      <w:tr>
        <w:trPr>
          <w:trHeight w:val="412"/>
        </w:trPr>
        <w:tc>
          <w:tcPr>
            <w:tcW w:w="19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Part II - Other Information</w:t>
            </w:r>
          </w:p>
        </w:tc>
        <w:tc>
          <w:tcPr>
            <w:tcW w:w="6200" w:type="dxa"/>
            <w:vAlign w:val="bottom"/>
            <w:gridSpan w:val="19"/>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r>
      <w:tr>
        <w:trPr>
          <w:trHeight w:val="412"/>
        </w:trPr>
        <w:tc>
          <w:tcPr>
            <w:tcW w:w="640" w:type="dxa"/>
            <w:vAlign w:val="bottom"/>
          </w:tcPr>
          <w:p>
            <w:pPr>
              <w:spacing w:after="0"/>
              <w:rPr>
                <w:sz w:val="24"/>
                <w:szCs w:val="24"/>
                <w:color w:val="auto"/>
              </w:rPr>
            </w:pPr>
          </w:p>
        </w:tc>
        <w:tc>
          <w:tcPr>
            <w:tcW w:w="194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Item 1. Legal Proceedings.</w:t>
            </w:r>
          </w:p>
        </w:tc>
        <w:tc>
          <w:tcPr>
            <w:tcW w:w="5540" w:type="dxa"/>
            <w:vAlign w:val="bottom"/>
            <w:gridSpan w:val="15"/>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r>
      <w:tr>
        <w:trPr>
          <w:trHeight w:val="412"/>
        </w:trPr>
        <w:tc>
          <w:tcPr>
            <w:tcW w:w="640" w:type="dxa"/>
            <w:vAlign w:val="bottom"/>
          </w:tcPr>
          <w:p>
            <w:pPr>
              <w:spacing w:after="0"/>
              <w:rPr>
                <w:sz w:val="24"/>
                <w:szCs w:val="24"/>
                <w:color w:val="auto"/>
              </w:rPr>
            </w:pPr>
          </w:p>
        </w:tc>
        <w:tc>
          <w:tcPr>
            <w:tcW w:w="16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Item 1A. Risk Factors.</w:t>
            </w:r>
          </w:p>
        </w:tc>
        <w:tc>
          <w:tcPr>
            <w:tcW w:w="5840" w:type="dxa"/>
            <w:vAlign w:val="bottom"/>
            <w:gridSpan w:val="17"/>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r>
      <w:tr>
        <w:trPr>
          <w:trHeight w:val="412"/>
        </w:trPr>
        <w:tc>
          <w:tcPr>
            <w:tcW w:w="640" w:type="dxa"/>
            <w:vAlign w:val="bottom"/>
          </w:tcPr>
          <w:p>
            <w:pPr>
              <w:spacing w:after="0"/>
              <w:rPr>
                <w:sz w:val="24"/>
                <w:szCs w:val="24"/>
                <w:color w:val="auto"/>
              </w:rPr>
            </w:pPr>
          </w:p>
        </w:tc>
        <w:tc>
          <w:tcPr>
            <w:tcW w:w="496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Item 2. Unregistered Sales of Equity Securities and Use of Proceeds.</w:t>
            </w:r>
          </w:p>
        </w:tc>
        <w:tc>
          <w:tcPr>
            <w:tcW w:w="2520" w:type="dxa"/>
            <w:vAlign w:val="bottom"/>
            <w:gridSpan w:val="9"/>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r>
      <w:tr>
        <w:trPr>
          <w:trHeight w:val="412"/>
        </w:trPr>
        <w:tc>
          <w:tcPr>
            <w:tcW w:w="640" w:type="dxa"/>
            <w:vAlign w:val="bottom"/>
          </w:tcPr>
          <w:p>
            <w:pPr>
              <w:spacing w:after="0"/>
              <w:rPr>
                <w:sz w:val="24"/>
                <w:szCs w:val="24"/>
                <w:color w:val="auto"/>
              </w:rPr>
            </w:pPr>
          </w:p>
        </w:tc>
        <w:tc>
          <w:tcPr>
            <w:tcW w:w="748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Item 3. Defaults Upon Senior Securities.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r>
      <w:tr>
        <w:trPr>
          <w:trHeight w:val="412"/>
        </w:trPr>
        <w:tc>
          <w:tcPr>
            <w:tcW w:w="640" w:type="dxa"/>
            <w:vAlign w:val="bottom"/>
          </w:tcPr>
          <w:p>
            <w:pPr>
              <w:spacing w:after="0"/>
              <w:rPr>
                <w:sz w:val="24"/>
                <w:szCs w:val="24"/>
                <w:color w:val="auto"/>
              </w:rPr>
            </w:pPr>
          </w:p>
        </w:tc>
        <w:tc>
          <w:tcPr>
            <w:tcW w:w="2380" w:type="dxa"/>
            <w:vAlign w:val="bottom"/>
            <w:tcBorders>
              <w:top w:val="single" w:sz="8" w:color="0000EE"/>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Item 4. Mine Safety Disclosures.</w:t>
            </w:r>
          </w:p>
        </w:tc>
        <w:tc>
          <w:tcPr>
            <w:tcW w:w="540" w:type="dxa"/>
            <w:vAlign w:val="bottom"/>
            <w:tcBorders>
              <w:top w:val="single" w:sz="8" w:color="0000EE"/>
            </w:tcBorders>
          </w:tcPr>
          <w:p>
            <w:pPr>
              <w:spacing w:after="0"/>
              <w:rPr>
                <w:sz w:val="24"/>
                <w:szCs w:val="24"/>
                <w:color w:val="auto"/>
              </w:rPr>
            </w:pPr>
          </w:p>
        </w:tc>
        <w:tc>
          <w:tcPr>
            <w:tcW w:w="4560" w:type="dxa"/>
            <w:vAlign w:val="bottom"/>
            <w:gridSpan w:val="11"/>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r>
      <w:tr>
        <w:trPr>
          <w:trHeight w:val="412"/>
        </w:trPr>
        <w:tc>
          <w:tcPr>
            <w:tcW w:w="640" w:type="dxa"/>
            <w:vAlign w:val="bottom"/>
          </w:tcPr>
          <w:p>
            <w:pPr>
              <w:spacing w:after="0"/>
              <w:rPr>
                <w:sz w:val="24"/>
                <w:szCs w:val="24"/>
                <w:color w:val="auto"/>
              </w:rPr>
            </w:pPr>
          </w:p>
        </w:tc>
        <w:tc>
          <w:tcPr>
            <w:tcW w:w="19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Item 5. Other Information.</w:t>
            </w:r>
          </w:p>
        </w:tc>
        <w:tc>
          <w:tcPr>
            <w:tcW w:w="5560" w:type="dxa"/>
            <w:vAlign w:val="bottom"/>
            <w:gridSpan w:val="16"/>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r>
      <w:tr>
        <w:trPr>
          <w:trHeight w:val="412"/>
        </w:trPr>
        <w:tc>
          <w:tcPr>
            <w:tcW w:w="640" w:type="dxa"/>
            <w:vAlign w:val="bottom"/>
          </w:tcPr>
          <w:p>
            <w:pPr>
              <w:spacing w:after="0"/>
              <w:rPr>
                <w:sz w:val="24"/>
                <w:szCs w:val="24"/>
                <w:color w:val="auto"/>
              </w:rPr>
            </w:pPr>
          </w:p>
        </w:tc>
        <w:tc>
          <w:tcPr>
            <w:tcW w:w="748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Item 6. Exhibits.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r>
      <w:tr>
        <w:trPr>
          <w:trHeight w:val="20"/>
        </w:trPr>
        <w:tc>
          <w:tcPr>
            <w:tcW w:w="6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6280" w:type="dxa"/>
            <w:vAlign w:val="bottom"/>
            <w:gridSpan w:val="2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11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6"/>
              </w:rPr>
              <w:t>SIGNATURES</w:t>
            </w:r>
          </w:p>
        </w:tc>
        <w:tc>
          <w:tcPr>
            <w:tcW w:w="7020" w:type="dxa"/>
            <w:vAlign w:val="bottom"/>
            <w:gridSpan w:val="23"/>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 FINANCIAL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RYMAN HOSPITALITY PROPERTIES,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bl>
      <w:tblPr>
        <w:tblLayout w:type="fixed"/>
        <w:tblInd w:w="60" w:type="dxa"/>
        <w:tblCellMar>
          <w:top w:w="0" w:type="dxa"/>
          <w:left w:w="0" w:type="dxa"/>
          <w:bottom w:w="0" w:type="dxa"/>
          <w:right w:w="0" w:type="dxa"/>
        </w:tblCellMar>
      </w:tblPr>
      <w:tr>
        <w:trPr>
          <w:trHeight w:val="146"/>
        </w:trPr>
        <w:tc>
          <w:tcPr>
            <w:tcW w:w="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12"/>
                <w:szCs w:val="12"/>
                <w:color w:val="auto"/>
              </w:rPr>
            </w:pPr>
          </w:p>
        </w:tc>
        <w:tc>
          <w:tcPr>
            <w:tcW w:w="92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6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ASSETS: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4,045,466</w:t>
            </w:r>
          </w:p>
        </w:tc>
        <w:tc>
          <w:tcPr>
            <w:tcW w:w="14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3,955,586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Cash and cash equivalents - unrestricted</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498,371</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591,833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Cash and cash equivalents - restricted</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51,908</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108,608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Notes receivable, net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61,892</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61,760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Trade receivables, net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127,281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110,029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Deferred income tax assets, net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71,023</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81,624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Prepaid expenses and other assets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163,786</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154,810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Intangible assets, net</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120,231</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124,287</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66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7"/>
                <w:szCs w:val="17"/>
                <w:color w:val="auto"/>
              </w:rPr>
              <w:t>Total assets</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5,139,958</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5,188,537</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7"/>
                <w:szCs w:val="17"/>
                <w:color w:val="auto"/>
              </w:rPr>
              <w:t>LIABILITIES AND EQUITY:</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Debt and finance lease obligations</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3,373,383</w:t>
            </w:r>
          </w:p>
        </w:tc>
        <w:tc>
          <w:tcPr>
            <w:tcW w:w="14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3,377,028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Accounts payable and accrued liabilities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406,245</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464,720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Distributions payable</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67,734</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67,932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Deferred management rights proceeds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165,121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165,174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130,411</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129,122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7"/>
                <w:szCs w:val="17"/>
                <w:color w:val="auto"/>
              </w:rPr>
              <w:t>Other liabilities</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68,140</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66,658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Total liabilities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4,211,034</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4,270,634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Commitments and contingencies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Noncontrolling interest in consolidated joint venture</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362,603</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345,126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Equity:</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Preferred stock, $.01 par value, 100,000 shares authorized, no shares issued or outstanding</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60" w:type="dxa"/>
            <w:vAlign w:val="bottom"/>
          </w:tcPr>
          <w:p>
            <w:pPr>
              <w:ind w:left="200"/>
              <w:spacing w:after="0" w:line="181" w:lineRule="exact"/>
              <w:rPr>
                <w:sz w:val="20"/>
                <w:szCs w:val="20"/>
                <w:color w:val="auto"/>
              </w:rPr>
            </w:pPr>
            <w:r>
              <w:rPr>
                <w:rFonts w:ascii="Times New Roman" w:cs="Times New Roman" w:eastAsia="Times New Roman" w:hAnsi="Times New Roman"/>
                <w:sz w:val="17"/>
                <w:szCs w:val="17"/>
                <w:color w:val="auto"/>
              </w:rPr>
              <w:t>Common stock, $.01 par value, 400,000 shares authorized, 59,900 and 59,712 shares issued</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and outstanding, respectively</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599</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1,483,479</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1,502,710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Treasury stock of 681 and 668 shares, at cost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(21,976)</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Distributions in excess of retained earnings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(881,617)</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(894,259)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(17,868)</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(19,387)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562,617</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569,153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Noncontrolling interest in Operating Partnership</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3,704</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Total equity</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566,321</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572,777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Total liabilities and equity</w:t>
            </w:r>
          </w:p>
        </w:tc>
        <w:tc>
          <w:tcPr>
            <w:tcW w:w="2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5,139,958</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5,188,537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left="60" w:right="79"/>
        <w:spacing w:after="0" w:line="263" w:lineRule="auto"/>
        <w:rPr>
          <w:sz w:val="20"/>
          <w:szCs w:val="20"/>
          <w:color w:val="auto"/>
        </w:rPr>
      </w:pPr>
      <w:r>
        <w:rPr>
          <w:rFonts w:ascii="Times New Roman" w:cs="Times New Roman" w:eastAsia="Times New Roman" w:hAnsi="Times New Roman"/>
          <w:sz w:val="17"/>
          <w:szCs w:val="17"/>
          <w:b w:val="1"/>
          <w:bCs w:val="1"/>
          <w:color w:val="auto"/>
        </w:rPr>
        <w:t>RYMAN HOSPITALITY PROPERTIES, INC. AND SUBSIDIARIES CONDENSED CONSOLIDATED STATEMENTS OF OPERATIONS AND COMPREHENSIVE INCOME (Unaudited)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data)</w:t>
      </w:r>
    </w:p>
    <w:p>
      <w:pPr>
        <w:spacing w:after="0" w:line="19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20" w:type="dxa"/>
            <w:vAlign w:val="bottom"/>
            <w:gridSpan w:val="4"/>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6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4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Rooms</w:t>
            </w:r>
          </w:p>
        </w:tc>
        <w:tc>
          <w:tcPr>
            <w:tcW w:w="28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199,497</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168,492</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373,130</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329,743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Food and beverage</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259,386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197,908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494,469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413,712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hotel revenue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60,204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51,285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112,958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98,669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Entertainment</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94,203</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87,158</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161,078</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154,438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6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revenues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613,290</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504,843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1,141,635</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996,562</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Rooms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45,062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40,272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89,163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82,331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Food and beverage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132,369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107,026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260,548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222,207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hotel expenses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117,769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104,590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236,582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207,649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Management fees, net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21,449</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15,418</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39,411</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30,613</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hotel operating expenses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316,649</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267,306</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625,704</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542,800</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Entertainment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59,560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57,088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112,147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108,522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Corporate</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9,402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21,356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20,479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Preopening costs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Gain on sale of assets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46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58,553</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48,257</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115,755</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96,614</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445,219</w:t>
            </w:r>
          </w:p>
        </w:tc>
        <w:tc>
          <w:tcPr>
            <w:tcW w:w="1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382,603</w:t>
            </w: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877,183</w:t>
            </w:r>
          </w:p>
        </w:tc>
        <w:tc>
          <w:tcPr>
            <w:tcW w:w="1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768,672</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income</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168,071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122,240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264,452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227,890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(56,577)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(49,179)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(117,020)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(91,707)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14,586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7,865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(loss) from unconsolidated joint ventures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Other gains and (losses), net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(523)</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116,940</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73,687</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160,231</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136,314</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(12,200)</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(3,544)</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(12,730)</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(5,177)</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income</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104,740</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70,143</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147,501</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131,137</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attributable to noncontrolling interest in consolidated joint venture</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Net income attributable to noncontrolling interest in Operating Partnership</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(665)</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(466)</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(949)</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(903)</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income available to common stockholders</w:t>
            </w:r>
          </w:p>
        </w:tc>
        <w:tc>
          <w:tcPr>
            <w:tcW w:w="28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100,805</w:t>
            </w: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66,543</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143,861</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127,863</w:t>
            </w: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Basic income per share available to common stockholders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2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Diluted income per share available to common stockholders</w:t>
            </w:r>
          </w:p>
        </w:tc>
        <w:tc>
          <w:tcPr>
            <w:tcW w:w="280" w:type="dxa"/>
            <w:vAlign w:val="bottom"/>
            <w:gridSpan w:val="2"/>
          </w:tcPr>
          <w:p>
            <w:pPr>
              <w:jc w:val="right"/>
              <w:ind w:right="28"/>
              <w:spacing w:after="0" w:line="156"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1.65</w:t>
            </w:r>
          </w:p>
        </w:tc>
        <w:tc>
          <w:tcPr>
            <w:tcW w:w="380" w:type="dxa"/>
            <w:vAlign w:val="bottom"/>
            <w:gridSpan w:val="2"/>
          </w:tcPr>
          <w:p>
            <w:pPr>
              <w:jc w:val="right"/>
              <w:ind w:right="140"/>
              <w:spacing w:after="0" w:line="156"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1.15</w:t>
            </w:r>
          </w:p>
        </w:tc>
        <w:tc>
          <w:tcPr>
            <w:tcW w:w="320" w:type="dxa"/>
            <w:vAlign w:val="bottom"/>
            <w:gridSpan w:val="2"/>
          </w:tcPr>
          <w:p>
            <w:pPr>
              <w:jc w:val="right"/>
              <w:ind w:right="80"/>
              <w:spacing w:after="0" w:line="156"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2.31</w:t>
            </w:r>
          </w:p>
        </w:tc>
        <w:tc>
          <w:tcPr>
            <w:tcW w:w="400" w:type="dxa"/>
            <w:vAlign w:val="bottom"/>
            <w:gridSpan w:val="2"/>
          </w:tcPr>
          <w:p>
            <w:pPr>
              <w:jc w:val="right"/>
              <w:ind w:right="160"/>
              <w:spacing w:after="0" w:line="156"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2.17</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46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4"/>
                <w:szCs w:val="14"/>
                <w:color w:val="auto"/>
              </w:rPr>
              <w:t>Comprehensive income, net of taxes</w:t>
            </w:r>
          </w:p>
        </w:tc>
        <w:tc>
          <w:tcPr>
            <w:tcW w:w="28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104,851</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67,719</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149,020</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122,421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46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Comprehensive income, net of taxes, attributable to noncontrolling interest in</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(3,315)</w:t>
            </w: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(3,712)</w:t>
            </w: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(3,022)</w:t>
            </w:r>
          </w:p>
        </w:tc>
        <w:tc>
          <w:tcPr>
            <w:tcW w:w="1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(2,727)</w:t>
            </w: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consolidated joint venture</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6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Comprehensive income, net of taxes, attributable to noncontrolling interest in</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(666)</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(454)</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(959)</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(846)</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Operating Partnership</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Comprehensive income, net of taxes, available to common stockholders</w:t>
            </w:r>
          </w:p>
        </w:tc>
        <w:tc>
          <w:tcPr>
            <w:tcW w:w="28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100,870</w:t>
            </w: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63,553</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145,039</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118,848</w:t>
            </w: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RYMAN HOSPITALITY PROPERTIES,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4"/>
          <w:szCs w:val="14"/>
          <w:b w:val="1"/>
          <w:bCs w:val="1"/>
          <w:color w:val="auto"/>
        </w:rPr>
        <w:t>Six Months Ended</w:t>
      </w:r>
    </w:p>
    <w:p>
      <w:pPr>
        <w:ind w:left="7460"/>
        <w:spacing w:after="0" w:line="231" w:lineRule="auto"/>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6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94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4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2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94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Cash Flows from Operating Activities:</w:t>
            </w: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Net income</w:t>
            </w:r>
          </w:p>
        </w:tc>
        <w:tc>
          <w:tcPr>
            <w:tcW w:w="880" w:type="dxa"/>
            <w:vAlign w:val="bottom"/>
            <w:gridSpan w:val="2"/>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147,501</w:t>
            </w:r>
          </w:p>
        </w:tc>
        <w:tc>
          <w:tcPr>
            <w:tcW w:w="380" w:type="dxa"/>
            <w:vAlign w:val="bottom"/>
            <w:gridSpan w:val="2"/>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131,137</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Amounts to reconcile net income to net cash flows provided by operating activities:</w:t>
            </w: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Provision for deferred income taxes</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10,664</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3,431</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Depreciation and amortization</w:t>
            </w: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115,755</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96,614</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Amortization of deferred financing costs</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5,348</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5,307</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(Income) loss from unconsolidated joint ventures</w:t>
            </w: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(215)</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4,959</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Stock-based compensation expense</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7,245</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7,540</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Changes in:</w:t>
            </w: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Trade receivables</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(17,253)</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26,369</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Accounts payable and accrued liabilities</w:t>
            </w: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(75,006)</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(66,046)</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tcBorders>
              <w:bottom w:val="single" w:sz="8" w:color="CCEEFF"/>
            </w:tcBorders>
          </w:tcPr>
          <w:p>
            <w:pPr>
              <w:ind w:left="300"/>
              <w:spacing w:after="0" w:line="162" w:lineRule="exact"/>
              <w:rPr>
                <w:sz w:val="20"/>
                <w:szCs w:val="20"/>
                <w:color w:val="auto"/>
              </w:rPr>
            </w:pPr>
            <w:r>
              <w:rPr>
                <w:rFonts w:ascii="Times New Roman" w:cs="Times New Roman" w:eastAsia="Times New Roman" w:hAnsi="Times New Roman"/>
                <w:sz w:val="15"/>
                <w:szCs w:val="15"/>
                <w:color w:val="auto"/>
              </w:rPr>
              <w:t>Other assets and liabilities</w:t>
            </w:r>
          </w:p>
        </w:tc>
        <w:tc>
          <w:tcPr>
            <w:tcW w:w="7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(2,245)</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6,191</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940" w:type="dxa"/>
            <w:vAlign w:val="bottom"/>
            <w:shd w:val="clear" w:color="auto" w:fill="CCEEFF"/>
          </w:tcPr>
          <w:p>
            <w:pPr>
              <w:ind w:left="200"/>
              <w:spacing w:after="0" w:line="156" w:lineRule="exact"/>
              <w:rPr>
                <w:sz w:val="20"/>
                <w:szCs w:val="20"/>
                <w:color w:val="auto"/>
              </w:rPr>
            </w:pPr>
            <w:r>
              <w:rPr>
                <w:rFonts w:ascii="Times New Roman" w:cs="Times New Roman" w:eastAsia="Times New Roman" w:hAnsi="Times New Roman"/>
                <w:sz w:val="15"/>
                <w:szCs w:val="15"/>
                <w:color w:val="auto"/>
              </w:rPr>
              <w:t>Net cash flows provided by operating activities</w:t>
            </w:r>
          </w:p>
        </w:tc>
        <w:tc>
          <w:tcPr>
            <w:tcW w:w="72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191,794</w:t>
            </w:r>
          </w:p>
        </w:tc>
        <w:tc>
          <w:tcPr>
            <w:tcW w:w="2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215,502</w:t>
            </w: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9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Cash Flows from Investing Activities:</w:t>
            </w: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Purchases of property and equipment</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(184,936)</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(78,173)</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Collection of notes receivable</w:t>
            </w: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2,143</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Purchase of JW Marriott Hill Country, net of cash acquired</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(791,466)</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Investment in Circle</w:t>
            </w: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(8,000)</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tcBorders>
              <w:bottom w:val="single" w:sz="8" w:color="CCEEFF"/>
            </w:tcBorders>
          </w:tcPr>
          <w:p>
            <w:pPr>
              <w:ind w:left="80"/>
              <w:spacing w:after="0" w:line="162" w:lineRule="exact"/>
              <w:rPr>
                <w:sz w:val="20"/>
                <w:szCs w:val="20"/>
                <w:color w:val="auto"/>
              </w:rPr>
            </w:pPr>
            <w:r>
              <w:rPr>
                <w:rFonts w:ascii="Times New Roman" w:cs="Times New Roman" w:eastAsia="Times New Roman" w:hAnsi="Times New Roman"/>
                <w:sz w:val="15"/>
                <w:szCs w:val="15"/>
                <w:color w:val="auto"/>
              </w:rPr>
              <w:t>Other investing activities, net</w:t>
            </w:r>
          </w:p>
        </w:tc>
        <w:tc>
          <w:tcPr>
            <w:tcW w:w="7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37</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(10,004)</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940" w:type="dxa"/>
            <w:vAlign w:val="bottom"/>
            <w:shd w:val="clear" w:color="auto" w:fill="CCEEFF"/>
          </w:tcPr>
          <w:p>
            <w:pPr>
              <w:ind w:left="200"/>
              <w:spacing w:after="0" w:line="156" w:lineRule="exact"/>
              <w:rPr>
                <w:sz w:val="20"/>
                <w:szCs w:val="20"/>
                <w:color w:val="auto"/>
              </w:rPr>
            </w:pPr>
            <w:r>
              <w:rPr>
                <w:rFonts w:ascii="Times New Roman" w:cs="Times New Roman" w:eastAsia="Times New Roman" w:hAnsi="Times New Roman"/>
                <w:sz w:val="15"/>
                <w:szCs w:val="15"/>
                <w:color w:val="auto"/>
              </w:rPr>
              <w:t>Net cash flows used in investing activities</w:t>
            </w:r>
          </w:p>
        </w:tc>
        <w:tc>
          <w:tcPr>
            <w:tcW w:w="72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(184,899)</w:t>
            </w:r>
          </w:p>
        </w:tc>
        <w:tc>
          <w:tcPr>
            <w:tcW w:w="2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(885,500)</w:t>
            </w: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5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9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Cash Flows from Financing Activities:</w:t>
            </w: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Borrowings under term loan B</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18,861</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500,000</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Repayments under term loan B</w:t>
            </w: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(220,849)</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(376,250)</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Borrowings under OEG revolving credit facility</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39,000</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7,000</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Repayments under OEG revolving credit facility</w:t>
            </w: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(27,000)</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Borrowings under OEG term loan</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299,250</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Repayments under OEG term loan</w:t>
            </w: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(296,250)</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(1,500)</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Repayments under Block 21 CMBS loan</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(1,432)</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(1,373)</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Repayments under Gaylord Rockies term loan</w:t>
            </w: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(800,000)</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Issuance of senior notes</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1,000,000</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400,000</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Deferred financing costs paid</w:t>
            </w: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(23,062)</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(23,679)</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Issuance of common stock, net</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395,444</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Payment of distributions</w:t>
            </w: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(133,430)</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(55,746)</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Payment of tax withholdings for share-based compensation</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(12,106)</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(4,180)</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Other financing activities, net</w:t>
            </w:r>
          </w:p>
        </w:tc>
        <w:tc>
          <w:tcPr>
            <w:tcW w:w="7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(39)</w:t>
            </w:r>
          </w:p>
        </w:tc>
        <w:tc>
          <w:tcPr>
            <w:tcW w:w="2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(139)</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940" w:type="dxa"/>
            <w:vAlign w:val="bottom"/>
            <w:tcBorders>
              <w:bottom w:val="single" w:sz="8" w:color="CCEEFF"/>
            </w:tcBorders>
          </w:tcPr>
          <w:p>
            <w:pPr>
              <w:ind w:left="200"/>
              <w:spacing w:after="0" w:line="156" w:lineRule="exact"/>
              <w:rPr>
                <w:sz w:val="20"/>
                <w:szCs w:val="20"/>
                <w:color w:val="auto"/>
              </w:rPr>
            </w:pPr>
            <w:r>
              <w:rPr>
                <w:rFonts w:ascii="Times New Roman" w:cs="Times New Roman" w:eastAsia="Times New Roman" w:hAnsi="Times New Roman"/>
                <w:sz w:val="15"/>
                <w:szCs w:val="15"/>
                <w:color w:val="auto"/>
              </w:rPr>
              <w:t>Net cash flows provided by (used in) financing activities</w:t>
            </w:r>
          </w:p>
        </w:tc>
        <w:tc>
          <w:tcPr>
            <w:tcW w:w="7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(157,057)</w:t>
            </w:r>
          </w:p>
        </w:tc>
        <w:tc>
          <w:tcPr>
            <w:tcW w:w="2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839,577</w:t>
            </w:r>
          </w:p>
        </w:tc>
        <w:tc>
          <w:tcPr>
            <w:tcW w:w="2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59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9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Net change in cash, cash equivalents, and restricted cash</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(150,162)</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169,579</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Cash, cash equivalents, and restricted cash, beginning of period</w:t>
            </w:r>
          </w:p>
        </w:tc>
        <w:tc>
          <w:tcPr>
            <w:tcW w:w="7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700,441</w:t>
            </w:r>
          </w:p>
        </w:tc>
        <w:tc>
          <w:tcPr>
            <w:tcW w:w="2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444,330</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960" w:type="dxa"/>
            <w:vAlign w:val="bottom"/>
            <w:gridSpan w:val="2"/>
          </w:tcPr>
          <w:p>
            <w:pPr>
              <w:spacing w:after="0" w:line="156" w:lineRule="exact"/>
              <w:rPr>
                <w:sz w:val="20"/>
                <w:szCs w:val="20"/>
                <w:color w:val="auto"/>
              </w:rPr>
            </w:pPr>
            <w:r>
              <w:rPr>
                <w:rFonts w:ascii="Times New Roman" w:cs="Times New Roman" w:eastAsia="Times New Roman" w:hAnsi="Times New Roman"/>
                <w:sz w:val="15"/>
                <w:szCs w:val="15"/>
                <w:color w:val="auto"/>
              </w:rPr>
              <w:t>Cash, cash equivalents, and restricted cash, end of period</w:t>
            </w:r>
          </w:p>
        </w:tc>
        <w:tc>
          <w:tcPr>
            <w:tcW w:w="720" w:type="dxa"/>
            <w:vAlign w:val="bottom"/>
          </w:tcPr>
          <w:p>
            <w:pPr>
              <w:spacing w:after="0"/>
              <w:rPr>
                <w:sz w:val="17"/>
                <w:szCs w:val="17"/>
                <w:color w:val="auto"/>
              </w:rPr>
            </w:pPr>
          </w:p>
        </w:tc>
        <w:tc>
          <w:tcPr>
            <w:tcW w:w="160" w:type="dxa"/>
            <w:vAlign w:val="bottom"/>
            <w:tcBorders>
              <w:bottom w:val="single" w:sz="8" w:color="auto"/>
            </w:tcBorders>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550,279</w:t>
            </w:r>
          </w:p>
        </w:tc>
        <w:tc>
          <w:tcPr>
            <w:tcW w:w="200" w:type="dxa"/>
            <w:vAlign w:val="bottom"/>
          </w:tcPr>
          <w:p>
            <w:pPr>
              <w:spacing w:after="0"/>
              <w:rPr>
                <w:sz w:val="17"/>
                <w:szCs w:val="17"/>
                <w:color w:val="auto"/>
              </w:rPr>
            </w:pPr>
          </w:p>
        </w:tc>
        <w:tc>
          <w:tcPr>
            <w:tcW w:w="180" w:type="dxa"/>
            <w:vAlign w:val="bottom"/>
            <w:tcBorders>
              <w:bottom w:val="single" w:sz="8" w:color="auto"/>
            </w:tcBorders>
          </w:tcPr>
          <w:p>
            <w:pPr>
              <w:jc w:val="right"/>
              <w:ind w:right="2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613,909</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594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9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Reconciliation of cash, cash equivalents, and restricted cash to balance sheet:</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Cash and cash equivalents - unrestricted</w:t>
            </w:r>
          </w:p>
        </w:tc>
        <w:tc>
          <w:tcPr>
            <w:tcW w:w="880" w:type="dxa"/>
            <w:vAlign w:val="bottom"/>
            <w:gridSpan w:val="2"/>
            <w:shd w:val="clear" w:color="auto" w:fill="CCEEFF"/>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498,371</w:t>
            </w:r>
          </w:p>
        </w:tc>
        <w:tc>
          <w:tcPr>
            <w:tcW w:w="380" w:type="dxa"/>
            <w:vAlign w:val="bottom"/>
            <w:gridSpan w:val="2"/>
            <w:shd w:val="clear" w:color="auto" w:fill="CCEEFF"/>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508,344</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tcBorders>
              <w:bottom w:val="single" w:sz="8" w:color="CCEEFF"/>
            </w:tcBorders>
          </w:tcPr>
          <w:p>
            <w:pPr>
              <w:ind w:left="80"/>
              <w:spacing w:after="0" w:line="162" w:lineRule="exact"/>
              <w:rPr>
                <w:sz w:val="20"/>
                <w:szCs w:val="20"/>
                <w:color w:val="auto"/>
              </w:rPr>
            </w:pPr>
            <w:r>
              <w:rPr>
                <w:rFonts w:ascii="Times New Roman" w:cs="Times New Roman" w:eastAsia="Times New Roman" w:hAnsi="Times New Roman"/>
                <w:sz w:val="15"/>
                <w:szCs w:val="15"/>
                <w:color w:val="auto"/>
              </w:rPr>
              <w:t>Cash and cash equivalents - restricted</w:t>
            </w:r>
          </w:p>
        </w:tc>
        <w:tc>
          <w:tcPr>
            <w:tcW w:w="7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51,908</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105,565</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940" w:type="dxa"/>
            <w:vAlign w:val="bottom"/>
            <w:tcBorders>
              <w:bottom w:val="single" w:sz="8" w:color="CCEEFF"/>
            </w:tcBorders>
            <w:shd w:val="clear" w:color="auto" w:fill="CCEEFF"/>
          </w:tcPr>
          <w:p>
            <w:pPr>
              <w:ind w:left="80"/>
              <w:spacing w:after="0" w:line="156" w:lineRule="exact"/>
              <w:rPr>
                <w:sz w:val="20"/>
                <w:szCs w:val="20"/>
                <w:color w:val="auto"/>
              </w:rPr>
            </w:pPr>
            <w:r>
              <w:rPr>
                <w:rFonts w:ascii="Times New Roman" w:cs="Times New Roman" w:eastAsia="Times New Roman" w:hAnsi="Times New Roman"/>
                <w:sz w:val="15"/>
                <w:szCs w:val="15"/>
                <w:color w:val="auto"/>
              </w:rPr>
              <w:t>Cash, cash equivalents, and restricted cash, end of period</w:t>
            </w:r>
          </w:p>
        </w:tc>
        <w:tc>
          <w:tcPr>
            <w:tcW w:w="7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550,279</w:t>
            </w:r>
          </w:p>
        </w:tc>
        <w:tc>
          <w:tcPr>
            <w:tcW w:w="2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2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613,909</w:t>
            </w:r>
          </w:p>
        </w:tc>
        <w:tc>
          <w:tcPr>
            <w:tcW w:w="2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RYMAN HOSPITALITY PROPERTIES,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NONCONTROLLING INTEREST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2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Distributions</w:t>
            </w:r>
          </w:p>
        </w:tc>
        <w:tc>
          <w:tcPr>
            <w:tcW w:w="90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Noncontrolling</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Noncontrolling</w:t>
            </w:r>
          </w:p>
        </w:tc>
      </w:tr>
      <w:tr>
        <w:trPr>
          <w:trHeight w:val="135"/>
        </w:trPr>
        <w:tc>
          <w:tcPr>
            <w:tcW w:w="2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8"/>
              </w:rPr>
              <w:t>Additional</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6"/>
              </w:rPr>
              <w:t>in Excess of</w:t>
            </w:r>
          </w:p>
        </w:tc>
        <w:tc>
          <w:tcPr>
            <w:tcW w:w="160" w:type="dxa"/>
            <w:vAlign w:val="bottom"/>
          </w:tcPr>
          <w:p>
            <w:pPr>
              <w:spacing w:after="0"/>
              <w:rPr>
                <w:sz w:val="11"/>
                <w:szCs w:val="11"/>
                <w:color w:val="auto"/>
              </w:rPr>
            </w:pPr>
          </w:p>
        </w:tc>
        <w:tc>
          <w:tcPr>
            <w:tcW w:w="74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120" w:type="dxa"/>
            <w:vAlign w:val="bottom"/>
          </w:tcPr>
          <w:p>
            <w:pPr>
              <w:spacing w:after="0"/>
              <w:rPr>
                <w:sz w:val="11"/>
                <w:szCs w:val="11"/>
                <w:color w:val="auto"/>
              </w:rPr>
            </w:pPr>
          </w:p>
        </w:tc>
        <w:tc>
          <w:tcPr>
            <w:tcW w:w="6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2"/>
                <w:szCs w:val="12"/>
                <w:b w:val="1"/>
                <w:bCs w:val="1"/>
                <w:color w:val="auto"/>
                <w:w w:val="94"/>
              </w:rPr>
              <w:t>Total</w:t>
            </w:r>
          </w:p>
        </w:tc>
        <w:tc>
          <w:tcPr>
            <w:tcW w:w="80" w:type="dxa"/>
            <w:vAlign w:val="bottom"/>
          </w:tcPr>
          <w:p>
            <w:pPr>
              <w:spacing w:after="0"/>
              <w:rPr>
                <w:sz w:val="11"/>
                <w:szCs w:val="11"/>
                <w:color w:val="auto"/>
              </w:rPr>
            </w:pPr>
          </w:p>
        </w:tc>
        <w:tc>
          <w:tcPr>
            <w:tcW w:w="8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2"/>
                <w:szCs w:val="12"/>
                <w:b w:val="1"/>
                <w:bCs w:val="1"/>
                <w:color w:val="auto"/>
                <w:w w:val="94"/>
              </w:rPr>
              <w:t>Interest in</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8"/>
              </w:rPr>
              <w:t>Interest in</w:t>
            </w:r>
          </w:p>
        </w:tc>
      </w:tr>
      <w:tr>
        <w:trPr>
          <w:trHeight w:val="135"/>
        </w:trPr>
        <w:tc>
          <w:tcPr>
            <w:tcW w:w="204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2"/>
                <w:szCs w:val="12"/>
                <w:b w:val="1"/>
                <w:bCs w:val="1"/>
                <w:color w:val="auto"/>
              </w:rPr>
              <w:t>Common</w:t>
            </w:r>
          </w:p>
        </w:tc>
        <w:tc>
          <w:tcPr>
            <w:tcW w:w="78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2"/>
                <w:szCs w:val="12"/>
                <w:b w:val="1"/>
                <w:bCs w:val="1"/>
                <w:color w:val="auto"/>
                <w:w w:val="96"/>
              </w:rPr>
              <w:t>Paid-in</w:t>
            </w:r>
          </w:p>
        </w:tc>
        <w:tc>
          <w:tcPr>
            <w:tcW w:w="6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2"/>
              </w:rPr>
              <w:t>Treasury</w:t>
            </w:r>
          </w:p>
        </w:tc>
        <w:tc>
          <w:tcPr>
            <w:tcW w:w="80" w:type="dxa"/>
            <w:vAlign w:val="bottom"/>
          </w:tcPr>
          <w:p>
            <w:pPr>
              <w:spacing w:after="0"/>
              <w:rPr>
                <w:sz w:val="11"/>
                <w:szCs w:val="11"/>
                <w:color w:val="auto"/>
              </w:rPr>
            </w:pPr>
          </w:p>
        </w:tc>
        <w:tc>
          <w:tcPr>
            <w:tcW w:w="7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2"/>
                <w:szCs w:val="12"/>
                <w:b w:val="1"/>
                <w:bCs w:val="1"/>
                <w:color w:val="auto"/>
                <w:w w:val="99"/>
              </w:rPr>
              <w:t>Retained</w:t>
            </w:r>
          </w:p>
        </w:tc>
        <w:tc>
          <w:tcPr>
            <w:tcW w:w="900" w:type="dxa"/>
            <w:vAlign w:val="bottom"/>
            <w:gridSpan w:val="3"/>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800" w:type="dxa"/>
            <w:vAlign w:val="bottom"/>
            <w:gridSpan w:val="3"/>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80" w:type="dxa"/>
            <w:vAlign w:val="bottom"/>
          </w:tcPr>
          <w:p>
            <w:pPr>
              <w:spacing w:after="0"/>
              <w:rPr>
                <w:sz w:val="11"/>
                <w:szCs w:val="11"/>
                <w:color w:val="auto"/>
              </w:rPr>
            </w:pPr>
          </w:p>
        </w:tc>
        <w:tc>
          <w:tcPr>
            <w:tcW w:w="8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2"/>
                <w:szCs w:val="12"/>
                <w:b w:val="1"/>
                <w:bCs w:val="1"/>
                <w:color w:val="auto"/>
                <w:w w:val="94"/>
              </w:rPr>
              <w:t>Operating</w:t>
            </w:r>
          </w:p>
        </w:tc>
        <w:tc>
          <w:tcPr>
            <w:tcW w:w="80" w:type="dxa"/>
            <w:vAlign w:val="bottom"/>
          </w:tcPr>
          <w:p>
            <w:pPr>
              <w:spacing w:after="0"/>
              <w:rPr>
                <w:sz w:val="11"/>
                <w:szCs w:val="11"/>
                <w:color w:val="auto"/>
              </w:rPr>
            </w:pPr>
          </w:p>
        </w:tc>
        <w:tc>
          <w:tcPr>
            <w:tcW w:w="6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2"/>
                <w:szCs w:val="12"/>
                <w:b w:val="1"/>
                <w:bCs w:val="1"/>
                <w:color w:val="auto"/>
                <w:w w:val="87"/>
              </w:rPr>
              <w:t>Total</w:t>
            </w:r>
          </w:p>
        </w:tc>
        <w:tc>
          <w:tcPr>
            <w:tcW w:w="6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Consolidated</w:t>
            </w:r>
          </w:p>
        </w:tc>
      </w:tr>
      <w:tr>
        <w:trPr>
          <w:trHeight w:val="145"/>
        </w:trPr>
        <w:tc>
          <w:tcPr>
            <w:tcW w:w="2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6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80" w:type="dxa"/>
            <w:vAlign w:val="bottom"/>
          </w:tcPr>
          <w:p>
            <w:pPr>
              <w:spacing w:after="0"/>
              <w:rPr>
                <w:sz w:val="12"/>
                <w:szCs w:val="12"/>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8"/>
              </w:rPr>
              <w:t>Earnings</w:t>
            </w:r>
          </w:p>
        </w:tc>
        <w:tc>
          <w:tcPr>
            <w:tcW w:w="160" w:type="dxa"/>
            <w:vAlign w:val="bottom"/>
          </w:tcPr>
          <w:p>
            <w:pPr>
              <w:spacing w:after="0"/>
              <w:rPr>
                <w:sz w:val="12"/>
                <w:szCs w:val="12"/>
                <w:color w:val="auto"/>
              </w:rPr>
            </w:pPr>
          </w:p>
        </w:tc>
        <w:tc>
          <w:tcPr>
            <w:tcW w:w="74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4"/>
              </w:rPr>
              <w:t>Loss</w:t>
            </w:r>
          </w:p>
        </w:tc>
        <w:tc>
          <w:tcPr>
            <w:tcW w:w="120" w:type="dxa"/>
            <w:vAlign w:val="bottom"/>
          </w:tcPr>
          <w:p>
            <w:pPr>
              <w:spacing w:after="0"/>
              <w:rPr>
                <w:sz w:val="12"/>
                <w:szCs w:val="12"/>
                <w:color w:val="auto"/>
              </w:rPr>
            </w:pP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80" w:type="dxa"/>
            <w:vAlign w:val="bottom"/>
          </w:tcPr>
          <w:p>
            <w:pPr>
              <w:spacing w:after="0"/>
              <w:rPr>
                <w:sz w:val="12"/>
                <w:szCs w:val="12"/>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4"/>
              </w:rPr>
              <w:t>Partnership</w:t>
            </w:r>
          </w:p>
        </w:tc>
        <w:tc>
          <w:tcPr>
            <w:tcW w:w="80" w:type="dxa"/>
            <w:vAlign w:val="bottom"/>
          </w:tcPr>
          <w:p>
            <w:pPr>
              <w:spacing w:after="0"/>
              <w:rPr>
                <w:sz w:val="12"/>
                <w:szCs w:val="12"/>
                <w:color w:val="auto"/>
              </w:rPr>
            </w:pPr>
          </w:p>
        </w:tc>
        <w:tc>
          <w:tcPr>
            <w:tcW w:w="6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2"/>
              </w:rPr>
              <w:t>Equity</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Joint Venture</w:t>
            </w:r>
          </w:p>
        </w:tc>
      </w:tr>
      <w:tr>
        <w:trPr>
          <w:trHeight w:val="129"/>
        </w:trPr>
        <w:tc>
          <w:tcPr>
            <w:tcW w:w="2040" w:type="dxa"/>
            <w:vAlign w:val="bottom"/>
            <w:tcBorders>
              <w:top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December 31, 2023</w:t>
            </w: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597</w:t>
            </w:r>
          </w:p>
        </w:tc>
        <w:tc>
          <w:tcPr>
            <w:tcW w:w="12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3"/>
              </w:rPr>
              <w:t>$ 1,502,710</w:t>
            </w:r>
          </w:p>
        </w:tc>
        <w:tc>
          <w:tcPr>
            <w:tcW w:w="14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2"/>
              </w:rPr>
              <w:t>$ (20,508)</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(894,259)</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(19,387)</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569,153</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3,624</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572,777</w:t>
            </w: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345,126</w:t>
            </w:r>
          </w:p>
        </w:tc>
      </w:tr>
      <w:tr>
        <w:trPr>
          <w:trHeight w:val="135"/>
        </w:trPr>
        <w:tc>
          <w:tcPr>
            <w:tcW w:w="20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Net income (loss)</w:t>
            </w:r>
          </w:p>
        </w:tc>
        <w:tc>
          <w:tcPr>
            <w:tcW w:w="80" w:type="dxa"/>
            <w:vAlign w:val="bottom"/>
          </w:tcPr>
          <w:p>
            <w:pPr>
              <w:spacing w:after="0"/>
              <w:rPr>
                <w:sz w:val="11"/>
                <w:szCs w:val="11"/>
                <w:color w:val="auto"/>
              </w:rPr>
            </w:pPr>
          </w:p>
        </w:tc>
        <w:tc>
          <w:tcPr>
            <w:tcW w:w="5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43,056</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43,056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284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43,340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(579)</w:t>
            </w:r>
          </w:p>
        </w:tc>
      </w:tr>
      <w:tr>
        <w:trPr>
          <w:trHeight w:val="117"/>
        </w:trPr>
        <w:tc>
          <w:tcPr>
            <w:tcW w:w="204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Adjustment of noncontrolling</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r>
      <w:tr>
        <w:trPr>
          <w:trHeight w:val="153"/>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interest to redemption value</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(9,318)</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(9,318)</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(9,318)</w:t>
            </w: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9,318</w:t>
            </w:r>
          </w:p>
        </w:tc>
      </w:tr>
      <w:tr>
        <w:trPr>
          <w:trHeight w:val="117"/>
        </w:trPr>
        <w:tc>
          <w:tcPr>
            <w:tcW w:w="204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Other comprehensive income, net</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53"/>
        </w:trPr>
        <w:tc>
          <w:tcPr>
            <w:tcW w:w="20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of income taxes</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1,408</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1,408</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204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Dividends and distributions</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r>
      <w:tr>
        <w:trPr>
          <w:trHeight w:val="153"/>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declared ($1.10 per share)</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(66,335)</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(66,174)</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(435)</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(66,609)</w:t>
            </w: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204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Restricted stock units and stock</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53"/>
        </w:trPr>
        <w:tc>
          <w:tcPr>
            <w:tcW w:w="20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options surrendered</w:t>
            </w:r>
          </w:p>
        </w:tc>
        <w:tc>
          <w:tcPr>
            <w:tcW w:w="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(12,055)</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(12,053)</w:t>
            </w:r>
          </w:p>
        </w:tc>
        <w:tc>
          <w:tcPr>
            <w:tcW w:w="8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(12,053)</w:t>
            </w: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204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Equity-based compensation</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r>
      <w:tr>
        <w:trPr>
          <w:trHeight w:val="153"/>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expense</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3,862</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3,862</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3,862</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29"/>
        </w:trPr>
        <w:tc>
          <w:tcPr>
            <w:tcW w:w="2040" w:type="dxa"/>
            <w:vAlign w:val="bottom"/>
            <w:tcBorders>
              <w:bottom w:val="single" w:sz="8" w:color="CCEEFF"/>
            </w:tcBorders>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March 31, 2024</w:t>
            </w: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599</w:t>
            </w:r>
          </w:p>
        </w:tc>
        <w:tc>
          <w:tcPr>
            <w:tcW w:w="120" w:type="dxa"/>
            <w:vAlign w:val="bottom"/>
            <w:tcBorders>
              <w:bottom w:val="single" w:sz="8" w:color="CCEEFF"/>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3"/>
              </w:rPr>
              <w:t>$ 1,485,360</w:t>
            </w:r>
          </w:p>
        </w:tc>
        <w:tc>
          <w:tcPr>
            <w:tcW w:w="140" w:type="dxa"/>
            <w:vAlign w:val="bottom"/>
            <w:tcBorders>
              <w:bottom w:val="single" w:sz="8" w:color="CCEEFF"/>
            </w:tcBorders>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2"/>
              </w:rPr>
              <w:t>$ (20,508)</w:t>
            </w:r>
          </w:p>
        </w:tc>
        <w:tc>
          <w:tcPr>
            <w:tcW w:w="1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(917,538)</w:t>
            </w:r>
          </w:p>
        </w:tc>
        <w:tc>
          <w:tcPr>
            <w:tcW w:w="12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(17,979)</w:t>
            </w:r>
          </w:p>
        </w:tc>
        <w:tc>
          <w:tcPr>
            <w:tcW w:w="12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529,934</w:t>
            </w:r>
          </w:p>
        </w:tc>
        <w:tc>
          <w:tcPr>
            <w:tcW w:w="1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3,473</w:t>
            </w:r>
          </w:p>
        </w:tc>
        <w:tc>
          <w:tcPr>
            <w:tcW w:w="1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533,407</w:t>
            </w:r>
          </w:p>
        </w:tc>
        <w:tc>
          <w:tcPr>
            <w:tcW w:w="12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353,865</w:t>
            </w:r>
          </w:p>
        </w:tc>
      </w:tr>
      <w:tr>
        <w:trPr>
          <w:trHeight w:val="128"/>
        </w:trPr>
        <w:tc>
          <w:tcPr>
            <w:tcW w:w="2040" w:type="dxa"/>
            <w:vAlign w:val="bottom"/>
            <w:shd w:val="clear" w:color="auto" w:fill="CCEEFF"/>
          </w:tcPr>
          <w:p>
            <w:pPr>
              <w:ind w:left="120"/>
              <w:spacing w:after="0" w:line="129" w:lineRule="exact"/>
              <w:rPr>
                <w:sz w:val="20"/>
                <w:szCs w:val="20"/>
                <w:color w:val="auto"/>
              </w:rPr>
            </w:pPr>
            <w:r>
              <w:rPr>
                <w:rFonts w:ascii="Times New Roman" w:cs="Times New Roman" w:eastAsia="Times New Roman" w:hAnsi="Times New Roman"/>
                <w:sz w:val="13"/>
                <w:szCs w:val="13"/>
                <w:color w:val="auto"/>
              </w:rPr>
              <w:t>Net income</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100,805</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100,805</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665</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101,470</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3,270</w:t>
            </w:r>
          </w:p>
        </w:tc>
      </w:tr>
      <w:tr>
        <w:trPr>
          <w:trHeight w:val="117"/>
        </w:trPr>
        <w:tc>
          <w:tcPr>
            <w:tcW w:w="204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Adjustment of noncontrolling</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53"/>
        </w:trPr>
        <w:tc>
          <w:tcPr>
            <w:tcW w:w="20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interest to redemption value</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(5,468)</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(5,468)</w:t>
            </w:r>
          </w:p>
        </w:tc>
        <w:tc>
          <w:tcPr>
            <w:tcW w:w="8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(5,468)</w:t>
            </w: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5,468</w:t>
            </w:r>
          </w:p>
        </w:tc>
      </w:tr>
      <w:tr>
        <w:trPr>
          <w:trHeight w:val="117"/>
        </w:trPr>
        <w:tc>
          <w:tcPr>
            <w:tcW w:w="204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Other comprehensive income, net</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r>
      <w:tr>
        <w:trPr>
          <w:trHeight w:val="153"/>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of income taxes</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204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Dividends and distributions</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53"/>
        </w:trPr>
        <w:tc>
          <w:tcPr>
            <w:tcW w:w="20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declared ($1.10 per share)</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w:t>
            </w:r>
          </w:p>
        </w:tc>
        <w:tc>
          <w:tcPr>
            <w:tcW w:w="14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(1,468)</w:t>
            </w:r>
          </w:p>
        </w:tc>
        <w:tc>
          <w:tcPr>
            <w:tcW w:w="8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(64,884)</w:t>
            </w:r>
          </w:p>
        </w:tc>
        <w:tc>
          <w:tcPr>
            <w:tcW w:w="16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(66,189)</w:t>
            </w:r>
          </w:p>
        </w:tc>
        <w:tc>
          <w:tcPr>
            <w:tcW w:w="8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(434)</w:t>
            </w:r>
          </w:p>
        </w:tc>
        <w:tc>
          <w:tcPr>
            <w:tcW w:w="8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(66,623)</w:t>
            </w: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204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Restricted stock units and stock</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r>
      <w:tr>
        <w:trPr>
          <w:trHeight w:val="153"/>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options surrendered</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204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Equity-based compensation</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53"/>
        </w:trPr>
        <w:tc>
          <w:tcPr>
            <w:tcW w:w="20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expense</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3,383</w:t>
            </w:r>
          </w:p>
        </w:tc>
        <w:tc>
          <w:tcPr>
            <w:tcW w:w="14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3,383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3,383</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29"/>
        </w:trPr>
        <w:tc>
          <w:tcPr>
            <w:tcW w:w="2040" w:type="dxa"/>
            <w:vAlign w:val="bottom"/>
            <w:tcBorders>
              <w:top w:val="single" w:sz="8" w:color="CCEEFF"/>
              <w:bottom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June 30, 2024</w:t>
            </w: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599</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3"/>
              </w:rPr>
              <w:t>$ 1,483,479</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2"/>
              </w:rPr>
              <w:t>$ (21,976)</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(881,617)</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(17,868)</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562,617</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3,704</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566,321</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362,603</w:t>
            </w:r>
          </w:p>
        </w:tc>
      </w:tr>
      <w:tr>
        <w:trPr>
          <w:trHeight w:val="20"/>
        </w:trPr>
        <w:tc>
          <w:tcPr>
            <w:tcW w:w="20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r>
      <w:tr>
        <w:trPr>
          <w:trHeight w:val="551"/>
        </w:trPr>
        <w:tc>
          <w:tcPr>
            <w:tcW w:w="2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Distributions</w:t>
            </w:r>
          </w:p>
        </w:tc>
        <w:tc>
          <w:tcPr>
            <w:tcW w:w="90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Noncontrolling</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Noncontrolling</w:t>
            </w:r>
          </w:p>
        </w:tc>
      </w:tr>
      <w:tr>
        <w:trPr>
          <w:trHeight w:val="135"/>
        </w:trPr>
        <w:tc>
          <w:tcPr>
            <w:tcW w:w="2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8"/>
              </w:rPr>
              <w:t>Additional</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6"/>
              </w:rPr>
              <w:t>in Excess of</w:t>
            </w:r>
          </w:p>
        </w:tc>
        <w:tc>
          <w:tcPr>
            <w:tcW w:w="160" w:type="dxa"/>
            <w:vAlign w:val="bottom"/>
          </w:tcPr>
          <w:p>
            <w:pPr>
              <w:spacing w:after="0"/>
              <w:rPr>
                <w:sz w:val="11"/>
                <w:szCs w:val="11"/>
                <w:color w:val="auto"/>
              </w:rPr>
            </w:pPr>
          </w:p>
        </w:tc>
        <w:tc>
          <w:tcPr>
            <w:tcW w:w="74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120" w:type="dxa"/>
            <w:vAlign w:val="bottom"/>
          </w:tcPr>
          <w:p>
            <w:pPr>
              <w:spacing w:after="0"/>
              <w:rPr>
                <w:sz w:val="11"/>
                <w:szCs w:val="11"/>
                <w:color w:val="auto"/>
              </w:rPr>
            </w:pPr>
          </w:p>
        </w:tc>
        <w:tc>
          <w:tcPr>
            <w:tcW w:w="6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2"/>
                <w:szCs w:val="12"/>
                <w:b w:val="1"/>
                <w:bCs w:val="1"/>
                <w:color w:val="auto"/>
                <w:w w:val="94"/>
              </w:rPr>
              <w:t>Total</w:t>
            </w:r>
          </w:p>
        </w:tc>
        <w:tc>
          <w:tcPr>
            <w:tcW w:w="80" w:type="dxa"/>
            <w:vAlign w:val="bottom"/>
          </w:tcPr>
          <w:p>
            <w:pPr>
              <w:spacing w:after="0"/>
              <w:rPr>
                <w:sz w:val="11"/>
                <w:szCs w:val="11"/>
                <w:color w:val="auto"/>
              </w:rPr>
            </w:pPr>
          </w:p>
        </w:tc>
        <w:tc>
          <w:tcPr>
            <w:tcW w:w="8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2"/>
                <w:szCs w:val="12"/>
                <w:b w:val="1"/>
                <w:bCs w:val="1"/>
                <w:color w:val="auto"/>
                <w:w w:val="94"/>
              </w:rPr>
              <w:t>Interest in</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8"/>
              </w:rPr>
              <w:t>Interest in</w:t>
            </w:r>
          </w:p>
        </w:tc>
      </w:tr>
      <w:tr>
        <w:trPr>
          <w:trHeight w:val="135"/>
        </w:trPr>
        <w:tc>
          <w:tcPr>
            <w:tcW w:w="204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2"/>
                <w:szCs w:val="12"/>
                <w:b w:val="1"/>
                <w:bCs w:val="1"/>
                <w:color w:val="auto"/>
              </w:rPr>
              <w:t>Common</w:t>
            </w:r>
          </w:p>
        </w:tc>
        <w:tc>
          <w:tcPr>
            <w:tcW w:w="78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2"/>
                <w:szCs w:val="12"/>
                <w:b w:val="1"/>
                <w:bCs w:val="1"/>
                <w:color w:val="auto"/>
                <w:w w:val="96"/>
              </w:rPr>
              <w:t>Paid-in</w:t>
            </w:r>
          </w:p>
        </w:tc>
        <w:tc>
          <w:tcPr>
            <w:tcW w:w="6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2"/>
              </w:rPr>
              <w:t>Treasury</w:t>
            </w:r>
          </w:p>
        </w:tc>
        <w:tc>
          <w:tcPr>
            <w:tcW w:w="80" w:type="dxa"/>
            <w:vAlign w:val="bottom"/>
          </w:tcPr>
          <w:p>
            <w:pPr>
              <w:spacing w:after="0"/>
              <w:rPr>
                <w:sz w:val="11"/>
                <w:szCs w:val="11"/>
                <w:color w:val="auto"/>
              </w:rPr>
            </w:pPr>
          </w:p>
        </w:tc>
        <w:tc>
          <w:tcPr>
            <w:tcW w:w="7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2"/>
                <w:szCs w:val="12"/>
                <w:b w:val="1"/>
                <w:bCs w:val="1"/>
                <w:color w:val="auto"/>
                <w:w w:val="99"/>
              </w:rPr>
              <w:t>Retained</w:t>
            </w:r>
          </w:p>
        </w:tc>
        <w:tc>
          <w:tcPr>
            <w:tcW w:w="900" w:type="dxa"/>
            <w:vAlign w:val="bottom"/>
            <w:gridSpan w:val="3"/>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800" w:type="dxa"/>
            <w:vAlign w:val="bottom"/>
            <w:gridSpan w:val="3"/>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80" w:type="dxa"/>
            <w:vAlign w:val="bottom"/>
          </w:tcPr>
          <w:p>
            <w:pPr>
              <w:spacing w:after="0"/>
              <w:rPr>
                <w:sz w:val="11"/>
                <w:szCs w:val="11"/>
                <w:color w:val="auto"/>
              </w:rPr>
            </w:pPr>
          </w:p>
        </w:tc>
        <w:tc>
          <w:tcPr>
            <w:tcW w:w="8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2"/>
                <w:szCs w:val="12"/>
                <w:b w:val="1"/>
                <w:bCs w:val="1"/>
                <w:color w:val="auto"/>
                <w:w w:val="94"/>
              </w:rPr>
              <w:t>Operating</w:t>
            </w:r>
          </w:p>
        </w:tc>
        <w:tc>
          <w:tcPr>
            <w:tcW w:w="80" w:type="dxa"/>
            <w:vAlign w:val="bottom"/>
          </w:tcPr>
          <w:p>
            <w:pPr>
              <w:spacing w:after="0"/>
              <w:rPr>
                <w:sz w:val="11"/>
                <w:szCs w:val="11"/>
                <w:color w:val="auto"/>
              </w:rPr>
            </w:pPr>
          </w:p>
        </w:tc>
        <w:tc>
          <w:tcPr>
            <w:tcW w:w="6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2"/>
                <w:szCs w:val="12"/>
                <w:b w:val="1"/>
                <w:bCs w:val="1"/>
                <w:color w:val="auto"/>
                <w:w w:val="87"/>
              </w:rPr>
              <w:t>Total</w:t>
            </w:r>
          </w:p>
        </w:tc>
        <w:tc>
          <w:tcPr>
            <w:tcW w:w="6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Consolidated</w:t>
            </w:r>
          </w:p>
        </w:tc>
      </w:tr>
      <w:tr>
        <w:trPr>
          <w:trHeight w:val="145"/>
        </w:trPr>
        <w:tc>
          <w:tcPr>
            <w:tcW w:w="2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6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80" w:type="dxa"/>
            <w:vAlign w:val="bottom"/>
          </w:tcPr>
          <w:p>
            <w:pPr>
              <w:spacing w:after="0"/>
              <w:rPr>
                <w:sz w:val="12"/>
                <w:szCs w:val="12"/>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8"/>
              </w:rPr>
              <w:t>Earnings</w:t>
            </w:r>
          </w:p>
        </w:tc>
        <w:tc>
          <w:tcPr>
            <w:tcW w:w="160" w:type="dxa"/>
            <w:vAlign w:val="bottom"/>
          </w:tcPr>
          <w:p>
            <w:pPr>
              <w:spacing w:after="0"/>
              <w:rPr>
                <w:sz w:val="12"/>
                <w:szCs w:val="12"/>
                <w:color w:val="auto"/>
              </w:rPr>
            </w:pPr>
          </w:p>
        </w:tc>
        <w:tc>
          <w:tcPr>
            <w:tcW w:w="74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4"/>
              </w:rPr>
              <w:t>Loss</w:t>
            </w:r>
          </w:p>
        </w:tc>
        <w:tc>
          <w:tcPr>
            <w:tcW w:w="120" w:type="dxa"/>
            <w:vAlign w:val="bottom"/>
          </w:tcPr>
          <w:p>
            <w:pPr>
              <w:spacing w:after="0"/>
              <w:rPr>
                <w:sz w:val="12"/>
                <w:szCs w:val="12"/>
                <w:color w:val="auto"/>
              </w:rPr>
            </w:pP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80" w:type="dxa"/>
            <w:vAlign w:val="bottom"/>
          </w:tcPr>
          <w:p>
            <w:pPr>
              <w:spacing w:after="0"/>
              <w:rPr>
                <w:sz w:val="12"/>
                <w:szCs w:val="12"/>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4"/>
              </w:rPr>
              <w:t>Partnership</w:t>
            </w:r>
          </w:p>
        </w:tc>
        <w:tc>
          <w:tcPr>
            <w:tcW w:w="80" w:type="dxa"/>
            <w:vAlign w:val="bottom"/>
          </w:tcPr>
          <w:p>
            <w:pPr>
              <w:spacing w:after="0"/>
              <w:rPr>
                <w:sz w:val="12"/>
                <w:szCs w:val="12"/>
                <w:color w:val="auto"/>
              </w:rPr>
            </w:pPr>
          </w:p>
        </w:tc>
        <w:tc>
          <w:tcPr>
            <w:tcW w:w="6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2"/>
              </w:rPr>
              <w:t>Equity</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Joint Venture</w:t>
            </w:r>
          </w:p>
        </w:tc>
      </w:tr>
      <w:tr>
        <w:trPr>
          <w:trHeight w:val="128"/>
        </w:trPr>
        <w:tc>
          <w:tcPr>
            <w:tcW w:w="2040" w:type="dxa"/>
            <w:vAlign w:val="bottom"/>
            <w:tcBorders>
              <w:top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December 31, 2022</w:t>
            </w: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552</w:t>
            </w:r>
          </w:p>
        </w:tc>
        <w:tc>
          <w:tcPr>
            <w:tcW w:w="12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3"/>
              </w:rPr>
              <w:t>$ 1,102,733</w:t>
            </w:r>
          </w:p>
        </w:tc>
        <w:tc>
          <w:tcPr>
            <w:tcW w:w="14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2"/>
              </w:rPr>
              <w:t>$ (18,467)</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(978,619)</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(10,923)</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95,276</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625</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95,901</w:t>
            </w: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311,857</w:t>
            </w:r>
          </w:p>
        </w:tc>
      </w:tr>
      <w:tr>
        <w:trPr>
          <w:trHeight w:val="135"/>
        </w:trPr>
        <w:tc>
          <w:tcPr>
            <w:tcW w:w="20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Net income (loss)</w:t>
            </w:r>
          </w:p>
        </w:tc>
        <w:tc>
          <w:tcPr>
            <w:tcW w:w="80" w:type="dxa"/>
            <w:vAlign w:val="bottom"/>
          </w:tcPr>
          <w:p>
            <w:pPr>
              <w:spacing w:after="0"/>
              <w:rPr>
                <w:sz w:val="11"/>
                <w:szCs w:val="11"/>
                <w:color w:val="auto"/>
              </w:rPr>
            </w:pPr>
          </w:p>
        </w:tc>
        <w:tc>
          <w:tcPr>
            <w:tcW w:w="5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61,320</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61,320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437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61,757</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(763)</w:t>
            </w:r>
          </w:p>
        </w:tc>
      </w:tr>
      <w:tr>
        <w:trPr>
          <w:trHeight w:val="117"/>
        </w:trPr>
        <w:tc>
          <w:tcPr>
            <w:tcW w:w="204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Adjustment of noncontrolling</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r>
      <w:tr>
        <w:trPr>
          <w:trHeight w:val="153"/>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interest to redemption value</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(8,659)</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(8,659)</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(8,659)</w:t>
            </w: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8,659</w:t>
            </w:r>
          </w:p>
        </w:tc>
      </w:tr>
      <w:tr>
        <w:trPr>
          <w:trHeight w:val="117"/>
        </w:trPr>
        <w:tc>
          <w:tcPr>
            <w:tcW w:w="204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Other comprehensive loss, net of</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53"/>
        </w:trPr>
        <w:tc>
          <w:tcPr>
            <w:tcW w:w="20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income taxes</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(6,292)</w:t>
            </w:r>
          </w:p>
        </w:tc>
        <w:tc>
          <w:tcPr>
            <w:tcW w:w="12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(6,292)</w:t>
            </w:r>
          </w:p>
        </w:tc>
        <w:tc>
          <w:tcPr>
            <w:tcW w:w="8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(6,292)</w:t>
            </w: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204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Dividends and distributions</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r>
      <w:tr>
        <w:trPr>
          <w:trHeight w:val="153"/>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declared ($0.75 per share)</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(41,900)</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(41,794)</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(296)</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(42,090)</w:t>
            </w: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204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Restricted stock units and stock</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53"/>
        </w:trPr>
        <w:tc>
          <w:tcPr>
            <w:tcW w:w="20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options surrendered</w:t>
            </w:r>
          </w:p>
        </w:tc>
        <w:tc>
          <w:tcPr>
            <w:tcW w:w="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(4,080)</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(4,079)</w:t>
            </w:r>
          </w:p>
        </w:tc>
        <w:tc>
          <w:tcPr>
            <w:tcW w:w="8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(4,079)</w:t>
            </w: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204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Equity-based compensation</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r>
      <w:tr>
        <w:trPr>
          <w:trHeight w:val="153"/>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expense</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3,739</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3,739</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3,739</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28"/>
        </w:trPr>
        <w:tc>
          <w:tcPr>
            <w:tcW w:w="2040" w:type="dxa"/>
            <w:vAlign w:val="bottom"/>
            <w:tcBorders>
              <w:bottom w:val="single" w:sz="8" w:color="CCEEFF"/>
            </w:tcBorders>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March 31, 2023</w:t>
            </w: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553</w:t>
            </w:r>
          </w:p>
        </w:tc>
        <w:tc>
          <w:tcPr>
            <w:tcW w:w="120" w:type="dxa"/>
            <w:vAlign w:val="bottom"/>
            <w:tcBorders>
              <w:bottom w:val="single" w:sz="8" w:color="CCEEFF"/>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3"/>
              </w:rPr>
              <w:t>$ 1,093,839</w:t>
            </w:r>
          </w:p>
        </w:tc>
        <w:tc>
          <w:tcPr>
            <w:tcW w:w="140" w:type="dxa"/>
            <w:vAlign w:val="bottom"/>
            <w:tcBorders>
              <w:bottom w:val="single" w:sz="8" w:color="CCEEFF"/>
            </w:tcBorders>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2"/>
              </w:rPr>
              <w:t>$ (18,467)</w:t>
            </w:r>
          </w:p>
        </w:tc>
        <w:tc>
          <w:tcPr>
            <w:tcW w:w="1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(959,199)</w:t>
            </w:r>
          </w:p>
        </w:tc>
        <w:tc>
          <w:tcPr>
            <w:tcW w:w="12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(17,215)</w:t>
            </w:r>
          </w:p>
        </w:tc>
        <w:tc>
          <w:tcPr>
            <w:tcW w:w="12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99,511</w:t>
            </w:r>
          </w:p>
        </w:tc>
        <w:tc>
          <w:tcPr>
            <w:tcW w:w="1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766</w:t>
            </w:r>
          </w:p>
        </w:tc>
        <w:tc>
          <w:tcPr>
            <w:tcW w:w="1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100,277</w:t>
            </w:r>
          </w:p>
        </w:tc>
        <w:tc>
          <w:tcPr>
            <w:tcW w:w="12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319,753</w:t>
            </w:r>
          </w:p>
        </w:tc>
      </w:tr>
      <w:tr>
        <w:trPr>
          <w:trHeight w:val="129"/>
        </w:trPr>
        <w:tc>
          <w:tcPr>
            <w:tcW w:w="2040" w:type="dxa"/>
            <w:vAlign w:val="bottom"/>
            <w:shd w:val="clear" w:color="auto" w:fill="CCEEFF"/>
          </w:tcPr>
          <w:p>
            <w:pPr>
              <w:ind w:left="120"/>
              <w:spacing w:after="0" w:line="129" w:lineRule="exact"/>
              <w:rPr>
                <w:sz w:val="20"/>
                <w:szCs w:val="20"/>
                <w:color w:val="auto"/>
              </w:rPr>
            </w:pPr>
            <w:r>
              <w:rPr>
                <w:rFonts w:ascii="Times New Roman" w:cs="Times New Roman" w:eastAsia="Times New Roman" w:hAnsi="Times New Roman"/>
                <w:sz w:val="13"/>
                <w:szCs w:val="13"/>
                <w:color w:val="auto"/>
              </w:rPr>
              <w:t>Net income</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66,543</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66,543</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466</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67,009</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3,134</w:t>
            </w:r>
          </w:p>
        </w:tc>
      </w:tr>
      <w:tr>
        <w:trPr>
          <w:trHeight w:val="117"/>
        </w:trPr>
        <w:tc>
          <w:tcPr>
            <w:tcW w:w="204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Adjustment of noncontrolling</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53"/>
        </w:trPr>
        <w:tc>
          <w:tcPr>
            <w:tcW w:w="20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interest to redemption value</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(4,762)</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(4,762)</w:t>
            </w:r>
          </w:p>
        </w:tc>
        <w:tc>
          <w:tcPr>
            <w:tcW w:w="8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(4,762)</w:t>
            </w: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4,762</w:t>
            </w:r>
          </w:p>
        </w:tc>
      </w:tr>
      <w:tr>
        <w:trPr>
          <w:trHeight w:val="117"/>
        </w:trPr>
        <w:tc>
          <w:tcPr>
            <w:tcW w:w="204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Other comprehensive loss, net of</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r>
      <w:tr>
        <w:trPr>
          <w:trHeight w:val="153"/>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income taxes</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(2,424)</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(2,424)</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(2,424)</w:t>
            </w: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35"/>
        </w:trPr>
        <w:tc>
          <w:tcPr>
            <w:tcW w:w="20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Issuance of common stock, net</w:t>
            </w:r>
          </w:p>
        </w:tc>
        <w:tc>
          <w:tcPr>
            <w:tcW w:w="8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44</w:t>
            </w: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395,400</w:t>
            </w:r>
          </w:p>
        </w:tc>
        <w:tc>
          <w:tcPr>
            <w:tcW w:w="140" w:type="dxa"/>
            <w:vAlign w:val="bottom"/>
          </w:tcPr>
          <w:p>
            <w:pPr>
              <w:spacing w:after="0"/>
              <w:rPr>
                <w:sz w:val="11"/>
                <w:szCs w:val="11"/>
                <w:color w:val="auto"/>
              </w:rPr>
            </w:pPr>
          </w:p>
        </w:tc>
        <w:tc>
          <w:tcPr>
            <w:tcW w:w="6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7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395,444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395,444</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17"/>
        </w:trPr>
        <w:tc>
          <w:tcPr>
            <w:tcW w:w="204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Dividends and distributions</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r>
      <w:tr>
        <w:trPr>
          <w:trHeight w:val="153"/>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declared ($1.00 per share)</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(60,285)</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(60,131)</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(395)</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(60,526)</w:t>
            </w: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204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Restricted stock units and stock</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53"/>
        </w:trPr>
        <w:tc>
          <w:tcPr>
            <w:tcW w:w="20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options surrendered</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(103)</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(103)</w:t>
            </w:r>
          </w:p>
        </w:tc>
        <w:tc>
          <w:tcPr>
            <w:tcW w:w="8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(103)</w:t>
            </w: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204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Equity-based compensation</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r>
      <w:tr>
        <w:trPr>
          <w:trHeight w:val="153"/>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expense</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3,801</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3,801</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3,801</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29"/>
        </w:trPr>
        <w:tc>
          <w:tcPr>
            <w:tcW w:w="204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June 30, 2023</w:t>
            </w: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597</w:t>
            </w:r>
          </w:p>
        </w:tc>
        <w:tc>
          <w:tcPr>
            <w:tcW w:w="120" w:type="dxa"/>
            <w:vAlign w:val="bottom"/>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3"/>
              </w:rPr>
              <w:t>$ 1,488,329</w:t>
            </w:r>
          </w:p>
        </w:tc>
        <w:tc>
          <w:tcPr>
            <w:tcW w:w="140" w:type="dxa"/>
            <w:vAlign w:val="bottom"/>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2"/>
              </w:rPr>
              <w:t>$ (18,467)</w:t>
            </w:r>
          </w:p>
        </w:tc>
        <w:tc>
          <w:tcPr>
            <w:tcW w:w="12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(952,941)</w:t>
            </w:r>
          </w:p>
        </w:tc>
        <w:tc>
          <w:tcPr>
            <w:tcW w:w="12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(19,639)</w:t>
            </w:r>
          </w:p>
        </w:tc>
        <w:tc>
          <w:tcPr>
            <w:tcW w:w="12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497,879</w:t>
            </w:r>
          </w:p>
        </w:tc>
        <w:tc>
          <w:tcPr>
            <w:tcW w:w="12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837</w:t>
            </w:r>
          </w:p>
        </w:tc>
        <w:tc>
          <w:tcPr>
            <w:tcW w:w="12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498,716</w:t>
            </w:r>
          </w:p>
        </w:tc>
        <w:tc>
          <w:tcPr>
            <w:tcW w:w="12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327,649</w:t>
            </w:r>
          </w:p>
        </w:tc>
      </w:tr>
      <w:tr>
        <w:trPr>
          <w:trHeight w:val="20"/>
        </w:trPr>
        <w:tc>
          <w:tcPr>
            <w:tcW w:w="20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60" w:right="79"/>
        <w:spacing w:after="0" w:line="268" w:lineRule="auto"/>
        <w:rPr>
          <w:sz w:val="20"/>
          <w:szCs w:val="20"/>
          <w:color w:val="auto"/>
        </w:rPr>
      </w:pPr>
      <w:r>
        <w:rPr>
          <w:rFonts w:ascii="Times New Roman" w:cs="Times New Roman" w:eastAsia="Times New Roman" w:hAnsi="Times New Roman"/>
          <w:sz w:val="18"/>
          <w:szCs w:val="18"/>
          <w:b w:val="1"/>
          <w:bCs w:val="1"/>
          <w:color w:val="auto"/>
        </w:rPr>
        <w:t>RYMAN HOSPITALITY PROPERTIES, INC. AND SUBSIDIARIES NOTES TO CONDENSED CONSOLIDATED FINANCIAL STATEMENTS (UNAUDITED)</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229"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On January 1, 2013, Ryman Hospitality Properties, Inc. (“Ryman”) and its subsidiaries (collectively with Ryman, the “Company”) began operating as a real estate investment trust (“REIT”) for federal income tax purposes, specializing in group-oriented, destination hotel assets in urban and resort markets. The Company’s owned assets include a network of upscale, meetings-focused resorts that are managed by Marriott International, Inc. (“Marriott”) under the Gaylord Hotels brand. These five resorts, which the Company refers to as the Gaylord Hotels properties, consist of the Gaylord Opryland Resort &amp; Convention Center in Nashville, Tennessee (“Gaylord Opryland”), the Gaylord Palms Resort &amp; Convention Center near Orlando, Florida (“Gaylord Palms”), the Gaylord Texan Resort &amp; Convention Center near Dallas, Texas (“Gaylord Texan”), the Gaylord National Resort &amp; Convention Center near Washington D.C. (“Gaylord National”), and the Gaylord Rockies Resort &amp; Convention Center near Denver, Colorado (“Gaylord Rockies”). The Company’s other owned hotel assets managed by Marriott include the Inn at Opryland, an overflow hotel adjacent to Gaylord Opryland, the AC Hotel at National Harbor, Washington D.C. (“AC Hotel”), an overflow hotel adjacent to Gaylord National, and effective June 30, 2023, the JW Marriott San Antonio Hill Country Resort &amp; Spa (“JW Marriott Hill Country”).</w:t>
      </w:r>
    </w:p>
    <w:p>
      <w:pPr>
        <w:spacing w:after="0" w:line="149"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The Company also owns a controlling 70% equity interest in OEG Attractions Holdings, LLC, a business comprised of a number of entertainment and media assets, known as the Opry Entertainment Group (“OEG”), which the Company reports as its Entertainment segment. These assets include the Grand Ole Opry, the legendary weekly showcase of country music’s finest performers; the Ryman Auditorium, the storied live music venue and former home of the Grand Ole Opry; WSM-AM, the Opry’s radio home; Ole Red, a brand of Blake Shelton-themed bar, music venue and event spaces; Category 10, a Luke Combs-themed bar, music venue and event space currently under construction; and Block 21, a mixed-use entertainment, lodging, office, and retail complex located in Austin, Texas (“Block 21”).</w:t>
      </w:r>
    </w:p>
    <w:p>
      <w:pPr>
        <w:spacing w:after="0" w:line="148"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The Company consolidates the assets, liabilities and results of operations of OEG in the accompanying condensed consolidated financial statements. The portion of OEG that the Company does not own is recorded as noncontrolling interest in consolidated joint venture, which is classified as mezzanine equity in the accompanying condensed consolidated balance sheets, and any adjustment necessary to reflect the noncontrolling interest at its redemption value is shown in the accompanying condensed consolidated statements of equity and noncontrolling interest. See Note 3, “Income Per Share,” for further disclosure.</w:t>
      </w:r>
    </w:p>
    <w:p>
      <w:pPr>
        <w:spacing w:after="0" w:line="160"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Ryman and its subsidiaries and have been prepared by the Company, without audit, pursuant to the rules and regulations of the Securities and Exchange Commission (the “SEC”). Certain information and footnote disclosures normally included in annual financial statements prepared in accordance with generally accepted accounting principles have been condensed or omitted from this report pursuant to such rules and regulations. These condensed consolidated financial statements should be read in conjunction with the audited consolidated financial statements and the notes thereto included in the Company’s Annual Report on Form 10-K for the year ended December 31, 2023. In the opinion of management, all adjustments necessary for a fair statement of the results of operations for the interim periods have been included. All adjustments are of a normal, recurring nature. The results of operations for such interim periods are not necessarily indicative of the results for the full year because of seasonal and short-term variations.</w:t>
      </w:r>
    </w:p>
    <w:p>
      <w:pPr>
        <w:spacing w:after="0" w:line="154" w:lineRule="exact"/>
        <w:rPr>
          <w:sz w:val="20"/>
          <w:szCs w:val="20"/>
          <w:color w:val="auto"/>
        </w:rPr>
      </w:pPr>
    </w:p>
    <w:p>
      <w:pPr>
        <w:ind w:left="60" w:right="539"/>
        <w:spacing w:after="0" w:line="282" w:lineRule="auto"/>
        <w:rPr>
          <w:sz w:val="20"/>
          <w:szCs w:val="20"/>
          <w:color w:val="auto"/>
        </w:rPr>
      </w:pPr>
      <w:r>
        <w:rPr>
          <w:rFonts w:ascii="Times New Roman" w:cs="Times New Roman" w:eastAsia="Times New Roman" w:hAnsi="Times New Roman"/>
          <w:sz w:val="18"/>
          <w:szCs w:val="18"/>
          <w:color w:val="auto"/>
        </w:rPr>
        <w:t>The Company principally operates, through its subsidiaries and its property managers, as applicable, in the following business segments: Hospitality, Entertainment, and Corporate and Other.</w:t>
      </w:r>
    </w:p>
    <w:p>
      <w:pPr>
        <w:spacing w:after="0" w:line="1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Newly Issued Accounting Standards</w:t>
      </w:r>
    </w:p>
    <w:p>
      <w:pPr>
        <w:spacing w:after="0" w:line="200" w:lineRule="exact"/>
        <w:rPr>
          <w:sz w:val="20"/>
          <w:szCs w:val="20"/>
          <w:color w:val="auto"/>
        </w:rPr>
      </w:pPr>
    </w:p>
    <w:p>
      <w:pPr>
        <w:ind w:left="60" w:right="319"/>
        <w:spacing w:after="0" w:line="281" w:lineRule="auto"/>
        <w:rPr>
          <w:sz w:val="20"/>
          <w:szCs w:val="20"/>
          <w:color w:val="auto"/>
        </w:rPr>
      </w:pPr>
      <w:r>
        <w:rPr>
          <w:rFonts w:ascii="Times New Roman" w:cs="Times New Roman" w:eastAsia="Times New Roman" w:hAnsi="Times New Roman"/>
          <w:sz w:val="17"/>
          <w:szCs w:val="17"/>
          <w:color w:val="auto"/>
        </w:rPr>
        <w:t>In November 2023, the Financial Accounting Standards Board (“FASB”) issued Accounting Standards Update (“ASU”) No. 2023-07, “</w:t>
      </w:r>
      <w:r>
        <w:rPr>
          <w:rFonts w:ascii="Times New Roman" w:cs="Times New Roman" w:eastAsia="Times New Roman" w:hAnsi="Times New Roman"/>
          <w:sz w:val="17"/>
          <w:szCs w:val="17"/>
          <w:i w:val="1"/>
          <w:iCs w:val="1"/>
          <w:color w:val="auto"/>
        </w:rPr>
        <w:t>Improvements to Reportable Segment Disclosures</w:t>
      </w:r>
      <w:r>
        <w:rPr>
          <w:rFonts w:ascii="Times New Roman" w:cs="Times New Roman" w:eastAsia="Times New Roman" w:hAnsi="Times New Roman"/>
          <w:sz w:val="17"/>
          <w:szCs w:val="17"/>
          <w:color w:val="auto"/>
        </w:rPr>
        <w:t>,” requiring public entities to provide disclosures of significant segment expenses and other segment items, as well as to provide in interim periods all disclosures about a reportable segment’s profit or loss and assets that are currently required annually. The guidance is applied</w:t>
      </w:r>
    </w:p>
    <w:p>
      <w:pPr>
        <w:sectPr>
          <w:pgSz w:w="11900" w:h="16838" w:orient="portrait"/>
          <w:cols w:equalWidth="0" w:num="1">
            <w:col w:w="9019"/>
          </w:cols>
          <w:pgMar w:left="1440" w:top="513" w:right="1440"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59"/>
        <w:spacing w:after="0" w:line="266" w:lineRule="auto"/>
        <w:rPr>
          <w:sz w:val="20"/>
          <w:szCs w:val="20"/>
          <w:color w:val="auto"/>
        </w:rPr>
      </w:pPr>
      <w:r>
        <w:rPr>
          <w:rFonts w:ascii="Times New Roman" w:cs="Times New Roman" w:eastAsia="Times New Roman" w:hAnsi="Times New Roman"/>
          <w:sz w:val="18"/>
          <w:szCs w:val="18"/>
          <w:color w:val="auto"/>
        </w:rPr>
        <w:t>retrospectively and will be effective for the Company for fiscal year 2024 and for interim periods beginning in fiscal year 2025. The Company is currently evaluating the impact of this ASU but does not anticipate this adoption to have a material impact on the Company’s financial statements.</w:t>
      </w:r>
    </w:p>
    <w:p>
      <w:pPr>
        <w:spacing w:after="0" w:line="174" w:lineRule="exact"/>
        <w:rPr>
          <w:sz w:val="20"/>
          <w:szCs w:val="20"/>
          <w:color w:val="auto"/>
        </w:rPr>
      </w:pPr>
    </w:p>
    <w:p>
      <w:pPr>
        <w:ind w:left="60" w:right="79"/>
        <w:spacing w:after="0" w:line="257" w:lineRule="auto"/>
        <w:rPr>
          <w:sz w:val="20"/>
          <w:szCs w:val="20"/>
          <w:color w:val="auto"/>
        </w:rPr>
      </w:pPr>
      <w:r>
        <w:rPr>
          <w:rFonts w:ascii="Times New Roman" w:cs="Times New Roman" w:eastAsia="Times New Roman" w:hAnsi="Times New Roman"/>
          <w:sz w:val="18"/>
          <w:szCs w:val="18"/>
          <w:color w:val="auto"/>
        </w:rPr>
        <w:t>In December 2023, the FASB issued ASU No.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requiring public entities to provide additional information in the rate reconciliation, to disclose annually income taxes paid disaggregated by federal, state and foreign taxes and to disaggregate the information by jurisdiction based on a quantitative threshold. The guidance is applied prospectively, but with the option to apply retrospectively, and will be effective for the Company for fiscal year 2025. The Company is currently evaluating the impact of this ASU but does not anticipate this adoption to have a material impact on the Company’s financial statements.</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REVENUES:</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revenues disaggregated by major source are as follows (in thousands):</w:t>
      </w:r>
    </w:p>
    <w:p>
      <w:pPr>
        <w:spacing w:after="0" w:line="179"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72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720" w:type="dxa"/>
            <w:vAlign w:val="bottom"/>
            <w:tcBorders>
              <w:bottom w:val="single" w:sz="8" w:color="auto"/>
            </w:tcBorders>
            <w:gridSpan w:val="3"/>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42"/>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jc w:val="right"/>
              <w:ind w:right="18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920" w:type="dxa"/>
            <w:vAlign w:val="bottom"/>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960" w:type="dxa"/>
            <w:vAlign w:val="bottom"/>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20" w:type="dxa"/>
            <w:vAlign w:val="bottom"/>
          </w:tcPr>
          <w:p>
            <w:pPr>
              <w:spacing w:after="0"/>
              <w:rPr>
                <w:sz w:val="18"/>
                <w:szCs w:val="18"/>
                <w:color w:val="auto"/>
              </w:rPr>
            </w:pPr>
          </w:p>
        </w:tc>
        <w:tc>
          <w:tcPr>
            <w:tcW w:w="2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Hotel group rooms</w:t>
            </w:r>
          </w:p>
        </w:tc>
        <w:tc>
          <w:tcPr>
            <w:tcW w:w="4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$ 145,869</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$ 120,334</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277,270</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$ 240,847</w:t>
            </w: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Hotel transient rooms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53,628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48,158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95,860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88,896</w:t>
            </w: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Hotel food and beverage - banquets</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190,201</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138,662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365,651</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299,161</w:t>
            </w: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Hotel food and beverage - outlets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69,185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59,246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128,818</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114,551</w:t>
            </w: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Hotel other</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60,204</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51,285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112,958</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98,669</w:t>
            </w: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Entertainment admissions/ticketing</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34,356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34,103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56,922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56,259</w:t>
            </w: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Entertainment food and beverage</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34,587</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28,641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59,857</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52,707</w:t>
            </w: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25,260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44,299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45,472</w:t>
            </w:r>
          </w:p>
        </w:tc>
      </w:tr>
      <w:tr>
        <w:trPr>
          <w:trHeight w:val="210"/>
        </w:trPr>
        <w:tc>
          <w:tcPr>
            <w:tcW w:w="20" w:type="dxa"/>
            <w:vAlign w:val="bottom"/>
          </w:tcPr>
          <w:p>
            <w:pPr>
              <w:spacing w:after="0"/>
              <w:rPr>
                <w:sz w:val="18"/>
                <w:szCs w:val="18"/>
                <w:color w:val="auto"/>
              </w:rPr>
            </w:pPr>
          </w:p>
        </w:tc>
        <w:tc>
          <w:tcPr>
            <w:tcW w:w="2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$ 613,290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$ 504,843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1,141,635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$ 996,562</w:t>
            </w: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Hospitality segment revenues disaggregated by location are as follows (in thousands):</w:t>
      </w:r>
    </w:p>
    <w:p>
      <w:pPr>
        <w:spacing w:after="0" w:line="179"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72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720" w:type="dxa"/>
            <w:vAlign w:val="bottom"/>
            <w:gridSpan w:val="3"/>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720" w:type="dxa"/>
            <w:vAlign w:val="bottom"/>
            <w:tcBorders>
              <w:bottom w:val="single" w:sz="8" w:color="auto"/>
            </w:tcBorders>
            <w:gridSpan w:val="3"/>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5"/>
                <w:szCs w:val="15"/>
                <w:color w:val="auto"/>
              </w:rPr>
            </w:pPr>
          </w:p>
        </w:tc>
        <w:tc>
          <w:tcPr>
            <w:tcW w:w="1720" w:type="dxa"/>
            <w:vAlign w:val="bottom"/>
            <w:tcBorders>
              <w:bottom w:val="single" w:sz="8" w:color="auto"/>
            </w:tcBorders>
            <w:gridSpan w:val="3"/>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42"/>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jc w:val="right"/>
              <w:ind w:right="18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940" w:type="dxa"/>
            <w:vAlign w:val="bottom"/>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780" w:type="dxa"/>
            <w:vAlign w:val="bottom"/>
          </w:tcPr>
          <w:p>
            <w:pPr>
              <w:jc w:val="right"/>
              <w:ind w:right="18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940" w:type="dxa"/>
            <w:vAlign w:val="bottom"/>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20" w:type="dxa"/>
            <w:vAlign w:val="bottom"/>
          </w:tcPr>
          <w:p>
            <w:pPr>
              <w:spacing w:after="0"/>
              <w:rPr>
                <w:sz w:val="18"/>
                <w:szCs w:val="18"/>
                <w:color w:val="auto"/>
              </w:rPr>
            </w:pPr>
          </w:p>
        </w:tc>
        <w:tc>
          <w:tcPr>
            <w:tcW w:w="3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Gaylord Opryland</w:t>
            </w:r>
          </w:p>
        </w:tc>
        <w:tc>
          <w:tcPr>
            <w:tcW w:w="5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$ 130,352</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$ 110,475</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$ 234,187</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$ 222,281</w:t>
            </w: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Gaylord Palms</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68,799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73,829</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154,262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158,375</w:t>
            </w: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Gaylord Texan</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83,897</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81,479</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168,799</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167,877</w:t>
            </w: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Gaylord National</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88,369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77,014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156,643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149,786</w:t>
            </w: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Gaylord Rockies</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76,836</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67,127</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140,658</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131,174</w:t>
            </w: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JW Marriott Hill Country</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62,850</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112,791</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 Hotel</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4,107</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3,401</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6,929</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5,612</w:t>
            </w: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Inn at Opryland and other</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3,877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4,360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6,288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7,019</w:t>
            </w:r>
          </w:p>
        </w:tc>
      </w:tr>
      <w:tr>
        <w:trPr>
          <w:trHeight w:val="210"/>
        </w:trPr>
        <w:tc>
          <w:tcPr>
            <w:tcW w:w="20" w:type="dxa"/>
            <w:vAlign w:val="bottom"/>
          </w:tcPr>
          <w:p>
            <w:pPr>
              <w:spacing w:after="0"/>
              <w:rPr>
                <w:sz w:val="18"/>
                <w:szCs w:val="18"/>
                <w:color w:val="auto"/>
              </w:rPr>
            </w:pPr>
          </w:p>
        </w:tc>
        <w:tc>
          <w:tcPr>
            <w:tcW w:w="3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Hospitality segment revenues</w:t>
            </w:r>
          </w:p>
        </w:tc>
        <w:tc>
          <w:tcPr>
            <w:tcW w:w="50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$ 519,087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$ 417,685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$ 980,557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$ 842,124</w:t>
            </w: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The majority of the Company’s Entertainment segment revenues are concentrated in Nashville, Tennessee; Austin, Texas; and Las Vegas, Nevada.</w:t>
      </w:r>
    </w:p>
    <w:p>
      <w:pPr>
        <w:spacing w:after="0" w:line="135"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The Company records deferred revenues when cash payments are received in advance of its performance obligations, primarily related to advanced deposits on hotel rooms and advanced ticketing at its OEG venues. At June 30, 2024 and December 31, 2023, the Company had $152.5 million and $159.8 million, respectively, in deferred revenues, which are included in accounts payable and accrued liabilities in the accompanying condensed consolidated balance sheets. Of the amount outstanding at December 31, 2023, approximately $104.7 million was recognized in revenue during the six months ended June 30, 2024.</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INCOME PER SHARE:</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computation of basic and diluted earnings per common share is as follows (in thousands, except per share data):</w:t>
      </w:r>
    </w:p>
    <w:p>
      <w:pPr>
        <w:spacing w:after="0" w:line="179"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4"/>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4"/>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Borders>
              <w:bottom w:val="single" w:sz="8" w:color="auto"/>
            </w:tcBorders>
            <w:gridSpan w:val="4"/>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Borders>
              <w:bottom w:val="single" w:sz="8" w:color="auto"/>
            </w:tcBorders>
            <w:gridSpan w:val="4"/>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income available to common stockholders</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100,805</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66,543</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143,861</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127,863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8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Net income attributable to noncontrolling interest in</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consolidated joint venture</w:t>
            </w:r>
          </w:p>
        </w:tc>
        <w:tc>
          <w:tcPr>
            <w:tcW w:w="2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w:t>
            </w:r>
          </w:p>
        </w:tc>
        <w:tc>
          <w:tcPr>
            <w:tcW w:w="16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3,134</w:t>
            </w:r>
          </w:p>
        </w:tc>
        <w:tc>
          <w:tcPr>
            <w:tcW w:w="1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w:t>
            </w:r>
          </w:p>
        </w:tc>
        <w:tc>
          <w:tcPr>
            <w:tcW w:w="1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680" w:type="dxa"/>
            <w:vAlign w:val="bottom"/>
          </w:tcPr>
          <w:p>
            <w:pPr>
              <w:ind w:left="80"/>
              <w:spacing w:after="0" w:line="177" w:lineRule="exact"/>
              <w:rPr>
                <w:sz w:val="20"/>
                <w:szCs w:val="20"/>
                <w:color w:val="auto"/>
              </w:rPr>
            </w:pPr>
            <w:r>
              <w:rPr>
                <w:rFonts w:ascii="Times New Roman" w:cs="Times New Roman" w:eastAsia="Times New Roman" w:hAnsi="Times New Roman"/>
                <w:sz w:val="18"/>
                <w:szCs w:val="18"/>
                <w:color w:val="auto"/>
              </w:rPr>
              <w:t>Net income available to common stockholders - if-converted</w:t>
            </w:r>
          </w:p>
        </w:tc>
        <w:tc>
          <w:tcPr>
            <w:tcW w:w="3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104,075</w:t>
            </w:r>
          </w:p>
        </w:tc>
        <w:tc>
          <w:tcPr>
            <w:tcW w:w="2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69,677</w:t>
            </w:r>
          </w:p>
        </w:tc>
        <w:tc>
          <w:tcPr>
            <w:tcW w:w="2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146,552</w:t>
            </w:r>
          </w:p>
        </w:tc>
        <w:tc>
          <w:tcPr>
            <w:tcW w:w="2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130,234</w:t>
            </w: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4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method</w:t>
            </w:r>
          </w:p>
        </w:tc>
        <w:tc>
          <w:tcPr>
            <w:tcW w:w="320" w:type="dxa"/>
            <w:vAlign w:val="bottom"/>
            <w:gridSpan w:val="2"/>
            <w:vMerge w:val="continue"/>
          </w:tcPr>
          <w:p>
            <w:pPr>
              <w:spacing w:after="0"/>
              <w:rPr>
                <w:sz w:val="22"/>
                <w:szCs w:val="22"/>
                <w:color w:val="auto"/>
              </w:rPr>
            </w:pPr>
          </w:p>
        </w:tc>
        <w:tc>
          <w:tcPr>
            <w:tcW w:w="700" w:type="dxa"/>
            <w:vAlign w:val="bottom"/>
            <w:vMerge w:val="continue"/>
          </w:tcPr>
          <w:p>
            <w:pPr>
              <w:spacing w:after="0"/>
              <w:rPr>
                <w:sz w:val="22"/>
                <w:szCs w:val="22"/>
                <w:color w:val="auto"/>
              </w:rPr>
            </w:pPr>
          </w:p>
        </w:tc>
        <w:tc>
          <w:tcPr>
            <w:tcW w:w="240" w:type="dxa"/>
            <w:vAlign w:val="bottom"/>
            <w:gridSpan w:val="2"/>
            <w:vMerge w:val="continue"/>
          </w:tcPr>
          <w:p>
            <w:pPr>
              <w:spacing w:after="0"/>
              <w:rPr>
                <w:sz w:val="22"/>
                <w:szCs w:val="22"/>
                <w:color w:val="auto"/>
              </w:rPr>
            </w:pPr>
          </w:p>
        </w:tc>
        <w:tc>
          <w:tcPr>
            <w:tcW w:w="620" w:type="dxa"/>
            <w:vAlign w:val="bottom"/>
            <w:vMerge w:val="continue"/>
          </w:tcPr>
          <w:p>
            <w:pPr>
              <w:spacing w:after="0"/>
              <w:rPr>
                <w:sz w:val="22"/>
                <w:szCs w:val="22"/>
                <w:color w:val="auto"/>
              </w:rPr>
            </w:pPr>
          </w:p>
        </w:tc>
        <w:tc>
          <w:tcPr>
            <w:tcW w:w="240" w:type="dxa"/>
            <w:vAlign w:val="bottom"/>
            <w:gridSpan w:val="2"/>
            <w:vMerge w:val="continue"/>
          </w:tcPr>
          <w:p>
            <w:pPr>
              <w:spacing w:after="0"/>
              <w:rPr>
                <w:sz w:val="22"/>
                <w:szCs w:val="22"/>
                <w:color w:val="auto"/>
              </w:rPr>
            </w:pPr>
          </w:p>
        </w:tc>
        <w:tc>
          <w:tcPr>
            <w:tcW w:w="700" w:type="dxa"/>
            <w:vAlign w:val="bottom"/>
            <w:vMerge w:val="continue"/>
          </w:tcPr>
          <w:p>
            <w:pPr>
              <w:spacing w:after="0"/>
              <w:rPr>
                <w:sz w:val="22"/>
                <w:szCs w:val="22"/>
                <w:color w:val="auto"/>
              </w:rPr>
            </w:pPr>
          </w:p>
        </w:tc>
        <w:tc>
          <w:tcPr>
            <w:tcW w:w="240" w:type="dxa"/>
            <w:vAlign w:val="bottom"/>
            <w:gridSpan w:val="2"/>
            <w:vMerge w:val="continue"/>
          </w:tcPr>
          <w:p>
            <w:pPr>
              <w:spacing w:after="0"/>
              <w:rPr>
                <w:sz w:val="22"/>
                <w:szCs w:val="22"/>
                <w:color w:val="auto"/>
              </w:rPr>
            </w:pPr>
          </w:p>
        </w:tc>
        <w:tc>
          <w:tcPr>
            <w:tcW w:w="7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59,895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56,329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59,817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Effect of dilutive stock-based compensation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Effect of dilutive put rights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2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63,223</w:t>
            </w:r>
          </w:p>
        </w:tc>
        <w:tc>
          <w:tcPr>
            <w:tcW w:w="1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60,489</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63,446</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59,973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Basic income per share available to common stockholders</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income per share available to common stockholders</w:t>
            </w: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As more fully discussed in Note 1 to the consolidated financial statements included in the Company’s Annual Report on Form 10-K for the year ended December 31, 2023, although currently not exercisable, the minority investor of OEG has certain put rights (the “OEG Put Rights”) to require the Company to purchase the minority investor’s equity interest in OEG, which the Company may pay in cash or Company stock at the Company’s option. The Company calculated potential dilution for the OEG Put Rights based on the if-converted method, which assumes the OEG Put Rights were converted on the first day of the period or the date of issuance and the minority investor’s noncontrolling equity interest was redeemed in exchange for shares of the Company’s common stock.</w:t>
      </w:r>
    </w:p>
    <w:p>
      <w:pPr>
        <w:spacing w:after="0" w:line="148"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The operating partnership units (“OP Units”) held by the noncontrolling interest holders in RHP Hotel Properties, LP (the “Operating Partnership”) have been excluded from the denominator of the diluted income per share calculation for the three and six months ended June 30, 2024 and 2023 as there would be no effect on the calculation of diluted income per share because the income or loss attributable to the OP Units held by the noncontrolling interest holders would also be added or subtracted to derive net income available to common stockholders.</w:t>
      </w:r>
    </w:p>
    <w:p>
      <w:pPr>
        <w:spacing w:after="0" w:line="1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ACCUMULATED OTHER COMPREHENSIVE LOSS:</w:t>
      </w:r>
    </w:p>
    <w:p>
      <w:pPr>
        <w:spacing w:after="0" w:line="189"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The Company’s balance in accumulated other comprehensive loss is comprised of amounts related to the Company’s frozen noncontributory defined benefit pension plan, interest rate derivatives designated as cash flow hedges related to the Company’s outstanding debt as discussed in Note 7, “Debt,” and amounts related to an other-than-temporary impairment of a held-to-maturity investment that existed prior to 2020 with respect to the notes receivable discussed in Note 6, “Notes Receivable,” to the condensed consolidated financial statements included herein.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79"/>
        <w:spacing w:after="0" w:line="282" w:lineRule="auto"/>
        <w:rPr>
          <w:sz w:val="20"/>
          <w:szCs w:val="20"/>
          <w:color w:val="auto"/>
        </w:rPr>
      </w:pPr>
      <w:r>
        <w:rPr>
          <w:rFonts w:ascii="Times New Roman" w:cs="Times New Roman" w:eastAsia="Times New Roman" w:hAnsi="Times New Roman"/>
          <w:sz w:val="18"/>
          <w:szCs w:val="18"/>
          <w:color w:val="auto"/>
        </w:rPr>
        <w:t>Changes in accumulated other comprehensive loss by component for the six months ended June 30, 2024 and 2023 consisted of the following (in thousands):</w:t>
      </w:r>
    </w:p>
    <w:p>
      <w:pPr>
        <w:spacing w:after="0" w:line="12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vMerge w:val="restart"/>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160" w:type="dxa"/>
            <w:vAlign w:val="bottom"/>
          </w:tcPr>
          <w:p>
            <w:pPr>
              <w:spacing w:after="0"/>
              <w:rPr>
                <w:sz w:val="13"/>
                <w:szCs w:val="13"/>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Other-Than-</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w w:val="99"/>
              </w:rPr>
              <w:t>Temporary</w:t>
            </w:r>
          </w:p>
        </w:tc>
        <w:tc>
          <w:tcPr>
            <w:tcW w:w="140" w:type="dxa"/>
            <w:vAlign w:val="bottom"/>
          </w:tcPr>
          <w:p>
            <w:pPr>
              <w:spacing w:after="0"/>
              <w:rPr>
                <w:sz w:val="12"/>
                <w:szCs w:val="12"/>
                <w:color w:val="auto"/>
              </w:rPr>
            </w:pPr>
          </w:p>
        </w:tc>
        <w:tc>
          <w:tcPr>
            <w:tcW w:w="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2"/>
              <w:spacing w:after="0" w:line="149" w:lineRule="exact"/>
              <w:rPr>
                <w:sz w:val="20"/>
                <w:szCs w:val="20"/>
                <w:color w:val="auto"/>
              </w:rPr>
            </w:pPr>
            <w:r>
              <w:rPr>
                <w:rFonts w:ascii="Times New Roman" w:cs="Times New Roman" w:eastAsia="Times New Roman" w:hAnsi="Times New Roman"/>
                <w:sz w:val="14"/>
                <w:szCs w:val="14"/>
                <w:b w:val="1"/>
                <w:bCs w:val="1"/>
                <w:color w:val="auto"/>
              </w:rPr>
              <w:t>Pension</w:t>
            </w:r>
          </w:p>
        </w:tc>
        <w:tc>
          <w:tcPr>
            <w:tcW w:w="1060" w:type="dxa"/>
            <w:vAlign w:val="bottom"/>
            <w:gridSpan w:val="3"/>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Impairment of</w:t>
            </w: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68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4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December 31, 2023</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(15,187)</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(2,878)</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(1,322)</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(19,387)</w:t>
            </w:r>
          </w:p>
        </w:tc>
        <w:tc>
          <w:tcPr>
            <w:tcW w:w="0" w:type="dxa"/>
            <w:vAlign w:val="bottom"/>
          </w:tcPr>
          <w:p>
            <w:pPr>
              <w:spacing w:after="0"/>
              <w:rPr>
                <w:sz w:val="1"/>
                <w:szCs w:val="1"/>
                <w:color w:val="auto"/>
              </w:rPr>
            </w:pPr>
          </w:p>
        </w:tc>
      </w:tr>
      <w:tr>
        <w:trPr>
          <w:trHeight w:val="202"/>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Gains arising during period</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2,326</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2,326</w:t>
            </w:r>
          </w:p>
        </w:tc>
        <w:tc>
          <w:tcPr>
            <w:tcW w:w="0" w:type="dxa"/>
            <w:vAlign w:val="bottom"/>
          </w:tcPr>
          <w:p>
            <w:pPr>
              <w:spacing w:after="0"/>
              <w:rPr>
                <w:sz w:val="1"/>
                <w:szCs w:val="1"/>
                <w:color w:val="auto"/>
              </w:rPr>
            </w:pPr>
          </w:p>
        </w:tc>
      </w:tr>
      <w:tr>
        <w:trPr>
          <w:trHeight w:val="203"/>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loss</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w:t>
            </w:r>
          </w:p>
        </w:tc>
        <w:tc>
          <w:tcPr>
            <w:tcW w:w="0" w:type="dxa"/>
            <w:vAlign w:val="bottom"/>
          </w:tcPr>
          <w:p>
            <w:pPr>
              <w:spacing w:after="0"/>
              <w:rPr>
                <w:sz w:val="1"/>
                <w:szCs w:val="1"/>
                <w:color w:val="auto"/>
              </w:rPr>
            </w:pPr>
          </w:p>
        </w:tc>
      </w:tr>
      <w:tr>
        <w:trPr>
          <w:trHeight w:val="203"/>
        </w:trPr>
        <w:tc>
          <w:tcPr>
            <w:tcW w:w="4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Income tax benefit</w:t>
            </w:r>
          </w:p>
        </w:tc>
        <w:tc>
          <w:tcPr>
            <w:tcW w:w="4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19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other comprehensive income (loss)</w:t>
            </w:r>
          </w:p>
        </w:tc>
        <w:tc>
          <w:tcPr>
            <w:tcW w:w="4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1,577</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1,519</w:t>
            </w:r>
          </w:p>
        </w:tc>
        <w:tc>
          <w:tcPr>
            <w:tcW w:w="0" w:type="dxa"/>
            <w:vAlign w:val="bottom"/>
          </w:tcPr>
          <w:p>
            <w:pPr>
              <w:spacing w:after="0"/>
              <w:rPr>
                <w:sz w:val="1"/>
                <w:szCs w:val="1"/>
                <w:color w:val="auto"/>
              </w:rPr>
            </w:pPr>
          </w:p>
        </w:tc>
      </w:tr>
      <w:tr>
        <w:trPr>
          <w:trHeight w:val="196"/>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Balance, June 30, 2024</w:t>
            </w:r>
          </w:p>
        </w:tc>
        <w:tc>
          <w:tcPr>
            <w:tcW w:w="4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(15,351)</w:t>
            </w:r>
          </w:p>
        </w:tc>
        <w:tc>
          <w:tcPr>
            <w:tcW w:w="160" w:type="dxa"/>
            <w:vAlign w:val="bottom"/>
          </w:tcPr>
          <w:p>
            <w:pPr>
              <w:spacing w:after="0"/>
              <w:rPr>
                <w:sz w:val="17"/>
                <w:szCs w:val="17"/>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(2,772)</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160" w:type="dxa"/>
            <w:vAlign w:val="bottom"/>
          </w:tcPr>
          <w:p>
            <w:pPr>
              <w:spacing w:after="0"/>
              <w:rPr>
                <w:sz w:val="17"/>
                <w:szCs w:val="17"/>
                <w:color w:val="auto"/>
              </w:rPr>
            </w:pP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(17,868)</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4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vMerge w:val="restart"/>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160" w:type="dxa"/>
            <w:vAlign w:val="bottom"/>
          </w:tcPr>
          <w:p>
            <w:pPr>
              <w:spacing w:after="0"/>
              <w:rPr>
                <w:sz w:val="24"/>
                <w:szCs w:val="2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Other-Than-</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w w:val="99"/>
              </w:rPr>
              <w:t>Temporary</w:t>
            </w:r>
          </w:p>
        </w:tc>
        <w:tc>
          <w:tcPr>
            <w:tcW w:w="140" w:type="dxa"/>
            <w:vAlign w:val="bottom"/>
          </w:tcPr>
          <w:p>
            <w:pPr>
              <w:spacing w:after="0"/>
              <w:rPr>
                <w:sz w:val="12"/>
                <w:szCs w:val="12"/>
                <w:color w:val="auto"/>
              </w:rPr>
            </w:pPr>
          </w:p>
        </w:tc>
        <w:tc>
          <w:tcPr>
            <w:tcW w:w="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2"/>
              <w:spacing w:after="0" w:line="149" w:lineRule="exact"/>
              <w:rPr>
                <w:sz w:val="20"/>
                <w:szCs w:val="20"/>
                <w:color w:val="auto"/>
              </w:rPr>
            </w:pPr>
            <w:r>
              <w:rPr>
                <w:rFonts w:ascii="Times New Roman" w:cs="Times New Roman" w:eastAsia="Times New Roman" w:hAnsi="Times New Roman"/>
                <w:sz w:val="14"/>
                <w:szCs w:val="14"/>
                <w:b w:val="1"/>
                <w:bCs w:val="1"/>
                <w:color w:val="auto"/>
              </w:rPr>
              <w:t>Pension</w:t>
            </w:r>
          </w:p>
        </w:tc>
        <w:tc>
          <w:tcPr>
            <w:tcW w:w="1060" w:type="dxa"/>
            <w:vAlign w:val="bottom"/>
            <w:gridSpan w:val="3"/>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Impairment of</w:t>
            </w: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68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4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December 31, 2022</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(18,021)</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(3,087)</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10,185</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(10,923)</w:t>
            </w:r>
          </w:p>
        </w:tc>
        <w:tc>
          <w:tcPr>
            <w:tcW w:w="0" w:type="dxa"/>
            <w:vAlign w:val="bottom"/>
          </w:tcPr>
          <w:p>
            <w:pPr>
              <w:spacing w:after="0"/>
              <w:rPr>
                <w:sz w:val="1"/>
                <w:szCs w:val="1"/>
                <w:color w:val="auto"/>
              </w:rPr>
            </w:pPr>
          </w:p>
        </w:tc>
      </w:tr>
      <w:tr>
        <w:trPr>
          <w:trHeight w:val="203"/>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Gains arising during period</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1,467</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1,467</w:t>
            </w:r>
          </w:p>
        </w:tc>
        <w:tc>
          <w:tcPr>
            <w:tcW w:w="0" w:type="dxa"/>
            <w:vAlign w:val="bottom"/>
          </w:tcPr>
          <w:p>
            <w:pPr>
              <w:spacing w:after="0"/>
              <w:rPr>
                <w:sz w:val="1"/>
                <w:szCs w:val="1"/>
                <w:color w:val="auto"/>
              </w:rPr>
            </w:pPr>
          </w:p>
        </w:tc>
      </w:tr>
      <w:tr>
        <w:trPr>
          <w:trHeight w:val="203"/>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loss</w:t>
            </w:r>
          </w:p>
        </w:tc>
        <w:tc>
          <w:tcPr>
            <w:tcW w:w="4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(10,156)</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(10,183)</w:t>
            </w:r>
          </w:p>
        </w:tc>
        <w:tc>
          <w:tcPr>
            <w:tcW w:w="0" w:type="dxa"/>
            <w:vAlign w:val="bottom"/>
          </w:tcPr>
          <w:p>
            <w:pPr>
              <w:spacing w:after="0"/>
              <w:rPr>
                <w:sz w:val="1"/>
                <w:szCs w:val="1"/>
                <w:color w:val="auto"/>
              </w:rPr>
            </w:pPr>
          </w:p>
        </w:tc>
      </w:tr>
      <w:tr>
        <w:trPr>
          <w:trHeight w:val="196"/>
        </w:trPr>
        <w:tc>
          <w:tcPr>
            <w:tcW w:w="4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other comprehensive income (loss)</w:t>
            </w:r>
          </w:p>
        </w:tc>
        <w:tc>
          <w:tcPr>
            <w:tcW w:w="4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(8,689)</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(8,716)</w:t>
            </w:r>
          </w:p>
        </w:tc>
        <w:tc>
          <w:tcPr>
            <w:tcW w:w="0" w:type="dxa"/>
            <w:vAlign w:val="bottom"/>
          </w:tcPr>
          <w:p>
            <w:pPr>
              <w:spacing w:after="0"/>
              <w:rPr>
                <w:sz w:val="1"/>
                <w:szCs w:val="1"/>
                <w:color w:val="auto"/>
              </w:rPr>
            </w:pPr>
          </w:p>
        </w:tc>
      </w:tr>
      <w:tr>
        <w:trPr>
          <w:trHeight w:val="196"/>
        </w:trPr>
        <w:tc>
          <w:tcPr>
            <w:tcW w:w="4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June 30, 2023</w:t>
            </w:r>
          </w:p>
        </w:tc>
        <w:tc>
          <w:tcPr>
            <w:tcW w:w="4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(18,152)</w:t>
            </w: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(2,983)</w:t>
            </w: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1,496</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(19,639)</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PROPERTY AND EQUIPMENT:</w:t>
      </w:r>
    </w:p>
    <w:p>
      <w:pPr>
        <w:spacing w:after="0" w:line="189" w:lineRule="exact"/>
        <w:rPr>
          <w:sz w:val="20"/>
          <w:szCs w:val="20"/>
          <w:color w:val="auto"/>
        </w:rPr>
      </w:pPr>
    </w:p>
    <w:p>
      <w:pPr>
        <w:ind w:left="60" w:right="399"/>
        <w:spacing w:after="0" w:line="266" w:lineRule="auto"/>
        <w:rPr>
          <w:sz w:val="20"/>
          <w:szCs w:val="20"/>
          <w:color w:val="auto"/>
        </w:rPr>
      </w:pPr>
      <w:r>
        <w:rPr>
          <w:rFonts w:ascii="Times New Roman" w:cs="Times New Roman" w:eastAsia="Times New Roman" w:hAnsi="Times New Roman"/>
          <w:sz w:val="18"/>
          <w:szCs w:val="18"/>
          <w:color w:val="auto"/>
        </w:rPr>
        <w:t>Property and equipment at June 30, 2024 and December 31, 2023 is recorded at cost, with the exception of right-of-use finance lease assets and the initial value assigned to assets acquired in an acquisition, and summarized as follows (in thousands):</w:t>
      </w:r>
    </w:p>
    <w:p>
      <w:pPr>
        <w:spacing w:after="0" w:line="170"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13"/>
                <w:szCs w:val="13"/>
                <w:color w:val="auto"/>
              </w:rPr>
            </w:pPr>
          </w:p>
        </w:tc>
        <w:tc>
          <w:tcPr>
            <w:tcW w:w="98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49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608,018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605,500</w:t>
            </w: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Buildings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4,446,190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4,396,302</w:t>
            </w: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1,213,285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1,138,769</w:t>
            </w: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Right-of-use finance lease assets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w:t>
            </w: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Construction-in-progress</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195,710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122,923</w:t>
            </w:r>
          </w:p>
        </w:tc>
      </w:tr>
      <w:tr>
        <w:trPr>
          <w:trHeight w:val="210"/>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6,464,300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6,265,287</w:t>
            </w: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(2,418,834)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(2,309,701)</w:t>
            </w:r>
          </w:p>
        </w:tc>
      </w:tr>
      <w:tr>
        <w:trPr>
          <w:trHeight w:val="210"/>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4,045,466</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3,955,586</w:t>
            </w: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NOTES RECEIVABLE:</w:t>
      </w:r>
    </w:p>
    <w:p>
      <w:pPr>
        <w:spacing w:after="0" w:line="18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As further discussed in the Company’s Annual Report on Form 10-K for the year ended December 31, 2023, in connection with the development of Gaylord National, the Company holds two issuances of governmental bonds (“Series A bond” and “Series B bond”) with a total carrying value and approximate fair value of $61.9 million and $61.8 million at June 30, 2024 and December 31, 2023, respectively, net of credit loss reserve of $38.0 million at each of June 30, 2024 and December 31, 2023. The Company receives debt service and principal payments thereon, payable from property tax increments, hotel taxes and special hotel rental taxes generated from Gaylord National through the maturity dates of July 1, 2034 and September 1, 2037, respectively. The Company records interest income over the life of the notes using the effective interest method.</w:t>
      </w:r>
    </w:p>
    <w:p>
      <w:pPr>
        <w:spacing w:after="0" w:line="165" w:lineRule="exact"/>
        <w:rPr>
          <w:sz w:val="20"/>
          <w:szCs w:val="20"/>
          <w:color w:val="auto"/>
        </w:rPr>
      </w:pPr>
    </w:p>
    <w:p>
      <w:pPr>
        <w:jc w:val="both"/>
        <w:ind w:left="60" w:right="279"/>
        <w:spacing w:after="0" w:line="281" w:lineRule="auto"/>
        <w:rPr>
          <w:sz w:val="20"/>
          <w:szCs w:val="20"/>
          <w:color w:val="auto"/>
        </w:rPr>
      </w:pPr>
      <w:r>
        <w:rPr>
          <w:rFonts w:ascii="Times New Roman" w:cs="Times New Roman" w:eastAsia="Times New Roman" w:hAnsi="Times New Roman"/>
          <w:sz w:val="17"/>
          <w:szCs w:val="17"/>
          <w:color w:val="auto"/>
        </w:rPr>
        <w:t>The Company has the intent and ability to hold these bonds to maturity. The Company’s quarterly assessment of credit losses considers the estimate of projected tax revenues that will service the bonds over their remaining terms. These tax revenue projections are updated each quarter to reflect updated industry projections as to future anticipated operations of the hotel. As a result of reduced tax revenue projections over the life of the bonds as well as certain cumulative priority</w:t>
      </w:r>
    </w:p>
    <w:p>
      <w:pPr>
        <w:sectPr>
          <w:pgSz w:w="11900" w:h="16838" w:orient="portrait"/>
          <w:cols w:equalWidth="0" w:num="1">
            <w:col w:w="9019"/>
          </w:cols>
          <w:pgMar w:left="1440" w:top="513"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spacing w:after="0" w:line="282" w:lineRule="auto"/>
        <w:rPr>
          <w:sz w:val="20"/>
          <w:szCs w:val="20"/>
          <w:color w:val="auto"/>
        </w:rPr>
      </w:pPr>
      <w:r>
        <w:rPr>
          <w:rFonts w:ascii="Times New Roman" w:cs="Times New Roman" w:eastAsia="Times New Roman" w:hAnsi="Times New Roman"/>
          <w:sz w:val="18"/>
          <w:szCs w:val="18"/>
          <w:color w:val="auto"/>
        </w:rPr>
        <w:t>payments due to others, the Series B bond is fully reserved. The Series A bond is of higher priority than other tranches which fall between the Company’s two issuances.</w:t>
      </w:r>
    </w:p>
    <w:p>
      <w:pPr>
        <w:spacing w:after="0" w:line="135"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During the three months ended June 30, 2024 and 2023, the Company recorded interest income of $1.2 million and $1.3 million, respectively, on these bonds. During the six months ended June 30, 2024 and 2023, the Company recorded interest income of $2.4 million and $2.5 million, respectively, on these bonds. The Company received payments of $2.4 million and $4.7 million during the six months ended June 30, 2024 and 2023, respectively, relating to these bonds. Before consideration of the credit loss reserve, accrued interest receivable included as a component of the carrying value of notes receivable is $41.1 million and $41.0 million at June 30, 2024 and December 31, 2023, respectively.</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DEBT:</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debt and finance lease obligations at June 30, 2024 and December 31, 2023 consisted of (in thousands):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13"/>
                <w:szCs w:val="1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8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$700M Revolving Credit Facility, interest at SOFR plus 1.50%, maturing May 18, 2027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Term Loan B, interest at SOFR plus 2.25%, maturing May 18, 2030</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294,263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496,250</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Notes, interest at 7.25%, maturing July 15, 2028</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Senior Notes, interest at 4.50%, maturing February 15, 2029</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Notes, interest at 4.75%, maturing October 15, 2027</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Senior Notes, interest at 6.50%, maturing April 1, 2032</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Gaylord Rockies Term Loan, interest at SOFR plus 2.50%, original maturity July 2, 2024</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800,000</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OEG Term Loan, interest at SOFR plus 3.50%, maturing June 28, 2031</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296,250</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$80M OEG Revolver, interest at SOFR plus 3.50%, maturing June 28, 2029</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Block 21 CMBS Loan, interest at 5.58%, maturing January 5, 2026</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130,439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131,871</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obligations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Unamortized deferred financing costs</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(55,141)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(38,309)</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discounts and premiums, net</w:t>
            </w: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(14,172)</w:t>
            </w:r>
          </w:p>
        </w:tc>
      </w:tr>
      <w:tr>
        <w:trPr>
          <w:trHeight w:val="210"/>
        </w:trPr>
        <w:tc>
          <w:tcPr>
            <w:tcW w:w="6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debt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3,373,383</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3,377,028</w:t>
            </w:r>
          </w:p>
        </w:tc>
      </w:tr>
      <w:tr>
        <w:trPr>
          <w:trHeight w:val="20"/>
        </w:trPr>
        <w:tc>
          <w:tcPr>
            <w:tcW w:w="6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119"/>
        <w:spacing w:after="0" w:line="266" w:lineRule="auto"/>
        <w:rPr>
          <w:sz w:val="20"/>
          <w:szCs w:val="20"/>
          <w:color w:val="auto"/>
        </w:rPr>
      </w:pPr>
      <w:r>
        <w:rPr>
          <w:rFonts w:ascii="Times New Roman" w:cs="Times New Roman" w:eastAsia="Times New Roman" w:hAnsi="Times New Roman"/>
          <w:sz w:val="18"/>
          <w:szCs w:val="18"/>
          <w:color w:val="auto"/>
        </w:rPr>
        <w:t>Amounts due within one year of the balance sheet date consist of the amortization payments for the term loan B of 1.0% of the refinanced $295.0 million principal balance, amortization payments for the $300 million OEG term loan of 1.0% of the refinanced principal balance, and amortization of the Block 21 CMBS Loan based on a 30-year amortization.</w:t>
      </w:r>
    </w:p>
    <w:p>
      <w:pPr>
        <w:spacing w:after="0" w:line="149" w:lineRule="exact"/>
        <w:rPr>
          <w:sz w:val="20"/>
          <w:szCs w:val="20"/>
          <w:color w:val="auto"/>
        </w:rPr>
      </w:pPr>
    </w:p>
    <w:p>
      <w:pPr>
        <w:ind w:left="60" w:right="1439"/>
        <w:spacing w:after="0" w:line="453" w:lineRule="auto"/>
        <w:rPr>
          <w:sz w:val="20"/>
          <w:szCs w:val="20"/>
          <w:color w:val="auto"/>
        </w:rPr>
      </w:pPr>
      <w:r>
        <w:rPr>
          <w:rFonts w:ascii="Times New Roman" w:cs="Times New Roman" w:eastAsia="Times New Roman" w:hAnsi="Times New Roman"/>
          <w:sz w:val="18"/>
          <w:szCs w:val="18"/>
          <w:color w:val="auto"/>
        </w:rPr>
        <w:t xml:space="preserve">At June 30, 2024, there were no defaults under the covenants related to the Company’s outstanding debt. </w:t>
      </w:r>
      <w:r>
        <w:rPr>
          <w:rFonts w:ascii="Times New Roman" w:cs="Times New Roman" w:eastAsia="Times New Roman" w:hAnsi="Times New Roman"/>
          <w:sz w:val="18"/>
          <w:szCs w:val="18"/>
          <w:i w:val="1"/>
          <w:iCs w:val="1"/>
          <w:color w:val="auto"/>
        </w:rPr>
        <w:t>$1 Billion 6.50% Senior Notes due 2032</w:t>
      </w:r>
    </w:p>
    <w:p>
      <w:pPr>
        <w:spacing w:after="0" w:line="2" w:lineRule="exact"/>
        <w:rPr>
          <w:sz w:val="20"/>
          <w:szCs w:val="20"/>
          <w:color w:val="auto"/>
        </w:rPr>
      </w:pPr>
    </w:p>
    <w:p>
      <w:pPr>
        <w:ind w:left="60" w:right="479"/>
        <w:spacing w:after="0" w:line="276" w:lineRule="auto"/>
        <w:rPr>
          <w:sz w:val="20"/>
          <w:szCs w:val="20"/>
          <w:color w:val="auto"/>
        </w:rPr>
      </w:pPr>
      <w:r>
        <w:rPr>
          <w:rFonts w:ascii="Times New Roman" w:cs="Times New Roman" w:eastAsia="Times New Roman" w:hAnsi="Times New Roman"/>
          <w:sz w:val="17"/>
          <w:szCs w:val="17"/>
          <w:color w:val="auto"/>
        </w:rPr>
        <w:t>On March 28, 2024, the Operating Partnership and RHP Finance Corporation (collectively, the “issuing subsidiaries”) completed the private placement of $1.0 billion in aggregate principal amount of 6.50% senior notes due 2032 (the</w:t>
      </w:r>
    </w:p>
    <w:p>
      <w:pPr>
        <w:spacing w:after="0" w:line="1" w:lineRule="exact"/>
        <w:rPr>
          <w:sz w:val="20"/>
          <w:szCs w:val="20"/>
          <w:color w:val="auto"/>
        </w:rPr>
      </w:pPr>
    </w:p>
    <w:p>
      <w:pPr>
        <w:ind w:left="60" w:right="79"/>
        <w:spacing w:after="0" w:line="260" w:lineRule="auto"/>
        <w:rPr>
          <w:sz w:val="20"/>
          <w:szCs w:val="20"/>
          <w:color w:val="auto"/>
        </w:rPr>
      </w:pPr>
      <w:r>
        <w:rPr>
          <w:rFonts w:ascii="Times New Roman" w:cs="Times New Roman" w:eastAsia="Times New Roman" w:hAnsi="Times New Roman"/>
          <w:sz w:val="18"/>
          <w:szCs w:val="18"/>
          <w:color w:val="auto"/>
        </w:rPr>
        <w:t>“$1 Billion 6.50% Senior Notes”), which are guaranteed by the Company and its subsidiaries that guarantee the Company’s credit agreement.</w:t>
      </w:r>
    </w:p>
    <w:p>
      <w:pPr>
        <w:spacing w:after="0" w:line="154"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The $1 Billion 6.50% Senior Notes and guarantees were issued pursuant to an indenture by and among the issuing subsidiaries, the guarantors and U.S. Bank Trust Company, National Association, as trustee. The $1 Billion 6.50% Senior Notes have a maturity date of April 1, 2032 and bear interest at 6.50% per annum, payable semi-annually in cash in arrears on April 1 and October 1 each year, beginning on October 1, 2024. The $1 Billion 6.50% Senior Notes are general unsecured and unsubordinated obligations of the issuing subsidiaries and rank equal in right of payment with such subsidiaries’ existing and future senior unsecured indebtedness, including the Company’s $700 million in aggregate principal amount of 4.75% senior notes due 2027, $400 million in aggregate principal amount of 7.25% senior notes due 2028 and $600 million in aggregate principal amount of 4.50% senior notes due 2029, and senior in right of payment to future subordinated indebtedness, if any.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55" w:lineRule="auto"/>
        <w:rPr>
          <w:sz w:val="20"/>
          <w:szCs w:val="20"/>
          <w:color w:val="auto"/>
        </w:rPr>
      </w:pPr>
      <w:r>
        <w:rPr>
          <w:rFonts w:ascii="Times New Roman" w:cs="Times New Roman" w:eastAsia="Times New Roman" w:hAnsi="Times New Roman"/>
          <w:sz w:val="18"/>
          <w:szCs w:val="18"/>
          <w:color w:val="auto"/>
        </w:rPr>
        <w:t>The $1 Billion 6.50%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$1 Billion 6.50%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$1 Billion 6.50% Senior Notes.</w:t>
      </w:r>
    </w:p>
    <w:p>
      <w:pPr>
        <w:spacing w:after="0" w:line="162"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The net proceeds from the issuance of the $1 Billion 6.50% Senior Notes totaled approximately $983 million, after deducting the initial purchasers’ discounts, commissions and offering expenses. The Company used a portion of these net proceeds to prepay the indebtedness outstanding under its previous $800.0 million Gaylord Rockies term loan and used the remaining proceeds, together with cash on hand, to pay down $200.0 million under its existing senior secured term loan B (the “Term Loan B”).</w:t>
      </w:r>
    </w:p>
    <w:p>
      <w:pPr>
        <w:spacing w:after="0" w:line="143"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The $1 Billion 6.50% Senior Notes are redeemable before April 1, 2027, in whole or in part, at 100.00%, plus accrued and unpaid interest thereon to, but not including, the redemption date, plus a make-whole premium. The $1 Billion 6.50% Senior Notes will be redeemable, in whole or in part, at any time on or after April 1, 2027 at a redemption price expressed as a percentage of the principal amount thereof, which percentage is 103.250%, 101.625%, and 100.000% beginning on April 1 of 2027, 2028, and 2029, respectively, plus accrued and unpaid interest thereon to, but not including, the redemption date.</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Previous $800 Million Gaylord Rockies Term Loan</w:t>
      </w:r>
    </w:p>
    <w:p>
      <w:pPr>
        <w:spacing w:after="0" w:line="2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 July 2019, Aurora Convention Center Hotel, LLC and Aurora Convention Center Hotel Lessee, LLC, the entities that</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comprise Gaylord Rockies, entered into a Second Amended and Restated Loan Agreement (the “Gaylord Rockies Loan”)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with Wells Fargo Bank, National Association, as administrative agent. The Gaylord Rockies Loan consisted of an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$800.0 million secured term loan facility, with a maturity date of July 2, 2024 with two, one-year extension options, subject</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certain requirements in the Gaylord Rockies Loan, and bore interest at Adjusted Daily Simple SOFR plus 2.50%.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Company previously entered into an interest rate swap to fix the SOFR portion of the interest rate at 5.2105% for the fifth</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year of the loan. The Company designated this interest rate swap as an effective cash flow hedge.</w:t>
      </w:r>
    </w:p>
    <w:p>
      <w:pPr>
        <w:spacing w:after="0" w:line="166" w:lineRule="exact"/>
        <w:rPr>
          <w:sz w:val="20"/>
          <w:szCs w:val="20"/>
          <w:color w:val="auto"/>
        </w:rPr>
      </w:pPr>
    </w:p>
    <w:p>
      <w:pPr>
        <w:ind w:left="60" w:right="459"/>
        <w:spacing w:after="0" w:line="282" w:lineRule="auto"/>
        <w:rPr>
          <w:sz w:val="20"/>
          <w:szCs w:val="20"/>
          <w:color w:val="auto"/>
        </w:rPr>
      </w:pPr>
      <w:r>
        <w:rPr>
          <w:rFonts w:ascii="Times New Roman" w:cs="Times New Roman" w:eastAsia="Times New Roman" w:hAnsi="Times New Roman"/>
          <w:sz w:val="18"/>
          <w:szCs w:val="18"/>
          <w:color w:val="auto"/>
        </w:rPr>
        <w:t>On March 28, 2024, the Company paid off the Gaylord Rockies Loan with proceeds from the $1 Billion 6.50% Senior Notes discussed above and terminated the interest rate swap.</w:t>
      </w:r>
    </w:p>
    <w:p>
      <w:pPr>
        <w:spacing w:after="0" w:line="1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Term Loan B</w:t>
      </w:r>
    </w:p>
    <w:p>
      <w:pPr>
        <w:spacing w:after="0" w:line="200" w:lineRule="exact"/>
        <w:rPr>
          <w:sz w:val="20"/>
          <w:szCs w:val="20"/>
          <w:color w:val="auto"/>
        </w:rPr>
      </w:pPr>
    </w:p>
    <w:p>
      <w:pPr>
        <w:jc w:val="both"/>
        <w:ind w:left="60" w:right="379"/>
        <w:spacing w:after="0" w:line="266" w:lineRule="auto"/>
        <w:rPr>
          <w:sz w:val="20"/>
          <w:szCs w:val="20"/>
          <w:color w:val="auto"/>
        </w:rPr>
      </w:pPr>
      <w:r>
        <w:rPr>
          <w:rFonts w:ascii="Times New Roman" w:cs="Times New Roman" w:eastAsia="Times New Roman" w:hAnsi="Times New Roman"/>
          <w:sz w:val="18"/>
          <w:szCs w:val="18"/>
          <w:color w:val="auto"/>
        </w:rPr>
        <w:t>Prior to the effectiveness of the Incremental Agreement (as hereinafter defined), the applicable interest rate margins for borrowings under the Term Loan B were, at our option, either (i) Term SOFR plus 2.75%, (ii) Daily Simple SOFR plus 2.75% or (iii) a base rate as set forth in the Credit Agreement plus 1.75%.</w:t>
      </w:r>
    </w:p>
    <w:p>
      <w:pPr>
        <w:spacing w:after="0" w:line="135"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On April 12, 2024, the Company entered into an Incremental Tranche B Term Loan Agreement (the “Incremental Agreement”), which supplements the Company’s credit agreement and includes the addition of certain new lenders and the removal of certain other lenders. The Incremental Agreement reduces the applicable interest rate margins for the loans advanced under the refinanced Term Loan B. The applicable interest rate margins for the refinanced Term Loan B under the Incremental Agreement are (i) 2.25% for SOFR Loans (as defined in the Company’s credit agreement) and (ii) 1.25% for base rate loans. The Incremental Agreement did not change the maturity dates under the Company’s credit agreement or result in any increase in principal indebtedness. In addition, the Incremental Agreement confirms that the annual amortization under the Term Loan B is 1% of the refinanced $295.0 million outstanding principal amount, with the balance due at maturity.</w:t>
      </w:r>
    </w:p>
    <w:p>
      <w:pPr>
        <w:spacing w:after="0" w:line="1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OEG Credit Agreement</w:t>
      </w:r>
    </w:p>
    <w:p>
      <w:pPr>
        <w:spacing w:after="0" w:line="200" w:lineRule="exact"/>
        <w:rPr>
          <w:sz w:val="20"/>
          <w:szCs w:val="20"/>
          <w:color w:val="auto"/>
        </w:rPr>
      </w:pPr>
    </w:p>
    <w:p>
      <w:pPr>
        <w:ind w:left="60" w:right="219"/>
        <w:spacing w:after="0" w:line="266" w:lineRule="auto"/>
        <w:rPr>
          <w:sz w:val="20"/>
          <w:szCs w:val="20"/>
          <w:color w:val="auto"/>
        </w:rPr>
      </w:pPr>
      <w:r>
        <w:rPr>
          <w:rFonts w:ascii="Times New Roman" w:cs="Times New Roman" w:eastAsia="Times New Roman" w:hAnsi="Times New Roman"/>
          <w:sz w:val="18"/>
          <w:szCs w:val="18"/>
          <w:color w:val="auto"/>
        </w:rPr>
        <w:t>On June 28, 2024, OEG Borrower, LLC (“OEG Borrower”) and OEG Finance, LLC (“OEG Finance”), each a wholly owned direct or indirect subsidiary of OEG, entered into a certain First Amendment, which amends the Credit Agreement dated as of June 16, 2022 among OEG Borrower, as borrower, OEG Finance, certain subsidiaries of OEG</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Borrower from time to time party thereto as guarantors, the lenders party thereto and JPMorgan Chase Bank, N.A., as administrative agent (the “Original OEG Credit Agreement”). As amended, the credit facility (the “Amended OEG Credit Agreement”) includes certain amended terms including lower interest rates, extended maturities and modifications to various covenants.</w:t>
      </w:r>
    </w:p>
    <w:p>
      <w:pPr>
        <w:spacing w:after="0" w:line="1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Amended OEG Credit Agreement provides for (i) a senior secured term loan facility in the aggregate amount of</w:t>
      </w:r>
    </w:p>
    <w:p>
      <w:pPr>
        <w:spacing w:after="0" w:line="27" w:lineRule="exact"/>
        <w:rPr>
          <w:sz w:val="20"/>
          <w:szCs w:val="20"/>
          <w:color w:val="auto"/>
        </w:rPr>
      </w:pPr>
    </w:p>
    <w:p>
      <w:pPr>
        <w:ind w:left="60" w:right="179"/>
        <w:spacing w:after="0" w:line="253" w:lineRule="auto"/>
        <w:rPr>
          <w:sz w:val="20"/>
          <w:szCs w:val="20"/>
          <w:color w:val="auto"/>
        </w:rPr>
      </w:pPr>
      <w:r>
        <w:rPr>
          <w:rFonts w:ascii="Times New Roman" w:cs="Times New Roman" w:eastAsia="Times New Roman" w:hAnsi="Times New Roman"/>
          <w:sz w:val="18"/>
          <w:szCs w:val="18"/>
          <w:color w:val="auto"/>
        </w:rPr>
        <w:t>$300.0 million (the “OEG Term Loan”) and (ii) a senior secured revolving credit facility in an aggregate principal amount not to exceed $80.0 million (the “OEG Revolver”). The OEG Term Loan refinances and replaces the former term loan in the outstanding principal amount of $294.8 million as of June 28, 2024 and the OEG Revolver refinances and replaces the senior secured revolving credit facility in an aggregate principal amount not to exceed $65.0 million, of which $17.0 million was outstanding as of June 30, 2024.</w:t>
      </w:r>
    </w:p>
    <w:p>
      <w:pPr>
        <w:spacing w:after="0" w:line="146"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The OEG Term Loan and the OEG Revolver are each secured by substantially all of the assets of OEG Finance and each of its subsidiaries (other than Block 21-related subsidiaries, as more specifically described in the Amended OEG Credit Agreement). The OEG Term Loan bears interest at a rate equal to either, at OEG Borrower’s election, as of the closing contemplated by the Amended OEG Credit Agreement: (a) the Alternate Base Rate plus 2.500% or (b) Adjusted Term SOFR plus 3.50% (all as more specifically described in the Amended OEG Credit Agreement). Borrowings under the OEG Revolver bear interest at a rate equal to either, at OEG Borrower’s election, as of the closing contemplated by the Amended OEG Credit Agreement: (a) the Alternate Base Rate plus the Applicable Rate (as defined in the Amended OEG Credit Agreement) or (b) Adjusted Term SOFR plus the Applicable Rate. Under the Amended OEG Credit Agreement, (i) the Applicable Rate for Alternative Base Rate loans will be between 2.75% and 2.25% and (ii) the Applicable Rate for Adjusted Term SOFR loans will be between 3.75% and 3.25%, in each of (i) and (ii) based upon the First Lien Leverage Ratio of OEG Finance and its consolidated subsidiaries (as more specifically described in the Amended OEG Credit Agreement). The Applicable Rate for borrowings as of June 30, 2024 is 2.50% for Alternative Base Rate Loans and 3.50% for Adjusted Term SOFR loans.</w:t>
      </w:r>
    </w:p>
    <w:p>
      <w:pPr>
        <w:spacing w:after="0" w:line="147"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The OEG Term Loan matures on June 28, 2031 and the OEG Revolver matures on June 28, 2029. OEG Borrower used the proceeds of the OEG Term Loan, net of transaction expenses, to refinance the original term loan under the Original OEG Credit Agreement.</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Rate Derivatives</w:t>
      </w:r>
    </w:p>
    <w:p>
      <w:pPr>
        <w:spacing w:after="0" w:line="187" w:lineRule="exact"/>
        <w:rPr>
          <w:sz w:val="20"/>
          <w:szCs w:val="20"/>
          <w:color w:val="auto"/>
        </w:rPr>
      </w:pPr>
    </w:p>
    <w:p>
      <w:pPr>
        <w:ind w:left="60" w:right="79"/>
        <w:spacing w:after="0" w:line="277" w:lineRule="auto"/>
        <w:rPr>
          <w:sz w:val="20"/>
          <w:szCs w:val="20"/>
          <w:color w:val="auto"/>
        </w:rPr>
      </w:pPr>
      <w:r>
        <w:rPr>
          <w:rFonts w:ascii="Times New Roman" w:cs="Times New Roman" w:eastAsia="Times New Roman" w:hAnsi="Times New Roman"/>
          <w:sz w:val="17"/>
          <w:szCs w:val="17"/>
          <w:color w:val="auto"/>
        </w:rPr>
        <w:t>The Company has entered into or previously entered into interest rate swaps to manage interest rate risk associated with the previous Gaylord Rockies $800 million term loan and a portion of the $300 million OEG term loan. Each swap has been designated as a cash flow hedge whereby the Company receives variable-rate amounts in exchange for fixed-rate payments over the life of the agreement without exchange of the underlying principal amount. The Company does not use derivatives for trading or speculative purposes and currently does not hold any derivatives that are not designated as hedges.</w:t>
      </w:r>
    </w:p>
    <w:p>
      <w:pPr>
        <w:spacing w:after="0" w:line="127" w:lineRule="exact"/>
        <w:rPr>
          <w:sz w:val="20"/>
          <w:szCs w:val="20"/>
          <w:color w:val="auto"/>
        </w:rPr>
      </w:pPr>
    </w:p>
    <w:p>
      <w:pPr>
        <w:ind w:left="60" w:right="219"/>
        <w:spacing w:after="0" w:line="256" w:lineRule="auto"/>
        <w:rPr>
          <w:sz w:val="20"/>
          <w:szCs w:val="20"/>
          <w:color w:val="auto"/>
        </w:rPr>
      </w:pPr>
      <w:r>
        <w:rPr>
          <w:rFonts w:ascii="Times New Roman" w:cs="Times New Roman" w:eastAsia="Times New Roman" w:hAnsi="Times New Roman"/>
          <w:sz w:val="18"/>
          <w:szCs w:val="18"/>
          <w:color w:val="auto"/>
        </w:rPr>
        <w:t>For derivatives designated as and that qualify as cash flow hedges of interest rate risk, the gain or loss on the derivative is recorded in accumulated other comprehensive loss and subsequently reclassified to interest expense in the same period during which the hedged transaction affects earnings. These amounts reported in accumulated other comprehensive loss will be reclassified to interest expense as interest payments are made on the related variable-rate debt. The Company estimates that $0.4 million will be reclassified from accumulated other comprehensive income as a reduction to interest expense in the next twelve months.</w:t>
      </w:r>
    </w:p>
    <w:p>
      <w:pPr>
        <w:spacing w:after="0" w:line="160"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In March 2024, as discussed above, the Company paid off the Gaylord Rockies Loan and subsequently terminated the associated interest rate swap. The Company received approximately $0.2 million from the counterparty to the swap, which has been recorded as a reduction in interest expense for the six months ended June 30, 2024.</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The estimated fair value of the Company’s derivative financial instruments at June 30, 2024 and December 31, 2023 is as follows (in thousands):</w:t>
      </w:r>
    </w:p>
    <w:p>
      <w:pPr>
        <w:spacing w:after="0" w:line="12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0" w:type="dxa"/>
            <w:vAlign w:val="bottom"/>
          </w:tcPr>
          <w:p>
            <w:pPr>
              <w:spacing w:after="0"/>
              <w:rPr>
                <w:sz w:val="1"/>
                <w:szCs w:val="1"/>
                <w:color w:val="auto"/>
              </w:rPr>
            </w:pPr>
          </w:p>
        </w:tc>
      </w:tr>
      <w:tr>
        <w:trPr>
          <w:trHeight w:val="173"/>
        </w:trPr>
        <w:tc>
          <w:tcPr>
            <w:tcW w:w="2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Strike</w:t>
            </w: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80" w:type="dxa"/>
            <w:vAlign w:val="bottom"/>
          </w:tcPr>
          <w:p>
            <w:pPr>
              <w:spacing w:after="0"/>
              <w:rPr>
                <w:sz w:val="15"/>
                <w:szCs w:val="15"/>
                <w:color w:val="auto"/>
              </w:rPr>
            </w:pPr>
          </w:p>
        </w:tc>
        <w:tc>
          <w:tcPr>
            <w:tcW w:w="166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Asset (Liability) Balance</w:t>
            </w:r>
          </w:p>
        </w:tc>
        <w:tc>
          <w:tcPr>
            <w:tcW w:w="0" w:type="dxa"/>
            <w:vAlign w:val="bottom"/>
          </w:tcPr>
          <w:p>
            <w:pPr>
              <w:spacing w:after="0"/>
              <w:rPr>
                <w:sz w:val="1"/>
                <w:szCs w:val="1"/>
                <w:color w:val="auto"/>
              </w:rPr>
            </w:pPr>
          </w:p>
        </w:tc>
      </w:tr>
      <w:tr>
        <w:trPr>
          <w:trHeight w:val="117"/>
        </w:trPr>
        <w:tc>
          <w:tcPr>
            <w:tcW w:w="2060" w:type="dxa"/>
            <w:vAlign w:val="bottom"/>
            <w:gridSpan w:val="2"/>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Hedged Debt</w:t>
            </w:r>
          </w:p>
        </w:tc>
        <w:tc>
          <w:tcPr>
            <w:tcW w:w="126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680" w:type="dxa"/>
            <w:vAlign w:val="bottom"/>
            <w:gridSpan w:val="2"/>
            <w:vMerge w:val="continue"/>
          </w:tcPr>
          <w:p>
            <w:pPr>
              <w:spacing w:after="0"/>
              <w:rPr>
                <w:sz w:val="10"/>
                <w:szCs w:val="10"/>
                <w:color w:val="auto"/>
              </w:rPr>
            </w:pPr>
          </w:p>
        </w:tc>
        <w:tc>
          <w:tcPr>
            <w:tcW w:w="10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Index</w:t>
            </w:r>
          </w:p>
        </w:tc>
        <w:tc>
          <w:tcPr>
            <w:tcW w:w="12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860" w:type="dxa"/>
            <w:vAlign w:val="bottom"/>
            <w:gridSpan w:val="2"/>
            <w:vMerge w:val="continue"/>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90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60" w:type="dxa"/>
            <w:vAlign w:val="bottom"/>
            <w:gridSpan w:val="2"/>
            <w:vMerge w:val="continue"/>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6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080" w:type="dxa"/>
            <w:vAlign w:val="bottom"/>
            <w:gridSpan w:val="2"/>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94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8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0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Gaylord Rockies Term Loan</w:t>
            </w:r>
          </w:p>
        </w:tc>
        <w:tc>
          <w:tcPr>
            <w:tcW w:w="60" w:type="dxa"/>
            <w:vAlign w:val="bottom"/>
            <w:tcBorders>
              <w:top w:val="single" w:sz="8" w:color="CCEEFF"/>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Interest Rate Swap</w:t>
            </w:r>
          </w:p>
        </w:tc>
        <w:tc>
          <w:tcPr>
            <w:tcW w:w="4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5.2105%</w:t>
            </w:r>
          </w:p>
        </w:tc>
        <w:tc>
          <w:tcPr>
            <w:tcW w:w="6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Daily SOFR</w:t>
            </w:r>
          </w:p>
        </w:tc>
        <w:tc>
          <w:tcPr>
            <w:tcW w:w="40" w:type="dxa"/>
            <w:vAlign w:val="bottom"/>
            <w:tcBorders>
              <w:top w:val="single" w:sz="8" w:color="CCEEFF"/>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July 2, 2024</w:t>
            </w:r>
          </w:p>
        </w:tc>
        <w:tc>
          <w:tcPr>
            <w:tcW w:w="6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800,000</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60" w:type="dxa"/>
            <w:vAlign w:val="bottom"/>
            <w:tcBorders>
              <w:bottom w:val="single" w:sz="8" w:color="CCEEFF"/>
            </w:tcBorders>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OEG Term Loan</w:t>
            </w:r>
          </w:p>
        </w:tc>
        <w:tc>
          <w:tcPr>
            <w:tcW w:w="1260" w:type="dxa"/>
            <w:vAlign w:val="bottom"/>
            <w:tcBorders>
              <w:bottom w:val="single" w:sz="8" w:color="CCEEFF"/>
            </w:tcBorders>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Interest Rate Swap</w:t>
            </w:r>
          </w:p>
        </w:tc>
        <w:tc>
          <w:tcPr>
            <w:tcW w:w="620" w:type="dxa"/>
            <w:vAlign w:val="bottom"/>
            <w:tcBorders>
              <w:bottom w:val="single" w:sz="8" w:color="CCEEFF"/>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4.5330%</w:t>
            </w:r>
          </w:p>
        </w:tc>
        <w:tc>
          <w:tcPr>
            <w:tcW w:w="60" w:type="dxa"/>
            <w:vAlign w:val="bottom"/>
            <w:tcBorders>
              <w:bottom w:val="single" w:sz="8" w:color="CCEEFF"/>
            </w:tcBorders>
          </w:tcPr>
          <w:p>
            <w:pPr>
              <w:spacing w:after="0"/>
              <w:rPr>
                <w:sz w:val="12"/>
                <w:szCs w:val="12"/>
                <w:color w:val="auto"/>
              </w:rPr>
            </w:pPr>
          </w:p>
        </w:tc>
        <w:tc>
          <w:tcPr>
            <w:tcW w:w="1080" w:type="dxa"/>
            <w:vAlign w:val="bottom"/>
            <w:tcBorders>
              <w:bottom w:val="single" w:sz="8" w:color="CCEEFF"/>
            </w:tcBorders>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3-month SOFR</w:t>
            </w:r>
          </w:p>
        </w:tc>
        <w:tc>
          <w:tcPr>
            <w:tcW w:w="1240" w:type="dxa"/>
            <w:vAlign w:val="bottom"/>
            <w:tcBorders>
              <w:bottom w:val="single" w:sz="8" w:color="CCEEFF"/>
            </w:tcBorders>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December 18, 2025</w:t>
            </w:r>
          </w:p>
        </w:tc>
        <w:tc>
          <w:tcPr>
            <w:tcW w:w="800" w:type="dxa"/>
            <w:vAlign w:val="bottom"/>
            <w:tcBorders>
              <w:bottom w:val="single" w:sz="8" w:color="CCEEFF"/>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100,000</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255</w:t>
            </w:r>
          </w:p>
        </w:tc>
        <w:tc>
          <w:tcPr>
            <w:tcW w:w="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jc w:val="center"/>
              <w:ind w:right="5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579"/>
        <w:spacing w:after="0" w:line="282" w:lineRule="auto"/>
        <w:rPr>
          <w:sz w:val="20"/>
          <w:szCs w:val="20"/>
          <w:color w:val="auto"/>
        </w:rPr>
      </w:pPr>
      <w:r>
        <w:rPr>
          <w:rFonts w:ascii="Times New Roman" w:cs="Times New Roman" w:eastAsia="Times New Roman" w:hAnsi="Times New Roman"/>
          <w:sz w:val="18"/>
          <w:szCs w:val="18"/>
          <w:color w:val="auto"/>
        </w:rPr>
        <w:t>Derivative financial instruments in an asset position are included in prepaid expenses and other assets, and those in a liability position are included in other liabilities in the accompanying condensed consolidated balance sheets.</w:t>
      </w:r>
    </w:p>
    <w:p>
      <w:pPr>
        <w:spacing w:after="0" w:line="121"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The effect of the Company’s derivative financial instruments on the accompanying condensed consolidated statements of operations for the respective periods is as follows (in thousands):</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15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 Gain (Loss)</w:t>
            </w: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8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 of Gain (Loss)</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4"/>
          </w:tcPr>
          <w:p>
            <w:pPr>
              <w:jc w:val="center"/>
              <w:ind w:right="25"/>
              <w:spacing w:after="0" w:line="149" w:lineRule="exact"/>
              <w:rPr>
                <w:sz w:val="20"/>
                <w:szCs w:val="20"/>
                <w:color w:val="auto"/>
              </w:rPr>
            </w:pPr>
            <w:r>
              <w:rPr>
                <w:rFonts w:ascii="Times New Roman" w:cs="Times New Roman" w:eastAsia="Times New Roman" w:hAnsi="Times New Roman"/>
                <w:sz w:val="14"/>
                <w:szCs w:val="14"/>
                <w:b w:val="1"/>
                <w:bCs w:val="1"/>
                <w:color w:val="auto"/>
              </w:rPr>
              <w:t>Recognized in OCI</w:t>
            </w:r>
          </w:p>
        </w:tc>
        <w:tc>
          <w:tcPr>
            <w:tcW w:w="100" w:type="dxa"/>
            <w:vAlign w:val="bottom"/>
          </w:tcPr>
          <w:p>
            <w:pPr>
              <w:spacing w:after="0"/>
              <w:rPr>
                <w:sz w:val="12"/>
                <w:szCs w:val="12"/>
                <w:color w:val="auto"/>
              </w:rPr>
            </w:pPr>
          </w:p>
        </w:tc>
        <w:tc>
          <w:tcPr>
            <w:tcW w:w="15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Location of Gain (Loss)</w:t>
            </w:r>
          </w:p>
        </w:tc>
        <w:tc>
          <w:tcPr>
            <w:tcW w:w="2080" w:type="dxa"/>
            <w:vAlign w:val="bottom"/>
            <w:gridSpan w:val="6"/>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 from Accumulated</w:t>
            </w:r>
          </w:p>
        </w:tc>
        <w:tc>
          <w:tcPr>
            <w:tcW w:w="0" w:type="dxa"/>
            <w:vAlign w:val="bottom"/>
          </w:tcPr>
          <w:p>
            <w:pPr>
              <w:spacing w:after="0"/>
              <w:rPr>
                <w:sz w:val="1"/>
                <w:szCs w:val="1"/>
                <w:color w:val="auto"/>
              </w:rPr>
            </w:pPr>
          </w:p>
        </w:tc>
      </w:tr>
      <w:tr>
        <w:trPr>
          <w:trHeight w:val="173"/>
        </w:trPr>
        <w:tc>
          <w:tcPr>
            <w:tcW w:w="3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gridSpan w:val="4"/>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rPr>
              <w:t>on Derivatives</w:t>
            </w:r>
          </w:p>
        </w:tc>
        <w:tc>
          <w:tcPr>
            <w:tcW w:w="10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2080" w:type="dxa"/>
            <w:vAlign w:val="bottom"/>
            <w:gridSpan w:val="6"/>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OCI into Income (Expense)</w:t>
            </w:r>
          </w:p>
        </w:tc>
        <w:tc>
          <w:tcPr>
            <w:tcW w:w="0" w:type="dxa"/>
            <w:vAlign w:val="bottom"/>
          </w:tcPr>
          <w:p>
            <w:pPr>
              <w:spacing w:after="0"/>
              <w:rPr>
                <w:sz w:val="1"/>
                <w:szCs w:val="1"/>
                <w:color w:val="auto"/>
              </w:rPr>
            </w:pPr>
          </w:p>
        </w:tc>
      </w:tr>
      <w:tr>
        <w:trPr>
          <w:trHeight w:val="117"/>
        </w:trPr>
        <w:tc>
          <w:tcPr>
            <w:tcW w:w="36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4"/>
          </w:tcPr>
          <w:p>
            <w:pPr>
              <w:jc w:val="center"/>
              <w:ind w:right="5"/>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100" w:type="dxa"/>
            <w:vAlign w:val="bottom"/>
          </w:tcPr>
          <w:p>
            <w:pPr>
              <w:spacing w:after="0"/>
              <w:rPr>
                <w:sz w:val="10"/>
                <w:szCs w:val="10"/>
                <w:color w:val="auto"/>
              </w:rPr>
            </w:pPr>
          </w:p>
        </w:tc>
        <w:tc>
          <w:tcPr>
            <w:tcW w:w="1560" w:type="dxa"/>
            <w:vAlign w:val="bottom"/>
            <w:gridSpan w:val="2"/>
          </w:tcPr>
          <w:p>
            <w:pPr>
              <w:ind w:left="260"/>
              <w:spacing w:after="0" w:line="118" w:lineRule="exact"/>
              <w:rPr>
                <w:sz w:val="20"/>
                <w:szCs w:val="20"/>
                <w:color w:val="auto"/>
              </w:rPr>
            </w:pPr>
            <w:r>
              <w:rPr>
                <w:rFonts w:ascii="Times New Roman" w:cs="Times New Roman" w:eastAsia="Times New Roman" w:hAnsi="Times New Roman"/>
                <w:sz w:val="13"/>
                <w:szCs w:val="13"/>
                <w:b w:val="1"/>
                <w:bCs w:val="1"/>
                <w:color w:val="auto"/>
              </w:rPr>
              <w:t>Reclassified from</w:t>
            </w:r>
          </w:p>
        </w:tc>
        <w:tc>
          <w:tcPr>
            <w:tcW w:w="1980" w:type="dxa"/>
            <w:vAlign w:val="bottom"/>
            <w:tcBorders>
              <w:top w:val="single" w:sz="8" w:color="auto"/>
            </w:tcBorders>
            <w:gridSpan w:val="5"/>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6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tcPr>
          <w:p>
            <w:pPr>
              <w:jc w:val="center"/>
              <w:ind w:left="32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 OCI</w:t>
            </w:r>
          </w:p>
        </w:tc>
        <w:tc>
          <w:tcPr>
            <w:tcW w:w="6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ind w:right="16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jc w:val="right"/>
              <w:ind w:right="14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2"/>
                <w:szCs w:val="12"/>
                <w:color w:val="auto"/>
              </w:rPr>
            </w:pPr>
          </w:p>
        </w:tc>
        <w:tc>
          <w:tcPr>
            <w:tcW w:w="156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into Income (Expense)</w:t>
            </w: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jc w:val="right"/>
              <w:ind w:right="26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Derivatives in Cash Flow Hedging Relationships:</w:t>
            </w:r>
          </w:p>
        </w:tc>
        <w:tc>
          <w:tcPr>
            <w:tcW w:w="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Interest rate swaps</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351</w:t>
            </w:r>
          </w:p>
        </w:tc>
        <w:tc>
          <w:tcPr>
            <w:tcW w:w="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2,477</w:t>
            </w:r>
          </w:p>
        </w:tc>
        <w:tc>
          <w:tcPr>
            <w:tcW w:w="100" w:type="dxa"/>
            <w:vAlign w:val="bottom"/>
            <w:tcBorders>
              <w:bottom w:val="single" w:sz="8" w:color="CCEEFF"/>
            </w:tcBorders>
          </w:tcPr>
          <w:p>
            <w:pPr>
              <w:spacing w:after="0"/>
              <w:rPr>
                <w:sz w:val="17"/>
                <w:szCs w:val="17"/>
                <w:color w:val="auto"/>
              </w:rPr>
            </w:pPr>
          </w:p>
        </w:tc>
        <w:tc>
          <w:tcPr>
            <w:tcW w:w="156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Interest expense</w:t>
            </w:r>
          </w:p>
        </w:tc>
        <w:tc>
          <w:tcPr>
            <w:tcW w:w="660" w:type="dxa"/>
            <w:vAlign w:val="bottom"/>
            <w:tcBorders>
              <w:bottom w:val="single" w:sz="8" w:color="auto"/>
            </w:tcBorders>
          </w:tcPr>
          <w:p>
            <w:pPr>
              <w:jc w:val="right"/>
              <w:ind w:right="507"/>
              <w:spacing w:after="0"/>
              <w:rPr>
                <w:sz w:val="20"/>
                <w:szCs w:val="20"/>
                <w:color w:val="auto"/>
              </w:rPr>
            </w:pPr>
            <w:r>
              <w:rPr>
                <w:rFonts w:ascii="Times New Roman" w:cs="Times New Roman" w:eastAsia="Times New Roman" w:hAnsi="Times New Roman"/>
                <w:sz w:val="15"/>
                <w:szCs w:val="15"/>
                <w:color w:val="auto"/>
                <w:w w:val="79"/>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202</w:t>
            </w:r>
          </w:p>
        </w:tc>
        <w:tc>
          <w:tcPr>
            <w:tcW w:w="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4,888</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3620" w:type="dxa"/>
            <w:vAlign w:val="bottom"/>
            <w:tcBorders>
              <w:bottom w:val="single" w:sz="8" w:color="CCEEFF"/>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5"/>
                <w:szCs w:val="15"/>
                <w:color w:val="auto"/>
              </w:rPr>
              <w:t>Total derivatives</w:t>
            </w:r>
          </w:p>
        </w:tc>
        <w:tc>
          <w:tcPr>
            <w:tcW w:w="8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rPr>
              <w:t>351</w:t>
            </w:r>
          </w:p>
        </w:tc>
        <w:tc>
          <w:tcPr>
            <w:tcW w:w="4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64"/>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rPr>
              <w:t>2,477</w:t>
            </w:r>
          </w:p>
        </w:tc>
        <w:tc>
          <w:tcPr>
            <w:tcW w:w="10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507"/>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30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rPr>
              <w:t>202</w:t>
            </w:r>
          </w:p>
        </w:tc>
        <w:tc>
          <w:tcPr>
            <w:tcW w:w="6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24"/>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rPr>
              <w:t>4,888</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3620" w:type="dxa"/>
            <w:vAlign w:val="bottom"/>
          </w:tcPr>
          <w:p>
            <w:pPr>
              <w:spacing w:after="0"/>
              <w:rPr>
                <w:sz w:val="24"/>
                <w:szCs w:val="24"/>
                <w:color w:val="auto"/>
              </w:rPr>
            </w:pPr>
          </w:p>
        </w:tc>
        <w:tc>
          <w:tcPr>
            <w:tcW w:w="15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 Gain (Loss)</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 of Gain (Loss)</w:t>
            </w: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4"/>
          </w:tcPr>
          <w:p>
            <w:pPr>
              <w:jc w:val="center"/>
              <w:ind w:right="25"/>
              <w:spacing w:after="0" w:line="149" w:lineRule="exact"/>
              <w:rPr>
                <w:sz w:val="20"/>
                <w:szCs w:val="20"/>
                <w:color w:val="auto"/>
              </w:rPr>
            </w:pPr>
            <w:r>
              <w:rPr>
                <w:rFonts w:ascii="Times New Roman" w:cs="Times New Roman" w:eastAsia="Times New Roman" w:hAnsi="Times New Roman"/>
                <w:sz w:val="14"/>
                <w:szCs w:val="14"/>
                <w:b w:val="1"/>
                <w:bCs w:val="1"/>
                <w:color w:val="auto"/>
              </w:rPr>
              <w:t>Recognized in OCI on</w:t>
            </w:r>
          </w:p>
        </w:tc>
        <w:tc>
          <w:tcPr>
            <w:tcW w:w="100" w:type="dxa"/>
            <w:vAlign w:val="bottom"/>
          </w:tcPr>
          <w:p>
            <w:pPr>
              <w:spacing w:after="0"/>
              <w:rPr>
                <w:sz w:val="12"/>
                <w:szCs w:val="12"/>
                <w:color w:val="auto"/>
              </w:rPr>
            </w:pPr>
          </w:p>
        </w:tc>
        <w:tc>
          <w:tcPr>
            <w:tcW w:w="15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Location of Gain (Loss)</w:t>
            </w:r>
          </w:p>
        </w:tc>
        <w:tc>
          <w:tcPr>
            <w:tcW w:w="2080" w:type="dxa"/>
            <w:vAlign w:val="bottom"/>
            <w:gridSpan w:val="6"/>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 from Accumulated</w:t>
            </w:r>
          </w:p>
        </w:tc>
        <w:tc>
          <w:tcPr>
            <w:tcW w:w="0" w:type="dxa"/>
            <w:vAlign w:val="bottom"/>
          </w:tcPr>
          <w:p>
            <w:pPr>
              <w:spacing w:after="0"/>
              <w:rPr>
                <w:sz w:val="1"/>
                <w:szCs w:val="1"/>
                <w:color w:val="auto"/>
              </w:rPr>
            </w:pPr>
          </w:p>
        </w:tc>
      </w:tr>
      <w:tr>
        <w:trPr>
          <w:trHeight w:val="173"/>
        </w:trPr>
        <w:tc>
          <w:tcPr>
            <w:tcW w:w="3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gridSpan w:val="4"/>
          </w:tcPr>
          <w:p>
            <w:pPr>
              <w:jc w:val="center"/>
              <w:ind w:right="5"/>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10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2080" w:type="dxa"/>
            <w:vAlign w:val="bottom"/>
            <w:gridSpan w:val="6"/>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OCI into Income (Expense)</w:t>
            </w:r>
          </w:p>
        </w:tc>
        <w:tc>
          <w:tcPr>
            <w:tcW w:w="0" w:type="dxa"/>
            <w:vAlign w:val="bottom"/>
          </w:tcPr>
          <w:p>
            <w:pPr>
              <w:spacing w:after="0"/>
              <w:rPr>
                <w:sz w:val="1"/>
                <w:szCs w:val="1"/>
                <w:color w:val="auto"/>
              </w:rPr>
            </w:pPr>
          </w:p>
        </w:tc>
      </w:tr>
      <w:tr>
        <w:trPr>
          <w:trHeight w:val="117"/>
        </w:trPr>
        <w:tc>
          <w:tcPr>
            <w:tcW w:w="36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4"/>
          </w:tcPr>
          <w:p>
            <w:pPr>
              <w:jc w:val="center"/>
              <w:ind w:right="5"/>
              <w:spacing w:after="0" w:line="118" w:lineRule="exact"/>
              <w:rPr>
                <w:sz w:val="20"/>
                <w:szCs w:val="20"/>
                <w:color w:val="auto"/>
              </w:rPr>
            </w:pPr>
            <w:r>
              <w:rPr>
                <w:rFonts w:ascii="Times New Roman" w:cs="Times New Roman" w:eastAsia="Times New Roman" w:hAnsi="Times New Roman"/>
                <w:sz w:val="13"/>
                <w:szCs w:val="13"/>
                <w:b w:val="1"/>
                <w:bCs w:val="1"/>
                <w:color w:val="auto"/>
              </w:rPr>
              <w:t>Six Months Ended</w:t>
            </w:r>
          </w:p>
        </w:tc>
        <w:tc>
          <w:tcPr>
            <w:tcW w:w="100" w:type="dxa"/>
            <w:vAlign w:val="bottom"/>
          </w:tcPr>
          <w:p>
            <w:pPr>
              <w:spacing w:after="0"/>
              <w:rPr>
                <w:sz w:val="10"/>
                <w:szCs w:val="10"/>
                <w:color w:val="auto"/>
              </w:rPr>
            </w:pPr>
          </w:p>
        </w:tc>
        <w:tc>
          <w:tcPr>
            <w:tcW w:w="1560" w:type="dxa"/>
            <w:vAlign w:val="bottom"/>
            <w:gridSpan w:val="2"/>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Reclassified from</w:t>
            </w:r>
          </w:p>
        </w:tc>
        <w:tc>
          <w:tcPr>
            <w:tcW w:w="1980" w:type="dxa"/>
            <w:vAlign w:val="bottom"/>
            <w:tcBorders>
              <w:top w:val="single" w:sz="8" w:color="auto"/>
            </w:tcBorders>
            <w:gridSpan w:val="5"/>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Six Months Ended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6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tcPr>
          <w:p>
            <w:pPr>
              <w:jc w:val="center"/>
              <w:ind w:left="32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 OCI</w:t>
            </w:r>
          </w:p>
        </w:tc>
        <w:tc>
          <w:tcPr>
            <w:tcW w:w="6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ind w:right="16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jc w:val="right"/>
              <w:ind w:right="14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2"/>
                <w:szCs w:val="12"/>
                <w:color w:val="auto"/>
              </w:rPr>
            </w:pPr>
          </w:p>
        </w:tc>
        <w:tc>
          <w:tcPr>
            <w:tcW w:w="156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into Income (Expense)</w:t>
            </w: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jc w:val="right"/>
              <w:ind w:right="26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62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5"/>
                <w:szCs w:val="15"/>
                <w:color w:val="auto"/>
              </w:rPr>
              <w:t>Derivatives in Cash Flow Hedging Relationships:</w:t>
            </w:r>
          </w:p>
        </w:tc>
        <w:tc>
          <w:tcPr>
            <w:tcW w:w="8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20" w:type="dxa"/>
            <w:vAlign w:val="bottom"/>
            <w:tcBorders>
              <w:bottom w:val="single" w:sz="8" w:color="CCEEFF"/>
            </w:tcBorders>
          </w:tcPr>
          <w:p>
            <w:pPr>
              <w:ind w:left="20"/>
              <w:spacing w:after="0" w:line="162" w:lineRule="exact"/>
              <w:rPr>
                <w:sz w:val="20"/>
                <w:szCs w:val="20"/>
                <w:color w:val="auto"/>
              </w:rPr>
            </w:pPr>
            <w:r>
              <w:rPr>
                <w:rFonts w:ascii="Times New Roman" w:cs="Times New Roman" w:eastAsia="Times New Roman" w:hAnsi="Times New Roman"/>
                <w:sz w:val="15"/>
                <w:szCs w:val="15"/>
                <w:color w:val="auto"/>
              </w:rPr>
              <w:t>Interest rate swaps</w:t>
            </w:r>
          </w:p>
        </w:tc>
        <w:tc>
          <w:tcPr>
            <w:tcW w:w="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2,326</w:t>
            </w:r>
          </w:p>
        </w:tc>
        <w:tc>
          <w:tcPr>
            <w:tcW w:w="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1,467</w:t>
            </w:r>
          </w:p>
        </w:tc>
        <w:tc>
          <w:tcPr>
            <w:tcW w:w="100" w:type="dxa"/>
            <w:vAlign w:val="bottom"/>
            <w:tcBorders>
              <w:bottom w:val="single" w:sz="8" w:color="CCEEFF"/>
            </w:tcBorders>
          </w:tcPr>
          <w:p>
            <w:pPr>
              <w:spacing w:after="0"/>
              <w:rPr>
                <w:sz w:val="14"/>
                <w:szCs w:val="14"/>
                <w:color w:val="auto"/>
              </w:rPr>
            </w:pPr>
          </w:p>
        </w:tc>
        <w:tc>
          <w:tcPr>
            <w:tcW w:w="1560" w:type="dxa"/>
            <w:vAlign w:val="bottom"/>
            <w:tcBorders>
              <w:bottom w:val="single" w:sz="8" w:color="CCEEFF"/>
            </w:tcBorders>
            <w:gridSpan w:val="2"/>
          </w:tcPr>
          <w:p>
            <w:pPr>
              <w:jc w:val="center"/>
              <w:ind w:right="100"/>
              <w:spacing w:after="0" w:line="162" w:lineRule="exact"/>
              <w:rPr>
                <w:sz w:val="20"/>
                <w:szCs w:val="20"/>
                <w:color w:val="auto"/>
              </w:rPr>
            </w:pPr>
            <w:r>
              <w:rPr>
                <w:rFonts w:ascii="Times New Roman" w:cs="Times New Roman" w:eastAsia="Times New Roman" w:hAnsi="Times New Roman"/>
                <w:sz w:val="15"/>
                <w:szCs w:val="15"/>
                <w:color w:val="auto"/>
              </w:rPr>
              <w:t>Interest expense</w:t>
            </w:r>
          </w:p>
        </w:tc>
        <w:tc>
          <w:tcPr>
            <w:tcW w:w="660" w:type="dxa"/>
            <w:vAlign w:val="bottom"/>
            <w:tcBorders>
              <w:bottom w:val="single" w:sz="8" w:color="auto"/>
            </w:tcBorders>
          </w:tcPr>
          <w:p>
            <w:pPr>
              <w:jc w:val="right"/>
              <w:ind w:right="507"/>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3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749</w:t>
            </w:r>
          </w:p>
        </w:tc>
        <w:tc>
          <w:tcPr>
            <w:tcW w:w="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jc w:val="right"/>
              <w:ind w:right="12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10,156</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620" w:type="dxa"/>
            <w:vAlign w:val="bottom"/>
            <w:tcBorders>
              <w:bottom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5"/>
                <w:szCs w:val="15"/>
                <w:color w:val="auto"/>
              </w:rPr>
              <w:t>Total derivatives</w:t>
            </w:r>
          </w:p>
        </w:tc>
        <w:tc>
          <w:tcPr>
            <w:tcW w:w="8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2,326</w:t>
            </w:r>
          </w:p>
        </w:tc>
        <w:tc>
          <w:tcPr>
            <w:tcW w:w="4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1,467</w:t>
            </w:r>
          </w:p>
        </w:tc>
        <w:tc>
          <w:tcPr>
            <w:tcW w:w="100" w:type="dxa"/>
            <w:vAlign w:val="bottom"/>
            <w:tcBorders>
              <w:bottom w:val="single" w:sz="8" w:color="CCEEFF"/>
            </w:tcBorders>
            <w:shd w:val="clear" w:color="auto" w:fill="CCEEFF"/>
          </w:tcPr>
          <w:p>
            <w:pPr>
              <w:spacing w:after="0"/>
              <w:rPr>
                <w:sz w:val="13"/>
                <w:szCs w:val="13"/>
                <w:color w:val="auto"/>
              </w:rPr>
            </w:pPr>
          </w:p>
        </w:tc>
        <w:tc>
          <w:tcPr>
            <w:tcW w:w="14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ind w:right="507"/>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30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749</w:t>
            </w:r>
          </w:p>
        </w:tc>
        <w:tc>
          <w:tcPr>
            <w:tcW w:w="6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2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10,156</w:t>
            </w: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Reclassifications from accumulated other comprehensive loss for interest rate swaps are shown in the table above and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included in interest expense. Total consolidated interest expense for the three months ended June 30, 2024 and 2023 was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$56.6 million and $49.2 million, respectively, and for the six months ended June 30, 2024 and 2023 was $117.0 million and</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$91.7 million, respectively.</w:t>
      </w:r>
    </w:p>
    <w:p>
      <w:pPr>
        <w:spacing w:after="0" w:line="180"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color w:val="auto"/>
        </w:rPr>
        <w:t>As of June 30, 2024, the Company has not posted any collateral related to these agreements and was not in breach of any agreement provisions. The Company has an agreement with its derivative counterparty that contains a provision whereby the Company could be declared in default on its derivative obligations if repayment of the underlying indebtedness is accelerated by the lender due to the Company’s default on the indebtedness.</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DEFERRED MANAGEMENT RIGHTS PROCEEDS:</w:t>
      </w:r>
    </w:p>
    <w:p>
      <w:pPr>
        <w:spacing w:after="0" w:line="189" w:lineRule="exact"/>
        <w:rPr>
          <w:sz w:val="20"/>
          <w:szCs w:val="20"/>
          <w:color w:val="auto"/>
        </w:rPr>
      </w:pPr>
    </w:p>
    <w:p>
      <w:pPr>
        <w:ind w:left="60" w:right="199"/>
        <w:spacing w:after="0" w:line="254" w:lineRule="auto"/>
        <w:rPr>
          <w:sz w:val="20"/>
          <w:szCs w:val="20"/>
          <w:color w:val="auto"/>
        </w:rPr>
      </w:pPr>
      <w:r>
        <w:rPr>
          <w:rFonts w:ascii="Times New Roman" w:cs="Times New Roman" w:eastAsia="Times New Roman" w:hAnsi="Times New Roman"/>
          <w:sz w:val="18"/>
          <w:szCs w:val="18"/>
          <w:color w:val="auto"/>
        </w:rPr>
        <w:t>On October 1, 2012, the Company consummated its agreement to sell the Gaylord Hotels brand and rights to manage the Gaylord Hotels properties (the “Management Rights”) to Marriott for $210.0 million in cash. Effective October 1, 2012, Marriott assumed responsibility for managing the day-to-day operations of the Gaylord Hotels properties pursuant to a management agreement for each Gaylord Hotel property. The Company allocated $190.0 million of the purchase price to the Management Rights, based on the Company’s estimates of the fair values for the respective components. For financial accounting purposes, the amount related to the Management Rights was deferred and is amortized on a straight-line basis over the 65-year term of the hotel management agreements, including extensions, as a reduction in management fee expense.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202"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 is a lessee of a 65.3-acre site in Osceola County, Florida on which Gaylord Palms is located; building or land leases for Ole Red Gatlinburg, Ole Red Orlando, Ole Red Tishomingo, Ole Red Nashville International Airport and Ole Red Las Vegas; and various warehouse, general office and other equipment leases. The Gaylord Palms land lease has a term through 2074, which may be extended through January 2101, at the Company’s discretion. The leases for Ole Red locations range from five to ten years, with renewal options ranging from five to fifty-five years, at the Company’s discretion, with the exception of Ole Red Nashville International Airport, which has no extension option. Extension options were not considered reasonably assured to be exercised as of the date of the agreement and, as a result, are not included in the Company’s calculation of its right-of-use assets and lease liabilities.</w:t>
      </w:r>
    </w:p>
    <w:p>
      <w:pPr>
        <w:spacing w:after="0" w:line="192" w:lineRule="exact"/>
        <w:rPr>
          <w:sz w:val="20"/>
          <w:szCs w:val="20"/>
          <w:color w:val="auto"/>
        </w:rPr>
      </w:pPr>
    </w:p>
    <w:p>
      <w:pPr>
        <w:jc w:val="both"/>
        <w:ind w:left="60" w:right="399"/>
        <w:spacing w:after="0" w:line="266" w:lineRule="auto"/>
        <w:rPr>
          <w:sz w:val="20"/>
          <w:szCs w:val="20"/>
          <w:color w:val="auto"/>
        </w:rPr>
      </w:pPr>
      <w:r>
        <w:rPr>
          <w:rFonts w:ascii="Times New Roman" w:cs="Times New Roman" w:eastAsia="Times New Roman" w:hAnsi="Times New Roman"/>
          <w:sz w:val="18"/>
          <w:szCs w:val="18"/>
          <w:color w:val="auto"/>
        </w:rPr>
        <w:t>The terms of the Gaylord Palms lease include variable lease payments based upon net revenues at Gaylord Palms, and certain other of the Company’s leases include rental payments adjusted periodically for inflation. The Company’s lease agreements do not contain any material residual value guarantees or material restrictive covenants.</w:t>
      </w:r>
    </w:p>
    <w:p>
      <w:pPr>
        <w:spacing w:after="0" w:line="176"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As the discount rate implicit in the Company’s operating leases is not readily determinable, the Company applies judgments related to the determination of the discount rates used to calculate the lease liability as required by Accounting Standards Codification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Company calculates its incremental borrowing rates by utilizing judgments and estimates regarding the Company’s secured borrowing rates, market credit rating, comparable bond yield curve, and adjustments to market yield curves to determine a securitized rate.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lease costs for the three and six months ended June 30, 2024 and 2023 are as follows (in thousands):</w:t>
      </w:r>
    </w:p>
    <w:p>
      <w:pPr>
        <w:spacing w:after="0" w:line="220"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3980" w:type="dxa"/>
            <w:vAlign w:val="bottom"/>
          </w:tcPr>
          <w:p>
            <w:pPr>
              <w:spacing w:after="0"/>
              <w:rPr>
                <w:sz w:val="13"/>
                <w:szCs w:val="13"/>
                <w:color w:val="auto"/>
              </w:rPr>
            </w:pPr>
          </w:p>
        </w:tc>
        <w:tc>
          <w:tcPr>
            <w:tcW w:w="142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39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39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bottom w:val="single" w:sz="8" w:color="CCEEFF"/>
            </w:tcBorders>
          </w:tcPr>
          <w:p>
            <w:pPr>
              <w:spacing w:after="0"/>
              <w:rPr>
                <w:sz w:val="12"/>
                <w:szCs w:val="12"/>
                <w:color w:val="auto"/>
              </w:rPr>
            </w:pPr>
          </w:p>
        </w:tc>
      </w:tr>
      <w:tr>
        <w:trPr>
          <w:trHeight w:val="209"/>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4,431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9,088</w:t>
            </w:r>
          </w:p>
        </w:tc>
        <w:tc>
          <w:tcPr>
            <w:tcW w:w="120" w:type="dxa"/>
            <w:vAlign w:val="bottom"/>
            <w:shd w:val="clear" w:color="auto" w:fill="CCEEFF"/>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shd w:val="clear" w:color="auto" w:fill="CCEEFF"/>
          </w:tcPr>
          <w:p>
            <w:pPr>
              <w:spacing w:after="0"/>
              <w:rPr>
                <w:sz w:val="18"/>
                <w:szCs w:val="18"/>
                <w:color w:val="auto"/>
              </w:rPr>
            </w:pPr>
          </w:p>
        </w:tc>
      </w:tr>
      <w:tr>
        <w:trPr>
          <w:trHeight w:val="216"/>
        </w:trPr>
        <w:tc>
          <w:tcPr>
            <w:tcW w:w="39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tcPr>
          <w:p>
            <w:pPr>
              <w:spacing w:after="0"/>
              <w:rPr>
                <w:sz w:val="18"/>
                <w:szCs w:val="18"/>
                <w:color w:val="auto"/>
              </w:rPr>
            </w:pPr>
          </w:p>
        </w:tc>
      </w:tr>
      <w:tr>
        <w:trPr>
          <w:trHeight w:val="209"/>
        </w:trPr>
        <w:tc>
          <w:tcPr>
            <w:tcW w:w="3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lease cost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4,948</w:t>
            </w: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4,467</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9,663</w:t>
            </w:r>
          </w:p>
        </w:tc>
        <w:tc>
          <w:tcPr>
            <w:tcW w:w="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9,161</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3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Future minimum lease payments under non-cancelable leases at June 30, 2024 are as follows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0" w:type="dxa"/>
            <w:vAlign w:val="bottom"/>
          </w:tcPr>
          <w:p>
            <w:pPr>
              <w:spacing w:after="0"/>
              <w:rPr>
                <w:sz w:val="1"/>
                <w:szCs w:val="1"/>
                <w:color w:val="auto"/>
              </w:rPr>
            </w:pPr>
          </w:p>
        </w:tc>
      </w:tr>
      <w:tr>
        <w:trPr>
          <w:trHeight w:val="173"/>
        </w:trPr>
        <w:tc>
          <w:tcPr>
            <w:tcW w:w="92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3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1</w:t>
            </w:r>
          </w:p>
        </w:tc>
        <w:tc>
          <w:tcPr>
            <w:tcW w:w="2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9,943</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Year 2</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3</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Year 4</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5</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Years thereafter</w:t>
            </w:r>
          </w:p>
        </w:tc>
        <w:tc>
          <w:tcPr>
            <w:tcW w:w="2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551,601</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599,808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2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(469,397)</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present value of minimum payments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130,411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CCEEFF"/>
            </w:tcBorders>
            <w:vMerge w:val="restart"/>
          </w:tcPr>
          <w:p>
            <w:pPr>
              <w:jc w:val="right"/>
              <w:ind w:right="167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9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9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remaining lease term and discount rate for the Company’s leases are as follows:</w:t>
            </w: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60" w:type="dxa"/>
            <w:vAlign w:val="bottom"/>
            <w:vMerge w:val="restart"/>
          </w:tcPr>
          <w:p>
            <w:pPr>
              <w:spacing w:after="0"/>
              <w:rPr>
                <w:sz w:val="19"/>
                <w:szCs w:val="19"/>
                <w:color w:val="auto"/>
              </w:rPr>
            </w:pPr>
          </w:p>
        </w:tc>
        <w:tc>
          <w:tcPr>
            <w:tcW w:w="57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leases</w:t>
            </w:r>
          </w:p>
        </w:tc>
        <w:tc>
          <w:tcPr>
            <w:tcW w:w="14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42.6 years</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Finance leases</w:t>
            </w:r>
          </w:p>
        </w:tc>
        <w:tc>
          <w:tcPr>
            <w:tcW w:w="14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1.7 years</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leases</w:t>
            </w:r>
          </w:p>
        </w:tc>
        <w:tc>
          <w:tcPr>
            <w:tcW w:w="14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7.0 %</w:t>
            </w: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5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Finance leases</w:t>
            </w:r>
          </w:p>
        </w:tc>
        <w:tc>
          <w:tcPr>
            <w:tcW w:w="14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STOCK PLANS:</w:t>
      </w:r>
    </w:p>
    <w:p>
      <w:pPr>
        <w:spacing w:after="0" w:line="202"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On May 9, 2024, the Company’s stockholders approved the Company’s 2024 Omnibus Incentive Plan (the “2024 Plan”). The 2024 Plan replaces the Company’s previous 2016 Omnibus Incentive Plan (the “2016 Plan”) and no new awards will be made under the 2016 Plan; however, awards granted under the 2016 Plan will continue to be governed by the 2016 Plan. At June 30, 2024, there were approximately 1.9 million shares of common stock available for issuance pursuant to future grants of awards under the 2024 Plan.</w:t>
      </w:r>
    </w:p>
    <w:p>
      <w:pPr>
        <w:spacing w:after="0" w:line="143"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2024, the Company granted 0.1 million restricted stock units with a weighted-average grant date fair value of $120.59 per unit. There were 0.4 million and 0.6 million restricted stock units outstanding at June 30, 2024 and December 31, 2023.</w:t>
      </w:r>
    </w:p>
    <w:p>
      <w:pPr>
        <w:spacing w:after="0" w:line="135"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Compensation expense for the Company’s stock-based compensation plans was $3.4 million and $3.8 million for the three months ended June 30, 2024 and 2023, respectively, and $7.2 million and $7.5 million for the six months ended June 30, 2024 and 2023, respectively.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202" w:lineRule="exact"/>
        <w:rPr>
          <w:sz w:val="20"/>
          <w:szCs w:val="20"/>
          <w:color w:val="auto"/>
        </w:rPr>
      </w:pPr>
    </w:p>
    <w:p>
      <w:pPr>
        <w:ind w:left="60" w:right="79"/>
        <w:spacing w:after="0" w:line="281" w:lineRule="auto"/>
        <w:rPr>
          <w:sz w:val="20"/>
          <w:szCs w:val="20"/>
          <w:color w:val="auto"/>
        </w:rPr>
      </w:pPr>
      <w:r>
        <w:rPr>
          <w:rFonts w:ascii="Times New Roman" w:cs="Times New Roman" w:eastAsia="Times New Roman" w:hAnsi="Times New Roman"/>
          <w:sz w:val="17"/>
          <w:szCs w:val="17"/>
          <w:color w:val="auto"/>
        </w:rPr>
        <w:t>The Company elected to be taxed as a REIT effective January 1, 2013, pursuant to the U.S. Internal Revenue Code of 1986, as amended. As a REIT, generally the Company is not subject to federal corporate income taxes on ordinary taxable income and capital gains income from real estate investments that it distributes to its stockholders. The Company continues to be required to pay federal and state corporate income taxes on earnings of its taxable REIT subsidiaries (“TRSs”).</w:t>
      </w:r>
    </w:p>
    <w:p>
      <w:pPr>
        <w:spacing w:after="0" w:line="124"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2024 and 2023, the Company recorded an income tax provision of $12.2 million and $3.5 million, respectively, related to its TRSs. For the six months ended June 30, 2024 and 2023, the Company recorded an income tax provision of $12.7 million and $5.2 million, respectively, related to its TRSs.</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At June 30, 2024 and December 31, 2023, the Company had no unrecognized tax benefits.</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189" w:lineRule="exact"/>
        <w:rPr>
          <w:sz w:val="20"/>
          <w:szCs w:val="20"/>
          <w:color w:val="auto"/>
        </w:rPr>
      </w:pPr>
    </w:p>
    <w:p>
      <w:pPr>
        <w:ind w:left="60" w:right="239"/>
        <w:spacing w:after="0" w:line="312" w:lineRule="auto"/>
        <w:rPr>
          <w:sz w:val="20"/>
          <w:szCs w:val="20"/>
          <w:color w:val="auto"/>
        </w:rPr>
      </w:pPr>
      <w:r>
        <w:rPr>
          <w:rFonts w:ascii="Times New Roman" w:cs="Times New Roman" w:eastAsia="Times New Roman" w:hAnsi="Times New Roman"/>
          <w:sz w:val="17"/>
          <w:szCs w:val="17"/>
          <w:color w:val="auto"/>
        </w:rPr>
        <w:t>In connection with the purchase of Block 21, the Company provided limited guarantees to the Block 21 lenders under the Block 21 CMBS Loan via a guaranty agreement, a guaranty of completion agreement and an environmental indemnity.</w:t>
      </w:r>
    </w:p>
    <w:p>
      <w:pPr>
        <w:spacing w:after="0" w:line="99"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The Company has entered into employment agreements with certain officers, which provide for severance payments upon certain events, including certain terminations in connection with a change of control.</w:t>
      </w:r>
    </w:p>
    <w:p>
      <w:pPr>
        <w:spacing w:after="0" w:line="135"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On April 9, 2024, the Company received service of process in a lawsuit naming the Company and a subsidiary as co-defendants with Marriott, as the manager, and multiple contractors in a personal injury lawsuit filed by individual plaintiffs in Colorado state court. The lawsuit relates to a May 2023 incident at the Gaylord Rockies indoor pool amenity involving the collapse of HVAC equipment. The complaint requests an unspecified amount of damages related to alleged injuries to two guests. The Company intends to vigorously defend the lawsuit and believes it has strong defenses.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312" w:lineRule="auto"/>
        <w:rPr>
          <w:sz w:val="20"/>
          <w:szCs w:val="20"/>
          <w:color w:val="auto"/>
        </w:rPr>
      </w:pPr>
      <w:r>
        <w:rPr>
          <w:rFonts w:ascii="Times New Roman" w:cs="Times New Roman" w:eastAsia="Times New Roman" w:hAnsi="Times New Roman"/>
          <w:sz w:val="17"/>
          <w:szCs w:val="17"/>
          <w:color w:val="auto"/>
        </w:rPr>
        <w:t>The lawsuit is in its early stages so the Company cannot predict its likely outcome or estimate the range of possible loss, but the Company does not believe that the outcome will have a material impact on the Company’s financial position.</w:t>
      </w:r>
    </w:p>
    <w:p>
      <w:pPr>
        <w:spacing w:after="0" w:line="113" w:lineRule="exact"/>
        <w:rPr>
          <w:sz w:val="20"/>
          <w:szCs w:val="20"/>
          <w:color w:val="auto"/>
        </w:rPr>
      </w:pPr>
    </w:p>
    <w:p>
      <w:pPr>
        <w:jc w:val="both"/>
        <w:ind w:left="60" w:right="159"/>
        <w:spacing w:after="0" w:line="266" w:lineRule="auto"/>
        <w:rPr>
          <w:sz w:val="20"/>
          <w:szCs w:val="20"/>
          <w:color w:val="auto"/>
        </w:rPr>
      </w:pPr>
      <w:r>
        <w:rPr>
          <w:rFonts w:ascii="Times New Roman" w:cs="Times New Roman" w:eastAsia="Times New Roman" w:hAnsi="Times New Roman"/>
          <w:sz w:val="18"/>
          <w:szCs w:val="18"/>
          <w:color w:val="auto"/>
        </w:rPr>
        <w:t>In addition, the Company, in the ordinary course of business, is involved in certain legal actions and claims on a variety of matters. It is the opinion of management that such contingencies will not have a material effect on the financial statements of the Company.</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EQUITY</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00" w:lineRule="exact"/>
        <w:rPr>
          <w:sz w:val="20"/>
          <w:szCs w:val="20"/>
          <w:color w:val="auto"/>
        </w:rPr>
      </w:pPr>
    </w:p>
    <w:p>
      <w:pPr>
        <w:jc w:val="both"/>
        <w:ind w:left="60" w:right="319"/>
        <w:spacing w:after="0" w:line="266" w:lineRule="auto"/>
        <w:rPr>
          <w:sz w:val="20"/>
          <w:szCs w:val="20"/>
          <w:color w:val="auto"/>
        </w:rPr>
      </w:pPr>
      <w:r>
        <w:rPr>
          <w:rFonts w:ascii="Times New Roman" w:cs="Times New Roman" w:eastAsia="Times New Roman" w:hAnsi="Times New Roman"/>
          <w:sz w:val="18"/>
          <w:szCs w:val="18"/>
          <w:color w:val="auto"/>
        </w:rPr>
        <w:t>On February 22, 2024, the Company’s board of directors declared the Company’s first quarter 2024 cash dividend in the amount of $1.10 per share of common stock, or an aggregate of approximately $66.3 million in cash, which was paid on April 15, 2024 to stockholders of record as of the close of business on March 29, 2024.</w:t>
      </w:r>
    </w:p>
    <w:p>
      <w:pPr>
        <w:spacing w:after="0" w:line="135"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color w:val="auto"/>
        </w:rPr>
        <w:t>On May 10, 2024, the Company’s board of directors declared the Company’s second quarter 2024 cash dividend in the amount of $1.10 per share of common stock, or an aggregate of approximately $66.3 million in cash, which was paid on July 15, 2024 to stockholders of record as of the close of business on June 28, 2024. Any future dividend is subject to the Company’s board of directors’ determination as to the amount of distributions and the timing thereof.</w:t>
      </w:r>
    </w:p>
    <w:p>
      <w:pPr>
        <w:spacing w:after="0" w:line="1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Noncontrolling Interest in the Operating Partnership</w:t>
      </w:r>
    </w:p>
    <w:p>
      <w:pPr>
        <w:spacing w:after="0" w:line="200"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The Company consolidates the Operating Partnership, which is a majority-owned limited partnership that has a noncontrolling interest. The outstanding OP Units held by the noncontrolling limited partners are redeemable for cash, or if the Company so elects, in shares of the Company’s common stock on a one-for-one basis, subject to certain adjustments. At June 30, 2024, 0.4 million outstanding OP Units, or 0.7% of the outstanding OP Units, were held by the noncontrolling limited partners and are included as a component of equity in the accompanying condensed consolidated balance sheets. The Company owns, directly or indirectly, the remaining 99.3% of the outstanding OP Units.</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14. FAIR VALUE MEASUREMENTS:</w:t>
      </w:r>
    </w:p>
    <w:p>
      <w:pPr>
        <w:spacing w:after="0" w:line="189"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The Company uses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153"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The investments held by the Company in connection with its deferred compensation plan consist of mutual funds traded in an active market. The Company determined the fair value of these mutual funds based on the net asset value per unit of the funds or the portfolio, which is based upon quoted market prices in an active market. Therefore, the Company has categorized these investments as Level 1.</w:t>
      </w:r>
    </w:p>
    <w:p>
      <w:pPr>
        <w:spacing w:after="0" w:line="139"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The Company’s interest rate swaps consist of over-the-counter swap contracts, which are not traded on a public exchange. The Company determines the fair value of these swap contracts based on a widely accepted valuation methodology of netting the discounted future fixed cash flows and the discounted expected variable cash flows, using interest rates derived from observable market interest rate curves and volatilities, with appropriate adjustments for any significant impact of non-performance risk of the parties to the swap contracts. Therefore, these swap contracts have been classified as Level 2.</w:t>
      </w:r>
    </w:p>
    <w:p>
      <w:pPr>
        <w:spacing w:after="0" w:line="143"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The Company has consistently applied the above valuation techniques in all periods presented and believes it has obtained the most accurate information available for each type of instrument.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The Company’s assets and liabilities measured at fair value on a recurring basis at June 30, 2024 and December 31, 2023, were as follows (in thousands):</w:t>
      </w:r>
    </w:p>
    <w:tbl>
      <w:tblPr>
        <w:tblLayout w:type="fixed"/>
        <w:tblInd w:w="6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140"/>
              <w:spacing w:after="0" w:line="137"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5"/>
          </w:tcPr>
          <w:p>
            <w:pPr>
              <w:jc w:val="center"/>
              <w:ind w:left="28"/>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compensation plan investments</w:t>
            </w:r>
          </w:p>
        </w:tc>
        <w:tc>
          <w:tcPr>
            <w:tcW w:w="9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35,618</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35,618</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Variable to fixed interest rate swaps</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9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35,873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35,618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Markets for</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6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compensation plan investments</w:t>
            </w:r>
          </w:p>
        </w:tc>
        <w:tc>
          <w:tcPr>
            <w:tcW w:w="980" w:type="dxa"/>
            <w:vAlign w:val="bottom"/>
            <w:gridSpan w:val="2"/>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33,073</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gridSpan w:val="2"/>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33,073</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980" w:type="dxa"/>
            <w:vAlign w:val="bottom"/>
            <w:tcBorders>
              <w:bottom w:val="single" w:sz="8" w:color="CCEEFF"/>
            </w:tcBorders>
            <w:gridSpan w:val="2"/>
          </w:tcPr>
          <w:p>
            <w:pPr>
              <w:spacing w:after="0"/>
              <w:rPr>
                <w:sz w:val="21"/>
                <w:szCs w:val="21"/>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33,073</w:t>
            </w: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CCEEFF"/>
            </w:tcBorders>
            <w:gridSpan w:val="2"/>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33,073</w:t>
            </w: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CCEEFF"/>
            </w:tcBorders>
            <w:gridSpan w:val="2"/>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CCEEFF"/>
            </w:tcBorders>
            <w:gridSpan w:val="2"/>
          </w:tcPr>
          <w:p>
            <w:pPr>
              <w:spacing w:after="0"/>
              <w:rPr>
                <w:sz w:val="21"/>
                <w:szCs w:val="21"/>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8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Variable to fixed interest rate swaps</w:t>
            </w:r>
          </w:p>
        </w:tc>
        <w:tc>
          <w:tcPr>
            <w:tcW w:w="108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2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3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98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439"/>
        <w:spacing w:after="0" w:line="282" w:lineRule="auto"/>
        <w:rPr>
          <w:sz w:val="20"/>
          <w:szCs w:val="20"/>
          <w:color w:val="auto"/>
        </w:rPr>
      </w:pPr>
      <w:r>
        <w:rPr>
          <w:rFonts w:ascii="Times New Roman" w:cs="Times New Roman" w:eastAsia="Times New Roman" w:hAnsi="Times New Roman"/>
          <w:sz w:val="18"/>
          <w:szCs w:val="18"/>
          <w:color w:val="auto"/>
        </w:rPr>
        <w:t>The remainder of the assets and liabilities held by the Company at June 30, 2024 are not required to be recorded at fair value, and financial assets and liabilities approximate fair value, except as described below.</w:t>
      </w:r>
    </w:p>
    <w:p>
      <w:pPr>
        <w:spacing w:after="0" w:line="135" w:lineRule="exact"/>
        <w:rPr>
          <w:sz w:val="20"/>
          <w:szCs w:val="20"/>
          <w:color w:val="auto"/>
        </w:rPr>
      </w:pPr>
    </w:p>
    <w:p>
      <w:pPr>
        <w:ind w:left="60" w:right="239"/>
        <w:spacing w:after="0" w:line="289" w:lineRule="auto"/>
        <w:rPr>
          <w:sz w:val="20"/>
          <w:szCs w:val="20"/>
          <w:color w:val="auto"/>
        </w:rPr>
      </w:pPr>
      <w:r>
        <w:rPr>
          <w:rFonts w:ascii="Times New Roman" w:cs="Times New Roman" w:eastAsia="Times New Roman" w:hAnsi="Times New Roman"/>
          <w:sz w:val="17"/>
          <w:szCs w:val="17"/>
          <w:color w:val="auto"/>
        </w:rPr>
        <w:t>The Company has outstanding $400.0 million in aggregate principal amount of $400 million 7.25% senior notes. The carrying value of these notes at June 30, 2024 was $394.4 million, net of unamortized deferred financing costs (“DFCs”). The fair value of these notes, based upon quoted market prices (Level 1), was $414.0 million at June 30, 2024.</w:t>
      </w:r>
    </w:p>
    <w:p>
      <w:pPr>
        <w:spacing w:after="0" w:line="117"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The Company has outstanding $600.0 million in aggregate principal amount of $600 million 4.50% senior notes. The carrying value of these notes at June 30, 2024 was $593.6 million, net of unamortized DFCs. The fair value of these notes, based upon quoted market prices (Level 1), was $562.6 million at June 30, 2024.</w:t>
      </w:r>
    </w:p>
    <w:p>
      <w:pPr>
        <w:spacing w:after="0" w:line="135"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The Company has outstanding $700.0 million in aggregate principal amount of $700 million 4.75% senior notes. The carrying value of these notes at June 30, 2024 was $695.5 million, net of unamortized DFCs and premiums. The fair value of these notes, based upon quoted market prices (Level 1), was $675.0 million at June 30, 2024.</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15. FINANCIAL REPORTING BY BUSINESS SEGMENTS: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operations are organized into three principal business segments:</w:t>
      </w:r>
    </w:p>
    <w:p>
      <w:pPr>
        <w:spacing w:after="0" w:line="183" w:lineRule="exact"/>
        <w:rPr>
          <w:sz w:val="20"/>
          <w:szCs w:val="20"/>
          <w:color w:val="auto"/>
        </w:rPr>
      </w:pPr>
    </w:p>
    <w:p>
      <w:pPr>
        <w:ind w:left="720" w:right="319" w:hanging="319"/>
        <w:spacing w:after="0" w:line="26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Hospitality</w:t>
      </w:r>
      <w:r>
        <w:rPr>
          <w:rFonts w:ascii="Times New Roman" w:cs="Times New Roman" w:eastAsia="Times New Roman" w:hAnsi="Times New Roman"/>
          <w:sz w:val="18"/>
          <w:szCs w:val="18"/>
          <w:color w:val="auto"/>
        </w:rPr>
        <w:t>, which includes the Gaylord Hotels properties, JW Marriott Hill Country (effective June 30,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Inn at Opryland and the AC Hotel;</w:t>
      </w:r>
    </w:p>
    <w:p>
      <w:pPr>
        <w:ind w:left="720" w:right="57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Entertainment</w:t>
      </w:r>
      <w:r>
        <w:rPr>
          <w:rFonts w:ascii="Times New Roman" w:cs="Times New Roman" w:eastAsia="Times New Roman" w:hAnsi="Times New Roman"/>
          <w:sz w:val="18"/>
          <w:szCs w:val="18"/>
          <w:color w:val="auto"/>
        </w:rPr>
        <w:t>, which includes the OEG business, specifically the Grand Ole Opry, the Ryman Auditorium,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WSM-AM, Ole Red, Category 10 and Block 21; and</w:t>
      </w: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Corporate and Other</w:t>
      </w:r>
      <w:r>
        <w:rPr>
          <w:rFonts w:ascii="Times New Roman" w:cs="Times New Roman" w:eastAsia="Times New Roman" w:hAnsi="Times New Roman"/>
          <w:sz w:val="18"/>
          <w:szCs w:val="18"/>
          <w:color w:val="auto"/>
        </w:rPr>
        <w:t>, which includes the Company’s corporate expenses.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The following information is derived directly from the segments’ internal financial reports used for corporate management purposes (amounts in thousands):</w:t>
      </w:r>
    </w:p>
    <w:p>
      <w:pPr>
        <w:spacing w:after="0" w:line="12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4"/>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20" w:type="dxa"/>
            <w:vAlign w:val="bottom"/>
            <w:gridSpan w:val="6"/>
          </w:tcPr>
          <w:p>
            <w:pPr>
              <w:ind w:left="2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4"/>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8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Hospitality</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519,087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417,685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980,557</w:t>
            </w:r>
          </w:p>
        </w:tc>
        <w:tc>
          <w:tcPr>
            <w:tcW w:w="1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842,124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Entertainment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94,203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87,158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161,078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154,438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Corporate and Other</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6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613,290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504,843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1,141,635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996,562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4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Hospitality</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50,553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42,646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100,783</w:t>
            </w:r>
          </w:p>
        </w:tc>
        <w:tc>
          <w:tcPr>
            <w:tcW w:w="1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Entertainment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Corporate and Other</w:t>
            </w:r>
          </w:p>
        </w:tc>
        <w:tc>
          <w:tcPr>
            <w:tcW w:w="6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6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58,553</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48,257</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115,755</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96,614</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4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Hospitality</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151,885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107,733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254,070</w:t>
            </w:r>
          </w:p>
        </w:tc>
        <w:tc>
          <w:tcPr>
            <w:tcW w:w="1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213,803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Entertainment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34,425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35,249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Corporate and Other</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Preopening costs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Gain on sale of assets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income</w:t>
            </w:r>
          </w:p>
        </w:tc>
        <w:tc>
          <w:tcPr>
            <w:tcW w:w="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168,071</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122,240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264,452</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227,890</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Interest expense</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(56,577)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(49,179)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(117,020)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(91,707)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income</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Income (loss) from unconsolidated joint ventures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gains and (losses), net</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6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116,940</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73,687</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160,231</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136,314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5"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4"/>
          <w:szCs w:val="14"/>
          <w:b w:val="1"/>
          <w:bCs w:val="1"/>
          <w:color w:val="auto"/>
        </w:rPr>
        <w:t>June 30,</w:t>
      </w:r>
    </w:p>
    <w:p>
      <w:pPr>
        <w:ind w:left="7100"/>
        <w:spacing w:after="0"/>
        <w:rPr>
          <w:sz w:val="20"/>
          <w:szCs w:val="20"/>
          <w:color w:val="auto"/>
        </w:rPr>
      </w:pP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br w:type="column"/>
      </w:r>
    </w:p>
    <w:p>
      <w:pPr>
        <w:ind w:right="179" w:hanging="291"/>
        <w:spacing w:after="0" w:line="239" w:lineRule="auto"/>
        <w:rPr>
          <w:sz w:val="20"/>
          <w:szCs w:val="20"/>
          <w:color w:val="auto"/>
        </w:rPr>
      </w:pPr>
      <w:r>
        <w:rPr>
          <w:rFonts w:ascii="Times New Roman" w:cs="Times New Roman" w:eastAsia="Times New Roman" w:hAnsi="Times New Roman"/>
          <w:sz w:val="14"/>
          <w:szCs w:val="14"/>
          <w:b w:val="1"/>
          <w:bCs w:val="1"/>
          <w:color w:val="auto"/>
        </w:rPr>
        <w:t>December 31, 2023</w:t>
      </w:r>
    </w:p>
    <w:p>
      <w:pPr>
        <w:spacing w:after="0" w:line="2" w:lineRule="exact"/>
        <w:rPr>
          <w:sz w:val="20"/>
          <w:szCs w:val="20"/>
          <w:color w:val="auto"/>
        </w:rPr>
      </w:pPr>
    </w:p>
    <w:p>
      <w:pPr>
        <w:sectPr>
          <w:pgSz w:w="11900" w:h="16838" w:orient="portrait"/>
          <w:cols w:equalWidth="0" w:num="2">
            <w:col w:w="7580" w:space="720"/>
            <w:col w:w="719"/>
          </w:cols>
          <w:pgMar w:left="1440" w:top="513" w:right="1440" w:bottom="1440" w:gutter="0" w:footer="0" w:header="0"/>
          <w:type w:val="continuous"/>
        </w:sectPr>
      </w:pPr>
    </w:p>
    <w:tbl>
      <w:tblPr>
        <w:tblLayout w:type="fixed"/>
        <w:tblInd w:w="40" w:type="dxa"/>
        <w:tblCellMar>
          <w:top w:w="0" w:type="dxa"/>
          <w:left w:w="0" w:type="dxa"/>
          <w:bottom w:w="0" w:type="dxa"/>
          <w:right w:w="0" w:type="dxa"/>
        </w:tblCellMar>
      </w:tblPr>
      <w:tr>
        <w:trPr>
          <w:trHeight w:val="209"/>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7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Hospitality</w:t>
            </w:r>
          </w:p>
        </w:tc>
        <w:tc>
          <w:tcPr>
            <w:tcW w:w="3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3,915,838</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4,039,804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Entertainment</w:t>
            </w:r>
          </w:p>
        </w:tc>
        <w:tc>
          <w:tcPr>
            <w:tcW w:w="3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645,385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610,663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Corporate and Other</w:t>
            </w:r>
          </w:p>
        </w:tc>
        <w:tc>
          <w:tcPr>
            <w:tcW w:w="37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578,735</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538,070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37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5,139,958</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5,188,537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3720" w:type="dxa"/>
            <w:vAlign w:val="bottom"/>
            <w:vMerge w:val="restart"/>
          </w:tcPr>
          <w:p>
            <w:pPr>
              <w:jc w:val="right"/>
              <w:ind w:right="2050"/>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2980" w:type="dxa"/>
            <w:vAlign w:val="bottom"/>
          </w:tcPr>
          <w:p>
            <w:pPr>
              <w:spacing w:after="0"/>
              <w:rPr>
                <w:sz w:val="24"/>
                <w:szCs w:val="24"/>
                <w:color w:val="auto"/>
              </w:rPr>
            </w:pPr>
          </w:p>
        </w:tc>
        <w:tc>
          <w:tcPr>
            <w:tcW w:w="37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98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32"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Ryman Hospitality Properties, Inc. (“Ryman”) is a Delaware corporation that conducts its operations so as to maintain its qualification as a real estate investment trust (“REIT”) for federal income tax purposes. The Company (as defined below) conducts its business through an umbrella partnership REIT, in which all of its assets are held by, and operations are conducted through, RHP Hotel Properties, LP, a subsidiary operating partnership (the “Operating Partnership”). RHP Finance Corporation, a Delaware corporation (“Finco”), was formed as a wholly-owned subsidiary of the Operating Partnership for the sole purpose of being a co-issuer of debt securities with the Operating Partnership. Neither Ryman nor Finco has any material assets, other than Ryman’s investment in the Operating Partnership and the Operating Partnership’s subsidiaries. Neither the Operating Partnership nor Finco has any business, operations, financial results or other material information, other than the business, operations, financial results and other material information described in this Quarterly Report on Form 10-Q and Ryman’s other reports, documents or other information filed with the Securities and Exchange Commission (the “SEC”) pursuant to the Securities Exchange Act of 1934, as amended (the “Exchange Act”). In this report, we use the terms the “Company,” “we” or “our” to refer to Ryman Hospitality Properties, Inc. and its subsidiaries unless the context indicates otherwise.</w:t>
      </w:r>
    </w:p>
    <w:p>
      <w:pPr>
        <w:spacing w:after="0" w:line="147"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The following discussion and analysis should be read in conjunction with our unaudited condensed consolidated financial statements and related notes included elsewhere in this report and our audited consolidated financial statements and related notes for the year ended December 31, 2023, included in our Annual Report on Form 10-K that was filed with the SEC on February 23, 2024.</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Cautionary Note Regarding Forward-Looking Statements</w:t>
      </w:r>
    </w:p>
    <w:p>
      <w:pPr>
        <w:spacing w:after="0" w:line="202" w:lineRule="exact"/>
        <w:rPr>
          <w:sz w:val="20"/>
          <w:szCs w:val="20"/>
          <w:color w:val="auto"/>
        </w:rPr>
      </w:pPr>
    </w:p>
    <w:p>
      <w:pPr>
        <w:ind w:left="60" w:right="59"/>
        <w:spacing w:after="0" w:line="251"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intended to qualify for the safe harbor from liability established by the Private Securities Litigation Reform Act of 1995. These forward-looking statements concern our goals, beliefs, expectations, strategies, objectives, plans, future operating results and underlying assumptions, and other statements that are not necessarily based on historical facts. Without limitation, you can identify these statements by the fact that they do not relate strictly to historical or current facts, and these statements may contain words such as “may,” “will,” “could,” “should,” “might,” “projects,” “expects,” “believes,” “anticipates,” “intends,” “plans,” “continue,” “estimate,” or “pursue,” or the negative or other variations thereof or comparable terms. In particular, they include statements relating to, among other things, future actions, strategies, future performance, the outcome of contingencies such as legal proceedings and future financial results. These may also include statements regarding (i) the future performance of our business, anticipated business levels and our anticipated financial results during future periods, and other business or operational issues; (ii) the effect of our election to be taxed as a REIT and maintain REIT status for federal income tax purposes; (iii) the holding of our non-qualifying REIT assets in one or more taxable REIT subsidiaries (“TRSs”); (iv) our dividend policy, including the frequency and amount of any dividend we may pay; (v) our strategic goals and potential growth opportunities, including future expansion of the geographic diversity of our existing asset portfolio through acquisitions and investment in joint ventures; (vi) Marriott International, Inc.’s (“Marriott”) ability to effectively manage our hotels and other properties; (vii) our anticipated capital expenditures and investments; (viii) the potential operating and financial restrictions imposed on our activities under existing and future financing agreements including our credit facility and other contractual arrangements with third parties, including management agreements with Marriott; (ix) our ability to borrow available funds under our credit facility; (x) our expectations about successfully amending the agreements governing our indebtedness should the need arise; (xi) the effects of inflation and increased costs on our business and on our customers, including group customers at our hotels; and (xii) any other business or operational matters. We have based these forward-looking statements on our current expectations and projections about future events.</w:t>
      </w:r>
    </w:p>
    <w:p>
      <w:pPr>
        <w:spacing w:after="0" w:line="165"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We caution the reader that forward-looking statements involve risks and uncertainties that cannot be predicted or quantified, and, consequently, actual results may differ materially from those expressed or implied by such forward-looking statements. Important factors that could cause actual results to differ materially from those in the forward-looking statements include, among other things, risks and uncertainties associated with economic conditions affecting the hospitality business generally, the geographic concentration of our hotel properties, business levels at our hotels, the effects of inflation on our business, including the effects on costs of labor and supplies and effects on group customers at our hotels and customers in our OEG businesses, our ability to remain qualified as a REIT, our ability to execute our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strategic goals as a REIT, our ability to generate cash flows to support dividends, future board determinations regarding the timing and amount of dividends and changes to the dividend policy, our ability to borrow funds pursuant to our credit agreements and to refinance indebtedness and/or to successfully amend the agreements governing our indebtedness in the future, changes in interest rates, and those factors described elsewhere in this Quarterly Report on Form 10-Q and our Annual Report on Form 10-K for the year ended December 31, 2023 or described from time to time in our other reports filed with the SEC.</w:t>
      </w:r>
    </w:p>
    <w:p>
      <w:pPr>
        <w:spacing w:after="0" w:line="160"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Any forward-looking statement made in this Quarterly Report on Form 10-Q speaks only as of the date on which the statement is made. New risks and uncertainties arise from time to time, and it is impossible for us to predict these events or how they may affect us. We have no duty to, and do not intend to, update or revise the forward-looking statements we make in this Quarterly Report on Form 10-Q, except as may be required by law.</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89"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We operate as a REIT for federal income tax purposes, specializing in group-oriented, destination hotel assets in urban and resort markets. Our core holdings include a network of five upscale, meetings-focused resorts totaling 9,917 rooms that are managed by Marriott under the Gaylord Hotels brand. These five resorts, which we refer to as our Gaylord Hotels properties, consist of the Gaylord Opryland Resort &amp; Convention Center in Nashville, Tennessee (“Gaylord Opryland”), the Gaylord Palms Resort &amp; Convention Center near Orlando, Florida (“Gaylord Palms”), the Gaylord Texan Resort &amp; Convention Center near Dallas, Texas (“Gaylord Texan”), the Gaylord National Resort &amp; Convention Center near Washington D.C. (“Gaylord National”), and the Gaylord Rockies Resort &amp; Convention Center near Denver, Colorado (“Gaylord Rockies”). Our other owned hotel assets managed by Marriott include the Inn at Opryland, an overflow hotel adjacent to Gaylord Opryland, the AC Hotel at National Harbor, Washington D.C. (“AC Hotel”), an overflow hotel adjacent to Gaylord National, and effective June 30, 2023, the JW Marriott San Antonio Hill Country Resort &amp; Spa (“JW Marriott Hill Country”).</w:t>
      </w:r>
    </w:p>
    <w:p>
      <w:pPr>
        <w:spacing w:after="0" w:line="165"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Each of our award-winning Gaylord Hotels properties incorporates not only high quality lodging, but also at least 400,000 square feet of meeting, convention and exhibition space, superb food and beverage options and retail and spa facilities within a single self-contained property. As a result, our Gaylord Hotels properties provide a convenient and entertaining environment for convention guests. Our Gaylord Hotels properties focus on the large group meetings market in the United States.</w:t>
      </w:r>
    </w:p>
    <w:p>
      <w:pPr>
        <w:spacing w:after="0" w:line="143"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We also own a controlling 70% equity interest in a business comprised of a number of entertainment and media assets, known as the Opry Entertainment Group (“OEG”), which we report as our Entertainment segment. These assets include the Grand Ole Opry, the legendary weekly showcase of country music’s finest performers for 98 years; the Ryman Auditorium, the storied live music venue and former home of the Grand Ole Opry located in downtown Nashville; WSM-AM, the Opry’s radio home; Ole Red, a brand of Blake Shelton-themed bar, music venue and event spaces; Category 10, a Luke Combs-themed bar, music venue and event space currently under construction; and Block 21, a mixed-use entertainment, lodging, office, and retail complex located in Austin, Texas (“Block 21”).</w:t>
      </w:r>
    </w:p>
    <w:p>
      <w:pPr>
        <w:spacing w:after="0" w:line="148"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See “Cautionary Note Regarding Forward-Looking Statements” in this Item 2 and Item 1A, “Risk Factors,” in Part II of this Quarterly Report on Form 10-Q and Item 1A, “Risk Factors,” in our Annual Report on Form 10-K for the year ended December 31, 2023 for important information regarding forward-looking statements made in this report and risks and uncertainties we face.</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Significant 2024 Activities</w:t>
      </w:r>
    </w:p>
    <w:p>
      <w:pPr>
        <w:spacing w:after="0" w:line="229" w:lineRule="exact"/>
        <w:rPr>
          <w:sz w:val="20"/>
          <w:szCs w:val="20"/>
          <w:color w:val="auto"/>
        </w:rPr>
      </w:pPr>
    </w:p>
    <w:p>
      <w:pPr>
        <w:ind w:left="60" w:right="839"/>
        <w:spacing w:after="0" w:line="282" w:lineRule="auto"/>
        <w:rPr>
          <w:sz w:val="20"/>
          <w:szCs w:val="20"/>
          <w:color w:val="auto"/>
        </w:rPr>
      </w:pPr>
      <w:r>
        <w:rPr>
          <w:rFonts w:ascii="Times New Roman" w:cs="Times New Roman" w:eastAsia="Times New Roman" w:hAnsi="Times New Roman"/>
          <w:sz w:val="18"/>
          <w:szCs w:val="18"/>
          <w:color w:val="auto"/>
        </w:rPr>
        <w:t>Significant activities we have undertaken in 2024 include (as well as where you can find more information in the accompanying condensed consolidated financial statements):</w:t>
      </w:r>
    </w:p>
    <w:p>
      <w:pPr>
        <w:spacing w:after="0" w:line="162" w:lineRule="exact"/>
        <w:rPr>
          <w:sz w:val="20"/>
          <w:szCs w:val="20"/>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$1 billion in 6.50% senior notes due 2032 – Note 7, “Debt”</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Repaid previously outstanding $800 million Gaylord Rockies term loan – Note 7, “Debt”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Repaid $200.0 million under our term loan B and reduced the applicable interest rate margins – Note 7, “Debt”</w:t>
      </w:r>
    </w:p>
    <w:p>
      <w:pPr>
        <w:spacing w:after="0" w:line="225" w:lineRule="exact"/>
        <w:rPr>
          <w:rFonts w:ascii="Times New Roman" w:cs="Times New Roman" w:eastAsia="Times New Roman" w:hAnsi="Times New Roman"/>
          <w:sz w:val="18"/>
          <w:szCs w:val="18"/>
          <w:color w:val="auto"/>
        </w:rPr>
      </w:pPr>
    </w:p>
    <w:p>
      <w:pPr>
        <w:ind w:left="720" w:right="139" w:hanging="319"/>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Refinanced our existing OEG credit facility, including reducing the applicable interest rate margins under each of the $65 million OEG revolver and $300 million OEG term loan B, as well as upsizing the OEG revolver to $80 million of potential capacity – Note 7, “Debt”</w:t>
      </w:r>
    </w:p>
    <w:p>
      <w:pPr>
        <w:spacing w:after="0" w:line="175" w:lineRule="exact"/>
        <w:rPr>
          <w:rFonts w:ascii="Times New Roman" w:cs="Times New Roman" w:eastAsia="Times New Roman" w:hAnsi="Times New Roman"/>
          <w:sz w:val="18"/>
          <w:szCs w:val="18"/>
          <w:color w:val="auto"/>
        </w:rPr>
      </w:pPr>
    </w:p>
    <w:p>
      <w:pPr>
        <w:ind w:left="720" w:right="25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investment in our existing properties through approximately $184.9 million in capital expenditures – “Liquidity and Capital Resources”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Declared approximately $132.6 million in cash dividends – Note 13, “Equity”</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Dividend Policy</w:t>
      </w:r>
    </w:p>
    <w:p>
      <w:pPr>
        <w:spacing w:after="0" w:line="202"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Our board of directors has approved a dividend policy pursuant to which we will make minimum dividends of 100% of REIT taxable income annually, subject to the board of directors’ future determinations as to the amount of any distributions and the timing thereof. The dividend policy may be altered at any time by our board of directors (as otherwise permitted by our credit agreement) and certain provisions of our agreements governing our other indebtedness may prohibit us from paying dividends in accordance with any policy we may adopt.</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Long-Term Strategic Plan</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goal is to be the nation’s premier hospitality REIT for group-oriented meeting hotel assets in urban and resort markets.</w:t>
      </w:r>
    </w:p>
    <w:p>
      <w:pPr>
        <w:spacing w:after="0" w:line="196" w:lineRule="exact"/>
        <w:rPr>
          <w:sz w:val="20"/>
          <w:szCs w:val="20"/>
          <w:color w:val="auto"/>
        </w:rPr>
      </w:pPr>
    </w:p>
    <w:p>
      <w:pPr>
        <w:ind w:left="60" w:right="299"/>
        <w:spacing w:after="0" w:line="258" w:lineRule="auto"/>
        <w:rPr>
          <w:sz w:val="20"/>
          <w:szCs w:val="20"/>
          <w:color w:val="auto"/>
        </w:rPr>
      </w:pPr>
      <w:r>
        <w:rPr>
          <w:rFonts w:ascii="Times New Roman" w:cs="Times New Roman" w:eastAsia="Times New Roman" w:hAnsi="Times New Roman"/>
          <w:sz w:val="18"/>
          <w:szCs w:val="18"/>
          <w:i w:val="1"/>
          <w:iCs w:val="1"/>
          <w:color w:val="auto"/>
        </w:rPr>
        <w:t>Existing Hotel Property Design</w:t>
      </w:r>
      <w:r>
        <w:rPr>
          <w:rFonts w:ascii="Times New Roman" w:cs="Times New Roman" w:eastAsia="Times New Roman" w:hAnsi="Times New Roman"/>
          <w:sz w:val="18"/>
          <w:szCs w:val="18"/>
          <w:color w:val="auto"/>
        </w:rPr>
        <w:t>. Our Gaylord Hotels properties focus on the large group meetings market in the United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States and incorporate meeting and exhibition space, signature guest rooms, food and beverage offerings, fitness and spa facilities and other attractions within a large hotel property so attendees’ needs are met in one location. We believe this strategy creates a better experience for both meeting planners and guests and has led to our current Gaylord Hotels properties claiming a place among the leading convention hotels in the country.</w:t>
      </w:r>
    </w:p>
    <w:p>
      <w:pPr>
        <w:spacing w:after="0" w:line="143"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i w:val="1"/>
          <w:iCs w:val="1"/>
          <w:color w:val="auto"/>
        </w:rPr>
        <w:t>Expansion of Hotel Asset Portfolio</w:t>
      </w:r>
      <w:r>
        <w:rPr>
          <w:rFonts w:ascii="Times New Roman" w:cs="Times New Roman" w:eastAsia="Times New Roman" w:hAnsi="Times New Roman"/>
          <w:sz w:val="18"/>
          <w:szCs w:val="18"/>
          <w:color w:val="auto"/>
        </w:rPr>
        <w:t>. Part of our long-term growth strategy includes acquisitions or developments of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hotels, particularly in the group meetings sector of the hospitality industry, either alone or through joint ventures or alliances with one or more third parties. We will consider attractive investment opportunities which meet our acquisition parameters, specifically, group-oriented large hotels and overflow hotels with existing or potential leisure appeal. We are generally interested in highly accessible upper-upscale or luxury assets with over 400 hotel rooms in urban and resort group destination markets. We also consider assets that possess significant meeting space or present a repositioning opportunity and/or would significantly benefit from capital investment in additional rooms or meeting space. We are consistently considering acquisitions that would expand the geographic diversity of our existing asset portfolio. To this end, we purchased JW Marriott Hill Country in June 2023.</w:t>
      </w:r>
    </w:p>
    <w:p>
      <w:pPr>
        <w:spacing w:after="0" w:line="148"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i w:val="1"/>
          <w:iCs w:val="1"/>
          <w:color w:val="auto"/>
        </w:rPr>
        <w:t>Continued Investment in Our Existing Properties</w:t>
      </w:r>
      <w:r>
        <w:rPr>
          <w:rFonts w:ascii="Times New Roman" w:cs="Times New Roman" w:eastAsia="Times New Roman" w:hAnsi="Times New Roman"/>
          <w:sz w:val="18"/>
          <w:szCs w:val="18"/>
          <w:color w:val="auto"/>
        </w:rPr>
        <w:t>. We continuously evaluate and invest in our current portfolio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 enhancements or expansions as part of our long-term strategic plan. In 2021, we completed the $158 million expansion of Gaylord Palms, and we also completed the renovation of all of the guestrooms at Gaylord National. In 2022, we completed a re-concepting of the food and beverage options at Gaylord National and began a $98 million multi-year interior and exterior enhancement project at Gaylord Rockies to better position the property for our group customers. In early 2024, we identified over $1 billion in capital investment opportunities across our entire hotel portfolio, comprised of projects that we anticipate completing in phases through 2027.</w:t>
      </w:r>
    </w:p>
    <w:p>
      <w:pPr>
        <w:spacing w:after="0" w:line="156"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i w:val="1"/>
          <w:iCs w:val="1"/>
          <w:color w:val="auto"/>
        </w:rPr>
        <w:t>Leverage Brand Name Awareness</w:t>
      </w:r>
      <w:r>
        <w:rPr>
          <w:rFonts w:ascii="Times New Roman" w:cs="Times New Roman" w:eastAsia="Times New Roman" w:hAnsi="Times New Roman"/>
          <w:sz w:val="18"/>
          <w:szCs w:val="18"/>
          <w:color w:val="auto"/>
        </w:rPr>
        <w:t>. We believe the Grand Ole Opry is one of the most recognized entertainment brands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United States. We promote the Grand Ole Opry name through various media, including our WSM-AM radio station, the Internet and television, and through performances by the Grand Ole Opry’s members, many of whom are renowned country music artists. As such, we have alliances in place with multiple distribution partners in an effort to foster brand extension. We believe that licensing our brand for products may provide an opportunity to increase revenues and cash flow with relatively little capital investment. We are continuously exploring additional products, such as television specials and retail products, through which we can capitalize on our brand affinity and awareness. To this end,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81" w:lineRule="auto"/>
        <w:rPr>
          <w:sz w:val="20"/>
          <w:szCs w:val="20"/>
          <w:color w:val="auto"/>
        </w:rPr>
      </w:pPr>
      <w:r>
        <w:rPr>
          <w:rFonts w:ascii="Times New Roman" w:cs="Times New Roman" w:eastAsia="Times New Roman" w:hAnsi="Times New Roman"/>
          <w:sz w:val="17"/>
          <w:szCs w:val="17"/>
          <w:color w:val="auto"/>
        </w:rPr>
        <w:t>we have invested in six Ole Red locations, purchased Block 21, and in April 2023 announced a partnership with Luke Combs for Category 10, an entertainment venue concept expected to open in the fourth quarter of 2024. Further, in 2022, we completed a strategic transaction to sell a minority interest in OEG to an affiliate of Atairos Group, Inc. and its strategic partner NBCUniversal Media, LLC, who we believe will be able to help us expand the distribution of our OEG brands.</w:t>
      </w:r>
    </w:p>
    <w:p>
      <w:pPr>
        <w:spacing w:after="0" w:line="135"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i w:val="1"/>
          <w:iCs w:val="1"/>
          <w:color w:val="auto"/>
        </w:rPr>
        <w:t>Short-Term Capital Allocation</w:t>
      </w:r>
      <w:r>
        <w:rPr>
          <w:rFonts w:ascii="Times New Roman" w:cs="Times New Roman" w:eastAsia="Times New Roman" w:hAnsi="Times New Roman"/>
          <w:sz w:val="18"/>
          <w:szCs w:val="18"/>
          <w:color w:val="auto"/>
        </w:rPr>
        <w:t>. Our short-term capital allocation strategy is focused on returning capital to stockholders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the payment of dividends, in addition to investing in our assets and operations. Our dividend policy provides that we will make minimum dividends of 100% of REIT taxable income annually, subject to the board of directors’ future determinations as to the amount of any distributions and the timing thereof.</w:t>
      </w:r>
    </w:p>
    <w:p>
      <w:pPr>
        <w:spacing w:after="0" w:line="1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Operations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operations are organized into three principal business segments:</w:t>
      </w:r>
    </w:p>
    <w:p>
      <w:pPr>
        <w:spacing w:after="0" w:line="198" w:lineRule="exact"/>
        <w:rPr>
          <w:sz w:val="20"/>
          <w:szCs w:val="20"/>
          <w:color w:val="auto"/>
        </w:rPr>
      </w:pPr>
    </w:p>
    <w:p>
      <w:pPr>
        <w:ind w:left="720" w:right="199" w:hanging="319"/>
        <w:spacing w:after="0" w:line="282"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Hospitality, consisting of our Gaylord Hotels properties, JW Marriott Hill Country (effective June 30, 2023), the Inn at Opryland and the AC Hotel.</w:t>
      </w:r>
    </w:p>
    <w:p>
      <w:pPr>
        <w:spacing w:after="0" w:line="121" w:lineRule="exact"/>
        <w:rPr>
          <w:rFonts w:ascii="Times New Roman" w:cs="Times New Roman" w:eastAsia="Times New Roman" w:hAnsi="Times New Roman"/>
          <w:sz w:val="18"/>
          <w:szCs w:val="18"/>
          <w:color w:val="auto"/>
        </w:rPr>
      </w:pPr>
    </w:p>
    <w:p>
      <w:pPr>
        <w:ind w:left="720" w:right="459" w:hanging="319"/>
        <w:spacing w:after="0" w:line="282"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Entertainment, consisting of the Grand Ole Opry, the Ryman Auditorium, WSM-AM, Ole Red, Category 10, Block 21, and our other Nashville-based attractions.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 consisting of our corporate expenses.</w:t>
      </w:r>
    </w:p>
    <w:p>
      <w:pPr>
        <w:spacing w:after="0" w:line="198" w:lineRule="exact"/>
        <w:rPr>
          <w:sz w:val="20"/>
          <w:szCs w:val="20"/>
          <w:color w:val="auto"/>
        </w:rPr>
      </w:pPr>
    </w:p>
    <w:p>
      <w:pPr>
        <w:ind w:left="60" w:right="719"/>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2024 and 2023, our total revenues were divided among these business segments as follows:</w:t>
      </w:r>
    </w:p>
    <w:p>
      <w:pPr>
        <w:spacing w:after="0" w:line="116"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60" w:type="dxa"/>
            <w:vAlign w:val="bottom"/>
            <w:gridSpan w:val="5"/>
          </w:tcPr>
          <w:p>
            <w:pPr>
              <w:jc w:val="center"/>
              <w:ind w:right="33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60" w:type="dxa"/>
            <w:vAlign w:val="bottom"/>
            <w:gridSpan w:val="4"/>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38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920" w:type="dxa"/>
            <w:vAlign w:val="bottom"/>
            <w:gridSpan w:val="3"/>
          </w:tcPr>
          <w:p>
            <w:pPr>
              <w:jc w:val="center"/>
              <w:ind w:left="31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60" w:type="dxa"/>
            <w:vAlign w:val="bottom"/>
            <w:gridSpan w:val="4"/>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3800" w:type="dxa"/>
            <w:vAlign w:val="bottom"/>
            <w:gridSpan w:val="3"/>
            <w:vMerge w:val="continue"/>
          </w:tcPr>
          <w:p>
            <w:pPr>
              <w:spacing w:after="0"/>
              <w:rPr>
                <w:sz w:val="12"/>
                <w:szCs w:val="12"/>
                <w:color w:val="auto"/>
              </w:rPr>
            </w:pPr>
          </w:p>
        </w:tc>
        <w:tc>
          <w:tcPr>
            <w:tcW w:w="560" w:type="dxa"/>
            <w:vAlign w:val="bottom"/>
            <w:tcBorders>
              <w:top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380" w:type="dxa"/>
            <w:vAlign w:val="bottom"/>
          </w:tcPr>
          <w:p>
            <w:pPr>
              <w:spacing w:after="0"/>
              <w:rPr>
                <w:sz w:val="12"/>
                <w:szCs w:val="12"/>
                <w:color w:val="auto"/>
              </w:rPr>
            </w:pPr>
          </w:p>
        </w:tc>
        <w:tc>
          <w:tcPr>
            <w:tcW w:w="500" w:type="dxa"/>
            <w:vAlign w:val="bottom"/>
            <w:tcBorders>
              <w:top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Hospitality</w:t>
            </w: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380" w:type="dxa"/>
            <w:vAlign w:val="bottom"/>
            <w:tcBorders>
              <w:top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320" w:type="dxa"/>
            <w:vAlign w:val="bottom"/>
            <w:tcBorders>
              <w:top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Entertainment</w:t>
            </w:r>
          </w:p>
        </w:tc>
        <w:tc>
          <w:tcPr>
            <w:tcW w:w="8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15 %</w:t>
            </w:r>
          </w:p>
        </w:tc>
        <w:tc>
          <w:tcPr>
            <w:tcW w:w="120" w:type="dxa"/>
            <w:vAlign w:val="bottom"/>
          </w:tcPr>
          <w:p>
            <w:pPr>
              <w:spacing w:after="0"/>
              <w:rPr>
                <w:sz w:val="18"/>
                <w:szCs w:val="18"/>
                <w:color w:val="auto"/>
              </w:rPr>
            </w:pPr>
          </w:p>
        </w:tc>
        <w:tc>
          <w:tcPr>
            <w:tcW w:w="8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17 %</w:t>
            </w:r>
          </w:p>
        </w:tc>
        <w:tc>
          <w:tcPr>
            <w:tcW w:w="7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14 %</w:t>
            </w:r>
          </w:p>
        </w:tc>
        <w:tc>
          <w:tcPr>
            <w:tcW w:w="8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8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0 %</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0 %</w:t>
            </w:r>
          </w:p>
        </w:tc>
        <w:tc>
          <w:tcPr>
            <w:tcW w:w="7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0 %</w:t>
            </w:r>
          </w:p>
        </w:tc>
        <w:tc>
          <w:tcPr>
            <w:tcW w:w="8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Key Performance Indicators</w:t>
      </w:r>
    </w:p>
    <w:p>
      <w:pPr>
        <w:spacing w:after="0" w:line="189"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The operating results of our Hospitality segment are highly dependent on the volume of customers at our hotels and the quality of the customer mix at our hotels, which are managed by Marriott. These factors impact the price that Marriott can charge for our hotel rooms and other amenities, such as food and beverage and meeting space. The following key performance indicators are commonly used in the hospitality industry and are used by management to evaluate hotel performance and allocate capital expenditures:</w:t>
      </w:r>
    </w:p>
    <w:p>
      <w:pPr>
        <w:spacing w:after="0" w:line="156" w:lineRule="exact"/>
        <w:rPr>
          <w:sz w:val="20"/>
          <w:szCs w:val="20"/>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hotel occupancy – a volume indicator calculated by dividing total rooms sold by total rooms available;</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daily rate (“ADR”) – a price indicator calculated by dividing room revenue by the number of rooms sold;</w:t>
      </w:r>
    </w:p>
    <w:p>
      <w:pPr>
        <w:spacing w:after="0" w:line="184" w:lineRule="exact"/>
        <w:rPr>
          <w:rFonts w:ascii="Times New Roman" w:cs="Times New Roman" w:eastAsia="Times New Roman" w:hAnsi="Times New Roman"/>
          <w:sz w:val="18"/>
          <w:szCs w:val="18"/>
          <w:color w:val="auto"/>
        </w:rPr>
      </w:pPr>
    </w:p>
    <w:p>
      <w:pPr>
        <w:ind w:left="720" w:right="579" w:hanging="319"/>
        <w:spacing w:after="0" w:line="282"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per available room (“RevPAR”) – a summary measure of hotel results calculated by dividing room revenue by room nights available to guests for the period;</w:t>
      </w:r>
    </w:p>
    <w:p>
      <w:pPr>
        <w:spacing w:after="0" w:line="134" w:lineRule="exact"/>
        <w:rPr>
          <w:rFonts w:ascii="Times New Roman" w:cs="Times New Roman" w:eastAsia="Times New Roman" w:hAnsi="Times New Roman"/>
          <w:sz w:val="18"/>
          <w:szCs w:val="18"/>
          <w:color w:val="auto"/>
        </w:rPr>
      </w:pPr>
    </w:p>
    <w:p>
      <w:pPr>
        <w:ind w:left="720" w:right="99" w:hanging="319"/>
        <w:spacing w:after="0" w:line="266"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per available room (“Total RevPAR”) – a summary measure of hotel results calculated by dividing the sum of room, food and beverage and other ancillary service revenue by room nights available to guests for the period; and</w:t>
      </w:r>
    </w:p>
    <w:p>
      <w:pPr>
        <w:spacing w:after="0" w:line="135" w:lineRule="exact"/>
        <w:rPr>
          <w:rFonts w:ascii="Times New Roman" w:cs="Times New Roman" w:eastAsia="Times New Roman" w:hAnsi="Times New Roman"/>
          <w:sz w:val="18"/>
          <w:szCs w:val="18"/>
          <w:color w:val="auto"/>
        </w:rPr>
      </w:pPr>
    </w:p>
    <w:p>
      <w:pPr>
        <w:ind w:left="720" w:right="259" w:hanging="319"/>
        <w:spacing w:after="0" w:line="282"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definite group room nights booked – a volume indicator which represents the total number of definite group bookings for future room nights at our hotels confirmed during the applicable period, net of cancellations.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99"/>
        <w:spacing w:after="0" w:line="266" w:lineRule="auto"/>
        <w:rPr>
          <w:sz w:val="20"/>
          <w:szCs w:val="20"/>
          <w:color w:val="auto"/>
        </w:rPr>
      </w:pPr>
      <w:r>
        <w:rPr>
          <w:rFonts w:ascii="Times New Roman" w:cs="Times New Roman" w:eastAsia="Times New Roman" w:hAnsi="Times New Roman"/>
          <w:sz w:val="18"/>
          <w:szCs w:val="18"/>
          <w:color w:val="auto"/>
        </w:rPr>
        <w:t>We also use certain “non-GAAP financial measures,” which are measures of our historical performance that are not calculated and presented in accordance with generally accepted accounting principles in the United States (“GAAP”), within the meaning of applicable SEC rules. These measures include:</w:t>
      </w:r>
    </w:p>
    <w:p>
      <w:pPr>
        <w:spacing w:after="0" w:line="147" w:lineRule="exact"/>
        <w:rPr>
          <w:sz w:val="20"/>
          <w:szCs w:val="20"/>
          <w:color w:val="auto"/>
        </w:rPr>
      </w:pPr>
    </w:p>
    <w:p>
      <w:pPr>
        <w:jc w:val="both"/>
        <w:ind w:left="720" w:right="159" w:hanging="319"/>
        <w:spacing w:after="0" w:line="267"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Before Interest Expense, Income Taxes, Depreciation and Amortization for Real Estate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and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Excluding Noncontrolling Interest in Consolidated Joint Venture, and</w:t>
      </w:r>
    </w:p>
    <w:p>
      <w:pPr>
        <w:spacing w:after="0" w:line="134" w:lineRule="exact"/>
        <w:rPr>
          <w:rFonts w:ascii="Times New Roman" w:cs="Times New Roman" w:eastAsia="Times New Roman" w:hAnsi="Times New Roman"/>
          <w:sz w:val="18"/>
          <w:szCs w:val="18"/>
          <w:color w:val="auto"/>
        </w:rPr>
      </w:pPr>
    </w:p>
    <w:p>
      <w:pPr>
        <w:ind w:left="720" w:right="139" w:hanging="319"/>
        <w:spacing w:after="0" w:line="282"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Funds From Operations (“FFO”) available to common stockholders and unit holders and Adjusted FFO available to common stockholders and unit holders.</w:t>
      </w:r>
    </w:p>
    <w:p>
      <w:pPr>
        <w:spacing w:after="0" w:line="1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“Non-GAAP Financial Measures” below for further discussion.</w:t>
      </w:r>
    </w:p>
    <w:p>
      <w:pPr>
        <w:spacing w:after="0" w:line="198"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The results of operations of our Hospitality segment are affected by the number and type of group meetings and conventions scheduled to attend our hotels in a given period. A variety of factors can affect the results of any interim period, including the nature and quality of the group meetings and conventions attending our hotels during such period, which meetings and conventions (and applicable room rates) have often been contracted for several years in advance, seasonality, the level of attrition our hotels experience, and the level of transient business at our hotels during such period. Increases in costs, including labor costs, costs of food and other supplies, and energy costs can negatively affect our results, particularly during an inflationary economic environment. We rely on Marriott, as the manager of our hotels, to manage these factors and to offset any identified shortfalls in occupancy.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Selected Financial Information</w:t>
      </w:r>
    </w:p>
    <w:p>
      <w:pPr>
        <w:spacing w:after="0" w:line="202" w:lineRule="exact"/>
        <w:rPr>
          <w:sz w:val="20"/>
          <w:szCs w:val="20"/>
          <w:color w:val="auto"/>
        </w:rPr>
      </w:pPr>
    </w:p>
    <w:p>
      <w:pPr>
        <w:jc w:val="both"/>
        <w:ind w:left="60" w:right="299"/>
        <w:spacing w:after="0" w:line="266" w:lineRule="auto"/>
        <w:rPr>
          <w:sz w:val="20"/>
          <w:szCs w:val="20"/>
          <w:color w:val="auto"/>
        </w:rPr>
      </w:pPr>
      <w:r>
        <w:rPr>
          <w:rFonts w:ascii="Times New Roman" w:cs="Times New Roman" w:eastAsia="Times New Roman" w:hAnsi="Times New Roman"/>
          <w:sz w:val="18"/>
          <w:szCs w:val="18"/>
          <w:color w:val="auto"/>
        </w:rPr>
        <w:t>The following table contains our unaudited selected summary financial data for the three and six months ended June 30, 2024 and 2023. The table also shows the percentage relationships to total revenues and, in the case of segment operating income, its relationship to segment revenues (in thousands, except percentages).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7"/>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6"/>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tcBorders>
              <w:bottom w:val="single" w:sz="8" w:color="auto"/>
            </w:tcBorders>
            <w:gridSpan w:val="9"/>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8"/>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gridSpan w:val="2"/>
          </w:tcPr>
          <w:p>
            <w:pPr>
              <w:jc w:val="center"/>
              <w:ind w:left="88"/>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gridSpan w:val="2"/>
          </w:tcPr>
          <w:p>
            <w:pPr>
              <w:jc w:val="center"/>
              <w:ind w:left="88"/>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4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40" w:type="dxa"/>
            <w:vAlign w:val="bottom"/>
            <w:tcBorders>
              <w:top w:val="single" w:sz="8" w:color="CCEEFF"/>
            </w:tcBorders>
            <w:gridSpan w:val="3"/>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REVENUES:</w:t>
            </w:r>
          </w:p>
        </w:tc>
        <w:tc>
          <w:tcPr>
            <w:tcW w:w="1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32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Rooms</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$ 199,497</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168,492</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32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20"/>
                <w:szCs w:val="20"/>
                <w:color w:val="auto"/>
                <w:vertAlign w:val="subscript"/>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373,130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$ 329,743</w:t>
            </w:r>
          </w:p>
        </w:tc>
        <w:tc>
          <w:tcPr>
            <w:tcW w:w="1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3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Food and beverage</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259,386</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2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197,908</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2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494,469</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413,712</w:t>
            </w: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2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Other hotel revenue</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60,204</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2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51,285</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2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112,958</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98,669</w:t>
            </w:r>
          </w:p>
        </w:tc>
        <w:tc>
          <w:tcPr>
            <w:tcW w:w="1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40" w:type="dxa"/>
            <w:vAlign w:val="bottom"/>
            <w:shd w:val="clear" w:color="auto" w:fill="CCEEFF"/>
          </w:tcPr>
          <w:p>
            <w:pPr>
              <w:spacing w:after="0"/>
              <w:rPr>
                <w:sz w:val="15"/>
                <w:szCs w:val="15"/>
                <w:color w:val="auto"/>
              </w:rPr>
            </w:pPr>
          </w:p>
        </w:tc>
        <w:tc>
          <w:tcPr>
            <w:tcW w:w="3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Entertainment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94,203</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2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87,158</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2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161,078</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154,438</w:t>
            </w: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6"/>
        </w:trPr>
        <w:tc>
          <w:tcPr>
            <w:tcW w:w="40" w:type="dxa"/>
            <w:vAlign w:val="bottom"/>
            <w:tcBorders>
              <w:bottom w:val="single" w:sz="8" w:color="CCEEFF"/>
            </w:tcBorders>
          </w:tcPr>
          <w:p>
            <w:pPr>
              <w:spacing w:after="0"/>
              <w:rPr>
                <w:sz w:val="13"/>
                <w:szCs w:val="13"/>
                <w:color w:val="auto"/>
              </w:rPr>
            </w:pPr>
          </w:p>
        </w:tc>
        <w:tc>
          <w:tcPr>
            <w:tcW w:w="3200" w:type="dxa"/>
            <w:vAlign w:val="bottom"/>
            <w:tcBorders>
              <w:bottom w:val="single" w:sz="8" w:color="CCEEFF"/>
            </w:tcBorders>
            <w:gridSpan w:val="2"/>
          </w:tcPr>
          <w:p>
            <w:pPr>
              <w:ind w:left="180"/>
              <w:spacing w:after="0" w:line="155" w:lineRule="exact"/>
              <w:rPr>
                <w:sz w:val="20"/>
                <w:szCs w:val="20"/>
                <w:color w:val="auto"/>
              </w:rPr>
            </w:pPr>
            <w:r>
              <w:rPr>
                <w:rFonts w:ascii="Times New Roman" w:cs="Times New Roman" w:eastAsia="Times New Roman" w:hAnsi="Times New Roman"/>
                <w:sz w:val="14"/>
                <w:szCs w:val="14"/>
                <w:color w:val="auto"/>
              </w:rPr>
              <w:t>Total revenues</w:t>
            </w:r>
          </w:p>
        </w:tc>
        <w:tc>
          <w:tcPr>
            <w:tcW w:w="120" w:type="dxa"/>
            <w:vAlign w:val="bottom"/>
            <w:tcBorders>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613,290</w:t>
            </w:r>
          </w:p>
        </w:tc>
        <w:tc>
          <w:tcPr>
            <w:tcW w:w="140" w:type="dxa"/>
            <w:vAlign w:val="bottom"/>
            <w:tcBorders>
              <w:bottom w:val="single" w:sz="8" w:color="CCEEFF"/>
            </w:tcBorders>
          </w:tcPr>
          <w:p>
            <w:pPr>
              <w:spacing w:after="0"/>
              <w:rPr>
                <w:sz w:val="13"/>
                <w:szCs w:val="13"/>
                <w:color w:val="auto"/>
              </w:rPr>
            </w:pP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100.0</w:t>
            </w:r>
          </w:p>
        </w:tc>
        <w:tc>
          <w:tcPr>
            <w:tcW w:w="20" w:type="dxa"/>
            <w:vAlign w:val="bottom"/>
            <w:tcBorders>
              <w:top w:val="single" w:sz="8" w:color="auto"/>
              <w:bottom w:val="single" w:sz="8" w:color="auto"/>
            </w:tcBorders>
          </w:tcPr>
          <w:p>
            <w:pPr>
              <w:spacing w:after="0"/>
              <w:rPr>
                <w:sz w:val="13"/>
                <w:szCs w:val="13"/>
                <w:color w:val="auto"/>
              </w:rPr>
            </w:pPr>
          </w:p>
        </w:tc>
        <w:tc>
          <w:tcPr>
            <w:tcW w:w="200" w:type="dxa"/>
            <w:vAlign w:val="bottom"/>
            <w:tcBorders>
              <w:bottom w:val="single" w:sz="8" w:color="CCEEFF"/>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504,843</w:t>
            </w:r>
          </w:p>
        </w:tc>
        <w:tc>
          <w:tcPr>
            <w:tcW w:w="160" w:type="dxa"/>
            <w:vAlign w:val="bottom"/>
            <w:tcBorders>
              <w:bottom w:val="single" w:sz="8" w:color="CCEEFF"/>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100.0</w:t>
            </w:r>
          </w:p>
        </w:tc>
        <w:tc>
          <w:tcPr>
            <w:tcW w:w="20" w:type="dxa"/>
            <w:vAlign w:val="bottom"/>
            <w:tcBorders>
              <w:top w:val="single" w:sz="8" w:color="auto"/>
              <w:bottom w:val="single" w:sz="8" w:color="auto"/>
            </w:tcBorders>
          </w:tcPr>
          <w:p>
            <w:pPr>
              <w:spacing w:after="0"/>
              <w:rPr>
                <w:sz w:val="13"/>
                <w:szCs w:val="13"/>
                <w:color w:val="auto"/>
              </w:rPr>
            </w:pPr>
          </w:p>
        </w:tc>
        <w:tc>
          <w:tcPr>
            <w:tcW w:w="200" w:type="dxa"/>
            <w:vAlign w:val="bottom"/>
            <w:tcBorders>
              <w:bottom w:val="single" w:sz="8" w:color="CCEEFF"/>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1,141,635</w:t>
            </w:r>
          </w:p>
        </w:tc>
        <w:tc>
          <w:tcPr>
            <w:tcW w:w="140" w:type="dxa"/>
            <w:vAlign w:val="bottom"/>
            <w:tcBorders>
              <w:bottom w:val="single" w:sz="8" w:color="CCEEFF"/>
            </w:tcBorders>
          </w:tcPr>
          <w:p>
            <w:pPr>
              <w:spacing w:after="0"/>
              <w:rPr>
                <w:sz w:val="13"/>
                <w:szCs w:val="13"/>
                <w:color w:val="auto"/>
              </w:rPr>
            </w:pP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100.0</w:t>
            </w:r>
          </w:p>
        </w:tc>
        <w:tc>
          <w:tcPr>
            <w:tcW w:w="20" w:type="dxa"/>
            <w:vAlign w:val="bottom"/>
            <w:tcBorders>
              <w:top w:val="single" w:sz="8" w:color="auto"/>
              <w:bottom w:val="single" w:sz="8" w:color="auto"/>
            </w:tcBorders>
          </w:tcPr>
          <w:p>
            <w:pPr>
              <w:spacing w:after="0"/>
              <w:rPr>
                <w:sz w:val="13"/>
                <w:szCs w:val="13"/>
                <w:color w:val="auto"/>
              </w:rPr>
            </w:pPr>
          </w:p>
        </w:tc>
        <w:tc>
          <w:tcPr>
            <w:tcW w:w="140" w:type="dxa"/>
            <w:vAlign w:val="bottom"/>
            <w:tcBorders>
              <w:bottom w:val="single" w:sz="8" w:color="CCEEFF"/>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Borders>
              <w:bottom w:val="single" w:sz="8" w:color="CCEEFF"/>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996,562</w:t>
            </w:r>
          </w:p>
        </w:tc>
        <w:tc>
          <w:tcPr>
            <w:tcW w:w="140" w:type="dxa"/>
            <w:vAlign w:val="bottom"/>
            <w:tcBorders>
              <w:bottom w:val="single" w:sz="8" w:color="CCEEFF"/>
            </w:tcBorders>
          </w:tcPr>
          <w:p>
            <w:pPr>
              <w:spacing w:after="0"/>
              <w:rPr>
                <w:sz w:val="13"/>
                <w:szCs w:val="13"/>
                <w:color w:val="auto"/>
              </w:rPr>
            </w:pP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100.0</w:t>
            </w:r>
          </w:p>
        </w:tc>
        <w:tc>
          <w:tcPr>
            <w:tcW w:w="20" w:type="dxa"/>
            <w:vAlign w:val="bottom"/>
            <w:tcBorders>
              <w:top w:val="single" w:sz="8" w:color="auto"/>
              <w:bottom w:val="single" w:sz="8" w:color="auto"/>
            </w:tcBorders>
          </w:tcPr>
          <w:p>
            <w:pPr>
              <w:spacing w:after="0"/>
              <w:rPr>
                <w:sz w:val="13"/>
                <w:szCs w:val="13"/>
                <w:color w:val="auto"/>
              </w:rPr>
            </w:pPr>
          </w:p>
        </w:tc>
        <w:tc>
          <w:tcPr>
            <w:tcW w:w="140" w:type="dxa"/>
            <w:vAlign w:val="bottom"/>
            <w:tcBorders>
              <w:bottom w:val="single" w:sz="8" w:color="CCEEFF"/>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2"/>
        </w:trPr>
        <w:tc>
          <w:tcPr>
            <w:tcW w:w="3240" w:type="dxa"/>
            <w:vAlign w:val="bottom"/>
            <w:gridSpan w:val="3"/>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OPERATING EXPENSES:</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2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Rooms</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45,062</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2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40,272</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2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89,163</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82,331</w:t>
            </w:r>
          </w:p>
        </w:tc>
        <w:tc>
          <w:tcPr>
            <w:tcW w:w="1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40" w:type="dxa"/>
            <w:vAlign w:val="bottom"/>
            <w:shd w:val="clear" w:color="auto" w:fill="CCEEFF"/>
          </w:tcPr>
          <w:p>
            <w:pPr>
              <w:spacing w:after="0"/>
              <w:rPr>
                <w:sz w:val="15"/>
                <w:szCs w:val="15"/>
                <w:color w:val="auto"/>
              </w:rPr>
            </w:pPr>
          </w:p>
        </w:tc>
        <w:tc>
          <w:tcPr>
            <w:tcW w:w="3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Food and beverage</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132,369</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2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107,026</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2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260,548</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222,207</w:t>
            </w: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2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Other hotel expenses</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117,769</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2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104,590</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2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236,582</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207,649</w:t>
            </w:r>
          </w:p>
        </w:tc>
        <w:tc>
          <w:tcPr>
            <w:tcW w:w="1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3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Hotel management fees, net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21,449</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2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15,418</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2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39,411</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30,613</w:t>
            </w: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32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Entertainment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59,560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2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57,088</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2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112,147</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108,522</w:t>
            </w:r>
          </w:p>
        </w:tc>
        <w:tc>
          <w:tcPr>
            <w:tcW w:w="1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3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Corporate</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9,402</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9,885</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21,356</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20,479</w:t>
            </w: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32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Preopening costs</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1,055</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2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2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2,491</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1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3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Gain on sale of assets</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720" w:type="dxa"/>
            <w:vAlign w:val="bottom"/>
            <w:gridSpan w:val="4"/>
            <w:shd w:val="clear" w:color="auto" w:fill="CCEEFF"/>
          </w:tcPr>
          <w:p>
            <w:pPr>
              <w:jc w:val="right"/>
              <w:ind w:right="123"/>
              <w:spacing w:after="0" w:line="176" w:lineRule="exact"/>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20"/>
                <w:szCs w:val="20"/>
                <w:color w:val="auto"/>
                <w:vertAlign w:val="superscript"/>
              </w:rPr>
              <w:t>%</w:t>
            </w:r>
          </w:p>
        </w:tc>
        <w:tc>
          <w:tcPr>
            <w:tcW w:w="7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4"/>
            <w:shd w:val="clear" w:color="auto" w:fill="CCEEFF"/>
          </w:tcPr>
          <w:p>
            <w:pPr>
              <w:jc w:val="right"/>
              <w:ind w:right="123"/>
              <w:spacing w:after="0" w:line="176" w:lineRule="exact"/>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20"/>
                <w:szCs w:val="20"/>
                <w:color w:val="auto"/>
                <w:vertAlign w:val="superscript"/>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7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20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3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Hospitality</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50,553</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2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42,646</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2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100,783</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85,521</w:t>
            </w: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32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Entertainment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7,766</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5,402</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14,506</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10,667</w:t>
            </w:r>
          </w:p>
        </w:tc>
        <w:tc>
          <w:tcPr>
            <w:tcW w:w="1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3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Corporate and Other</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2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2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w:t>
            </w: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5"/>
        </w:trPr>
        <w:tc>
          <w:tcPr>
            <w:tcW w:w="40" w:type="dxa"/>
            <w:vAlign w:val="bottom"/>
            <w:tcBorders>
              <w:bottom w:val="single" w:sz="8" w:color="CCEEFF"/>
            </w:tcBorders>
          </w:tcPr>
          <w:p>
            <w:pPr>
              <w:spacing w:after="0"/>
              <w:rPr>
                <w:sz w:val="13"/>
                <w:szCs w:val="13"/>
                <w:color w:val="auto"/>
              </w:rPr>
            </w:pPr>
          </w:p>
        </w:tc>
        <w:tc>
          <w:tcPr>
            <w:tcW w:w="3200" w:type="dxa"/>
            <w:vAlign w:val="bottom"/>
            <w:tcBorders>
              <w:bottom w:val="single" w:sz="8" w:color="CCEEFF"/>
            </w:tcBorders>
            <w:gridSpan w:val="2"/>
          </w:tcPr>
          <w:p>
            <w:pPr>
              <w:ind w:left="300"/>
              <w:spacing w:after="0" w:line="155" w:lineRule="exact"/>
              <w:rPr>
                <w:sz w:val="20"/>
                <w:szCs w:val="20"/>
                <w:color w:val="auto"/>
              </w:rPr>
            </w:pPr>
            <w:r>
              <w:rPr>
                <w:rFonts w:ascii="Times New Roman" w:cs="Times New Roman" w:eastAsia="Times New Roman" w:hAnsi="Times New Roman"/>
                <w:sz w:val="14"/>
                <w:szCs w:val="14"/>
                <w:color w:val="auto"/>
              </w:rPr>
              <w:t>Total depreciation and amortization</w:t>
            </w:r>
          </w:p>
        </w:tc>
        <w:tc>
          <w:tcPr>
            <w:tcW w:w="120" w:type="dxa"/>
            <w:vAlign w:val="bottom"/>
            <w:tcBorders>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58,553</w:t>
            </w:r>
          </w:p>
        </w:tc>
        <w:tc>
          <w:tcPr>
            <w:tcW w:w="540" w:type="dxa"/>
            <w:vAlign w:val="bottom"/>
            <w:tcBorders>
              <w:bottom w:val="single" w:sz="8" w:color="CCEEFF"/>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9.5</w:t>
            </w:r>
          </w:p>
        </w:tc>
        <w:tc>
          <w:tcPr>
            <w:tcW w:w="220" w:type="dxa"/>
            <w:vAlign w:val="bottom"/>
            <w:tcBorders>
              <w:bottom w:val="single" w:sz="8" w:color="CCEEFF"/>
            </w:tcBorders>
            <w:gridSpan w:val="2"/>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48,257</w:t>
            </w:r>
          </w:p>
        </w:tc>
        <w:tc>
          <w:tcPr>
            <w:tcW w:w="1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360" w:type="dxa"/>
            <w:vAlign w:val="bottom"/>
            <w:tcBorders>
              <w:bottom w:val="single" w:sz="8" w:color="CCEEFF"/>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9.6</w:t>
            </w:r>
          </w:p>
        </w:tc>
        <w:tc>
          <w:tcPr>
            <w:tcW w:w="220" w:type="dxa"/>
            <w:vAlign w:val="bottom"/>
            <w:tcBorders>
              <w:bottom w:val="single" w:sz="8" w:color="CCEEFF"/>
            </w:tcBorders>
            <w:gridSpan w:val="2"/>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115,755</w:t>
            </w:r>
          </w:p>
        </w:tc>
        <w:tc>
          <w:tcPr>
            <w:tcW w:w="540" w:type="dxa"/>
            <w:vAlign w:val="bottom"/>
            <w:tcBorders>
              <w:bottom w:val="single" w:sz="8" w:color="CCEEFF"/>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10.1</w:t>
            </w:r>
          </w:p>
        </w:tc>
        <w:tc>
          <w:tcPr>
            <w:tcW w:w="160" w:type="dxa"/>
            <w:vAlign w:val="bottom"/>
            <w:tcBorders>
              <w:bottom w:val="single" w:sz="8" w:color="CCEEFF"/>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96,614</w:t>
            </w:r>
          </w:p>
        </w:tc>
        <w:tc>
          <w:tcPr>
            <w:tcW w:w="140" w:type="dxa"/>
            <w:vAlign w:val="bottom"/>
            <w:tcBorders>
              <w:bottom w:val="single" w:sz="8" w:color="CCEEFF"/>
            </w:tcBorders>
          </w:tcPr>
          <w:p>
            <w:pPr>
              <w:spacing w:after="0"/>
              <w:rPr>
                <w:sz w:val="13"/>
                <w:szCs w:val="13"/>
                <w:color w:val="auto"/>
              </w:rPr>
            </w:pPr>
          </w:p>
        </w:tc>
        <w:tc>
          <w:tcPr>
            <w:tcW w:w="400" w:type="dxa"/>
            <w:vAlign w:val="bottom"/>
            <w:tcBorders>
              <w:bottom w:val="single" w:sz="8" w:color="CCEEFF"/>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9.7</w:t>
            </w:r>
          </w:p>
        </w:tc>
        <w:tc>
          <w:tcPr>
            <w:tcW w:w="160" w:type="dxa"/>
            <w:vAlign w:val="bottom"/>
            <w:tcBorders>
              <w:bottom w:val="single" w:sz="8" w:color="CCEEFF"/>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5"/>
        </w:trPr>
        <w:tc>
          <w:tcPr>
            <w:tcW w:w="40" w:type="dxa"/>
            <w:vAlign w:val="bottom"/>
            <w:shd w:val="clear" w:color="auto" w:fill="CCEEFF"/>
          </w:tcPr>
          <w:p>
            <w:pPr>
              <w:spacing w:after="0"/>
              <w:rPr>
                <w:sz w:val="13"/>
                <w:szCs w:val="13"/>
                <w:color w:val="auto"/>
              </w:rPr>
            </w:pPr>
          </w:p>
        </w:tc>
        <w:tc>
          <w:tcPr>
            <w:tcW w:w="3200" w:type="dxa"/>
            <w:vAlign w:val="bottom"/>
            <w:gridSpan w:val="2"/>
            <w:shd w:val="clear" w:color="auto" w:fill="CCEEFF"/>
          </w:tcPr>
          <w:p>
            <w:pPr>
              <w:ind w:left="180"/>
              <w:spacing w:after="0" w:line="155" w:lineRule="exact"/>
              <w:rPr>
                <w:sz w:val="20"/>
                <w:szCs w:val="20"/>
                <w:color w:val="auto"/>
              </w:rPr>
            </w:pPr>
            <w:r>
              <w:rPr>
                <w:rFonts w:ascii="Times New Roman" w:cs="Times New Roman" w:eastAsia="Times New Roman" w:hAnsi="Times New Roman"/>
                <w:sz w:val="14"/>
                <w:szCs w:val="14"/>
                <w:color w:val="auto"/>
              </w:rPr>
              <w:t>Total operating expenses</w:t>
            </w:r>
          </w:p>
        </w:tc>
        <w:tc>
          <w:tcPr>
            <w:tcW w:w="12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445,219</w:t>
            </w:r>
          </w:p>
        </w:tc>
        <w:tc>
          <w:tcPr>
            <w:tcW w:w="540" w:type="dxa"/>
            <w:vAlign w:val="bottom"/>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72.6</w:t>
            </w:r>
          </w:p>
        </w:tc>
        <w:tc>
          <w:tcPr>
            <w:tcW w:w="220" w:type="dxa"/>
            <w:vAlign w:val="bottom"/>
            <w:gridSpan w:val="2"/>
            <w:shd w:val="clear" w:color="auto" w:fill="CCEEFF"/>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382,603</w:t>
            </w: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75.8</w:t>
            </w:r>
          </w:p>
        </w:tc>
        <w:tc>
          <w:tcPr>
            <w:tcW w:w="220" w:type="dxa"/>
            <w:vAlign w:val="bottom"/>
            <w:gridSpan w:val="2"/>
            <w:shd w:val="clear" w:color="auto" w:fill="CCEEFF"/>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877,183</w:t>
            </w:r>
          </w:p>
        </w:tc>
        <w:tc>
          <w:tcPr>
            <w:tcW w:w="540" w:type="dxa"/>
            <w:vAlign w:val="bottom"/>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76.8</w:t>
            </w:r>
          </w:p>
        </w:tc>
        <w:tc>
          <w:tcPr>
            <w:tcW w:w="160" w:type="dxa"/>
            <w:vAlign w:val="bottom"/>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768,672</w:t>
            </w: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77.1</w:t>
            </w:r>
          </w:p>
        </w:tc>
        <w:tc>
          <w:tcPr>
            <w:tcW w:w="160" w:type="dxa"/>
            <w:vAlign w:val="bottom"/>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324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color w:val="auto"/>
              </w:rPr>
              <w:t>OPERATING INCOME (LOSS):</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0" w:type="dxa"/>
            <w:vAlign w:val="bottom"/>
            <w:shd w:val="clear" w:color="auto" w:fill="CCEEFF"/>
          </w:tcPr>
          <w:p>
            <w:pPr>
              <w:spacing w:after="0"/>
              <w:rPr>
                <w:sz w:val="15"/>
                <w:szCs w:val="15"/>
                <w:color w:val="auto"/>
              </w:rPr>
            </w:pPr>
          </w:p>
        </w:tc>
        <w:tc>
          <w:tcPr>
            <w:tcW w:w="3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Hospitality</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151,885</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2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107,733</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2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254,070</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213,803</w:t>
            </w: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32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Entertainment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26,877</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2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24,668</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2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34,425</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35,249</w:t>
            </w:r>
          </w:p>
        </w:tc>
        <w:tc>
          <w:tcPr>
            <w:tcW w:w="1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320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Corporate and Other</w:t>
            </w:r>
          </w:p>
        </w:tc>
        <w:tc>
          <w:tcPr>
            <w:tcW w:w="7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(9,636)</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(10,094)</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(21,822)</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(20,905)</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2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Preopening costs</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(1,055)</w:t>
            </w:r>
          </w:p>
        </w:tc>
        <w:tc>
          <w:tcPr>
            <w:tcW w:w="760" w:type="dxa"/>
            <w:vAlign w:val="bottom"/>
            <w:gridSpan w:val="4"/>
          </w:tcPr>
          <w:p>
            <w:pPr>
              <w:jc w:val="right"/>
              <w:ind w:right="8"/>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gridSpan w:val="3"/>
          </w:tcPr>
          <w:p>
            <w:pPr>
              <w:jc w:val="right"/>
              <w:ind w:right="8"/>
              <w:spacing w:after="0" w:line="176" w:lineRule="exact"/>
              <w:rPr>
                <w:sz w:val="20"/>
                <w:szCs w:val="20"/>
                <w:color w:val="auto"/>
              </w:rPr>
            </w:pPr>
            <w:r>
              <w:rPr>
                <w:rFonts w:ascii="Times New Roman" w:cs="Times New Roman" w:eastAsia="Times New Roman" w:hAnsi="Times New Roman"/>
                <w:sz w:val="12"/>
                <w:szCs w:val="12"/>
                <w:color w:val="auto"/>
              </w:rPr>
              <w:t>(0.0)</w:t>
            </w:r>
            <w:r>
              <w:rPr>
                <w:rFonts w:ascii="Times New Roman" w:cs="Times New Roman" w:eastAsia="Times New Roman" w:hAnsi="Times New Roman"/>
                <w:sz w:val="20"/>
                <w:szCs w:val="20"/>
                <w:color w:val="auto"/>
                <w:vertAlign w:val="superscript"/>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(2,491)</w:t>
            </w: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140" w:type="dxa"/>
            <w:vAlign w:val="bottom"/>
          </w:tcPr>
          <w:p>
            <w:pPr>
              <w:spacing w:after="0"/>
              <w:rPr>
                <w:sz w:val="15"/>
                <w:szCs w:val="15"/>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75"/>
        </w:trPr>
        <w:tc>
          <w:tcPr>
            <w:tcW w:w="40" w:type="dxa"/>
            <w:vAlign w:val="bottom"/>
            <w:shd w:val="clear" w:color="auto" w:fill="CCEEFF"/>
          </w:tcPr>
          <w:p>
            <w:pPr>
              <w:spacing w:after="0"/>
              <w:rPr>
                <w:sz w:val="15"/>
                <w:szCs w:val="15"/>
                <w:color w:val="auto"/>
              </w:rPr>
            </w:pPr>
          </w:p>
        </w:tc>
        <w:tc>
          <w:tcPr>
            <w:tcW w:w="3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Gain on sale of assets</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720" w:type="dxa"/>
            <w:vAlign w:val="bottom"/>
            <w:gridSpan w:val="4"/>
            <w:shd w:val="clear" w:color="auto" w:fill="CCEEFF"/>
          </w:tcPr>
          <w:p>
            <w:pPr>
              <w:jc w:val="right"/>
              <w:ind w:right="123"/>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4"/>
            <w:shd w:val="clear" w:color="auto" w:fill="CCEEFF"/>
          </w:tcPr>
          <w:p>
            <w:pPr>
              <w:jc w:val="right"/>
              <w:ind w:right="123"/>
              <w:spacing w:after="0" w:line="176" w:lineRule="exact"/>
              <w:rPr>
                <w:sz w:val="20"/>
                <w:szCs w:val="20"/>
                <w:color w:val="auto"/>
              </w:rPr>
            </w:pP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12"/>
                <w:szCs w:val="12"/>
                <w:color w:val="auto"/>
              </w:rPr>
              <w:t xml:space="preserve">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7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0.0 %</w:t>
            </w:r>
          </w:p>
        </w:tc>
        <w:tc>
          <w:tcPr>
            <w:tcW w:w="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3200" w:type="dxa"/>
            <w:vAlign w:val="bottom"/>
            <w:gridSpan w:val="2"/>
          </w:tcPr>
          <w:p>
            <w:pPr>
              <w:ind w:left="180"/>
              <w:spacing w:after="0" w:line="155" w:lineRule="exact"/>
              <w:rPr>
                <w:sz w:val="20"/>
                <w:szCs w:val="20"/>
                <w:color w:val="auto"/>
              </w:rPr>
            </w:pPr>
            <w:r>
              <w:rPr>
                <w:rFonts w:ascii="Times New Roman" w:cs="Times New Roman" w:eastAsia="Times New Roman" w:hAnsi="Times New Roman"/>
                <w:sz w:val="14"/>
                <w:szCs w:val="14"/>
                <w:color w:val="auto"/>
              </w:rPr>
              <w:t>Total operating income</w:t>
            </w:r>
          </w:p>
        </w:tc>
        <w:tc>
          <w:tcPr>
            <w:tcW w:w="120" w:type="dxa"/>
            <w:vAlign w:val="bottom"/>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168,071</w:t>
            </w:r>
          </w:p>
        </w:tc>
        <w:tc>
          <w:tcPr>
            <w:tcW w:w="54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27.4</w:t>
            </w:r>
          </w:p>
        </w:tc>
        <w:tc>
          <w:tcPr>
            <w:tcW w:w="220" w:type="dxa"/>
            <w:vAlign w:val="bottom"/>
            <w:gridSpan w:val="2"/>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122,240</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24.2</w:t>
            </w:r>
          </w:p>
        </w:tc>
        <w:tc>
          <w:tcPr>
            <w:tcW w:w="220" w:type="dxa"/>
            <w:vAlign w:val="bottom"/>
            <w:gridSpan w:val="2"/>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264,452</w:t>
            </w:r>
          </w:p>
        </w:tc>
        <w:tc>
          <w:tcPr>
            <w:tcW w:w="54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23.2</w:t>
            </w:r>
          </w:p>
        </w:tc>
        <w:tc>
          <w:tcPr>
            <w:tcW w:w="16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227,890</w:t>
            </w:r>
          </w:p>
        </w:tc>
        <w:tc>
          <w:tcPr>
            <w:tcW w:w="140" w:type="dxa"/>
            <w:vAlign w:val="bottom"/>
          </w:tcPr>
          <w:p>
            <w:pPr>
              <w:spacing w:after="0"/>
              <w:rPr>
                <w:sz w:val="13"/>
                <w:szCs w:val="13"/>
                <w:color w:val="auto"/>
              </w:rPr>
            </w:pPr>
          </w:p>
        </w:tc>
        <w:tc>
          <w:tcPr>
            <w:tcW w:w="4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22.9</w:t>
            </w:r>
          </w:p>
        </w:tc>
        <w:tc>
          <w:tcPr>
            <w:tcW w:w="16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24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7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(56,577)</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(49,179)</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(117,020)</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(91,707)</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7,064</w:t>
            </w:r>
          </w:p>
        </w:tc>
        <w:tc>
          <w:tcPr>
            <w:tcW w:w="140" w:type="dxa"/>
            <w:vAlign w:val="bottom"/>
          </w:tcPr>
          <w:p>
            <w:pPr>
              <w:spacing w:after="0"/>
              <w:rPr>
                <w:sz w:val="12"/>
                <w:szCs w:val="12"/>
                <w:color w:val="auto"/>
              </w:rPr>
            </w:pPr>
          </w:p>
        </w:tc>
        <w:tc>
          <w:tcPr>
            <w:tcW w:w="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5,318</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14,586</w:t>
            </w:r>
          </w:p>
        </w:tc>
        <w:tc>
          <w:tcPr>
            <w:tcW w:w="140" w:type="dxa"/>
            <w:vAlign w:val="bottom"/>
          </w:tcPr>
          <w:p>
            <w:pPr>
              <w:spacing w:after="0"/>
              <w:rPr>
                <w:sz w:val="12"/>
                <w:szCs w:val="12"/>
                <w:color w:val="auto"/>
              </w:rPr>
            </w:pPr>
          </w:p>
        </w:tc>
        <w:tc>
          <w:tcPr>
            <w:tcW w:w="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7,865</w:t>
            </w:r>
          </w:p>
        </w:tc>
        <w:tc>
          <w:tcPr>
            <w:tcW w:w="140" w:type="dxa"/>
            <w:vAlign w:val="bottom"/>
          </w:tcPr>
          <w:p>
            <w:pPr>
              <w:spacing w:after="0"/>
              <w:rPr>
                <w:sz w:val="12"/>
                <w:szCs w:val="12"/>
                <w:color w:val="auto"/>
              </w:rPr>
            </w:pPr>
          </w:p>
        </w:tc>
        <w:tc>
          <w:tcPr>
            <w:tcW w:w="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Loss on extinguishment of debt</w:t>
            </w:r>
          </w:p>
        </w:tc>
        <w:tc>
          <w:tcPr>
            <w:tcW w:w="7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(1,797)</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(2,252)</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(2,319)</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(2,252)</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Income (loss) from unconsolidated joint ventures</w:t>
            </w: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183</w:t>
            </w:r>
          </w:p>
        </w:tc>
        <w:tc>
          <w:tcPr>
            <w:tcW w:w="140" w:type="dxa"/>
            <w:vAlign w:val="bottom"/>
          </w:tcPr>
          <w:p>
            <w:pPr>
              <w:spacing w:after="0"/>
              <w:rPr>
                <w:sz w:val="12"/>
                <w:szCs w:val="12"/>
                <w:color w:val="auto"/>
              </w:rPr>
            </w:pPr>
          </w:p>
        </w:tc>
        <w:tc>
          <w:tcPr>
            <w:tcW w:w="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(2,153)</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215</w:t>
            </w:r>
          </w:p>
        </w:tc>
        <w:tc>
          <w:tcPr>
            <w:tcW w:w="140" w:type="dxa"/>
            <w:vAlign w:val="bottom"/>
          </w:tcPr>
          <w:p>
            <w:pPr>
              <w:spacing w:after="0"/>
              <w:rPr>
                <w:sz w:val="12"/>
                <w:szCs w:val="12"/>
                <w:color w:val="auto"/>
              </w:rPr>
            </w:pPr>
          </w:p>
        </w:tc>
        <w:tc>
          <w:tcPr>
            <w:tcW w:w="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(4,959)</w:t>
            </w:r>
          </w:p>
        </w:tc>
        <w:tc>
          <w:tcPr>
            <w:tcW w:w="140" w:type="dxa"/>
            <w:vAlign w:val="bottom"/>
          </w:tcPr>
          <w:p>
            <w:pPr>
              <w:spacing w:after="0"/>
              <w:rPr>
                <w:sz w:val="12"/>
                <w:szCs w:val="12"/>
                <w:color w:val="auto"/>
              </w:rPr>
            </w:pPr>
          </w:p>
        </w:tc>
        <w:tc>
          <w:tcPr>
            <w:tcW w:w="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gains and (losses), net</w:t>
            </w:r>
          </w:p>
        </w:tc>
        <w:tc>
          <w:tcPr>
            <w:tcW w:w="7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(287)</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317</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(523)</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Provision for income taxes</w:t>
            </w: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(12,200)</w:t>
            </w:r>
          </w:p>
        </w:tc>
        <w:tc>
          <w:tcPr>
            <w:tcW w:w="140" w:type="dxa"/>
            <w:vAlign w:val="bottom"/>
          </w:tcPr>
          <w:p>
            <w:pPr>
              <w:spacing w:after="0"/>
              <w:rPr>
                <w:sz w:val="12"/>
                <w:szCs w:val="12"/>
                <w:color w:val="auto"/>
              </w:rPr>
            </w:pPr>
          </w:p>
        </w:tc>
        <w:tc>
          <w:tcPr>
            <w:tcW w:w="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(3,544)</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(12,730)</w:t>
            </w:r>
          </w:p>
        </w:tc>
        <w:tc>
          <w:tcPr>
            <w:tcW w:w="140" w:type="dxa"/>
            <w:vAlign w:val="bottom"/>
          </w:tcPr>
          <w:p>
            <w:pPr>
              <w:spacing w:after="0"/>
              <w:rPr>
                <w:sz w:val="12"/>
                <w:szCs w:val="12"/>
                <w:color w:val="auto"/>
              </w:rPr>
            </w:pPr>
          </w:p>
        </w:tc>
        <w:tc>
          <w:tcPr>
            <w:tcW w:w="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(5,177)</w:t>
            </w:r>
          </w:p>
        </w:tc>
        <w:tc>
          <w:tcPr>
            <w:tcW w:w="140" w:type="dxa"/>
            <w:vAlign w:val="bottom"/>
          </w:tcPr>
          <w:p>
            <w:pPr>
              <w:spacing w:after="0"/>
              <w:rPr>
                <w:sz w:val="12"/>
                <w:szCs w:val="12"/>
                <w:color w:val="auto"/>
              </w:rPr>
            </w:pPr>
          </w:p>
        </w:tc>
        <w:tc>
          <w:tcPr>
            <w:tcW w:w="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40" w:type="dxa"/>
            <w:vAlign w:val="bottom"/>
            <w:tcBorders>
              <w:top w:val="single" w:sz="8" w:color="CCEEFF"/>
            </w:tcBorders>
            <w:gridSpan w:val="3"/>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104,740</w:t>
            </w:r>
          </w:p>
        </w:tc>
        <w:tc>
          <w:tcPr>
            <w:tcW w:w="14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70,143</w:t>
            </w: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147,501</w:t>
            </w:r>
          </w:p>
        </w:tc>
        <w:tc>
          <w:tcPr>
            <w:tcW w:w="14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131,137</w:t>
            </w:r>
          </w:p>
        </w:tc>
        <w:tc>
          <w:tcPr>
            <w:tcW w:w="14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3200" w:type="dxa"/>
            <w:vAlign w:val="bottom"/>
            <w:gridSpan w:val="2"/>
          </w:tcPr>
          <w:p>
            <w:pPr>
              <w:ind w:left="80"/>
              <w:spacing w:after="0" w:line="126" w:lineRule="exact"/>
              <w:rPr>
                <w:sz w:val="20"/>
                <w:szCs w:val="20"/>
                <w:color w:val="auto"/>
              </w:rPr>
            </w:pPr>
            <w:r>
              <w:rPr>
                <w:rFonts w:ascii="Times New Roman" w:cs="Times New Roman" w:eastAsia="Times New Roman" w:hAnsi="Times New Roman"/>
                <w:sz w:val="14"/>
                <w:szCs w:val="14"/>
                <w:color w:val="auto"/>
              </w:rPr>
              <w:t>Net income attributable to noncontrolling interest in</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(3,270)</w:t>
            </w:r>
          </w:p>
        </w:tc>
        <w:tc>
          <w:tcPr>
            <w:tcW w:w="140" w:type="dxa"/>
            <w:vAlign w:val="bottom"/>
          </w:tcPr>
          <w:p>
            <w:pPr>
              <w:spacing w:after="0"/>
              <w:rPr>
                <w:sz w:val="10"/>
                <w:szCs w:val="10"/>
                <w:color w:val="auto"/>
              </w:rPr>
            </w:pP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(3,134)</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(2,691)</w:t>
            </w:r>
          </w:p>
        </w:tc>
        <w:tc>
          <w:tcPr>
            <w:tcW w:w="140" w:type="dxa"/>
            <w:vAlign w:val="bottom"/>
          </w:tcPr>
          <w:p>
            <w:pPr>
              <w:spacing w:after="0"/>
              <w:rPr>
                <w:sz w:val="10"/>
                <w:szCs w:val="10"/>
                <w:color w:val="auto"/>
              </w:rPr>
            </w:pP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(2,371)</w:t>
            </w:r>
          </w:p>
        </w:tc>
        <w:tc>
          <w:tcPr>
            <w:tcW w:w="140" w:type="dxa"/>
            <w:vAlign w:val="bottom"/>
          </w:tcPr>
          <w:p>
            <w:pPr>
              <w:spacing w:after="0"/>
              <w:rPr>
                <w:sz w:val="10"/>
                <w:szCs w:val="10"/>
                <w:color w:val="auto"/>
              </w:rPr>
            </w:pP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32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consolidated joint venture</w:t>
            </w: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0" w:type="dxa"/>
            <w:vAlign w:val="bottom"/>
            <w:shd w:val="clear" w:color="auto" w:fill="CCEEFF"/>
          </w:tcPr>
          <w:p>
            <w:pPr>
              <w:spacing w:after="0"/>
              <w:rPr>
                <w:sz w:val="10"/>
                <w:szCs w:val="10"/>
                <w:color w:val="auto"/>
              </w:rPr>
            </w:pPr>
          </w:p>
        </w:tc>
        <w:tc>
          <w:tcPr>
            <w:tcW w:w="3200" w:type="dxa"/>
            <w:vAlign w:val="bottom"/>
            <w:gridSpan w:val="2"/>
            <w:shd w:val="clear" w:color="auto" w:fill="CCEEFF"/>
          </w:tcPr>
          <w:p>
            <w:pPr>
              <w:ind w:left="80"/>
              <w:spacing w:after="0" w:line="126" w:lineRule="exact"/>
              <w:rPr>
                <w:sz w:val="20"/>
                <w:szCs w:val="20"/>
                <w:color w:val="auto"/>
              </w:rPr>
            </w:pPr>
            <w:r>
              <w:rPr>
                <w:rFonts w:ascii="Times New Roman" w:cs="Times New Roman" w:eastAsia="Times New Roman" w:hAnsi="Times New Roman"/>
                <w:sz w:val="14"/>
                <w:szCs w:val="14"/>
                <w:color w:val="auto"/>
              </w:rPr>
              <w:t>Net income attributable to noncontrolling interest in</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w:t>
            </w:r>
          </w:p>
        </w:tc>
        <w:tc>
          <w:tcPr>
            <w:tcW w:w="140" w:type="dxa"/>
            <w:vAlign w:val="bottom"/>
            <w:shd w:val="clear" w:color="auto" w:fill="CCEEFF"/>
          </w:tcPr>
          <w:p>
            <w:pPr>
              <w:spacing w:after="0"/>
              <w:rPr>
                <w:sz w:val="10"/>
                <w:szCs w:val="10"/>
                <w:color w:val="auto"/>
              </w:rPr>
            </w:pPr>
          </w:p>
        </w:tc>
        <w:tc>
          <w:tcPr>
            <w:tcW w:w="4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w:t>
            </w: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(949)</w:t>
            </w:r>
          </w:p>
        </w:tc>
        <w:tc>
          <w:tcPr>
            <w:tcW w:w="140" w:type="dxa"/>
            <w:vAlign w:val="bottom"/>
            <w:shd w:val="clear" w:color="auto" w:fill="CCEEFF"/>
          </w:tcPr>
          <w:p>
            <w:pPr>
              <w:spacing w:after="0"/>
              <w:rPr>
                <w:sz w:val="10"/>
                <w:szCs w:val="10"/>
                <w:color w:val="auto"/>
              </w:rPr>
            </w:pPr>
          </w:p>
        </w:tc>
        <w:tc>
          <w:tcPr>
            <w:tcW w:w="4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(903)</w:t>
            </w:r>
          </w:p>
        </w:tc>
        <w:tc>
          <w:tcPr>
            <w:tcW w:w="140" w:type="dxa"/>
            <w:vAlign w:val="bottom"/>
            <w:shd w:val="clear" w:color="auto" w:fill="CCEEFF"/>
          </w:tcPr>
          <w:p>
            <w:pPr>
              <w:spacing w:after="0"/>
              <w:rPr>
                <w:sz w:val="10"/>
                <w:szCs w:val="10"/>
                <w:color w:val="auto"/>
              </w:rPr>
            </w:pPr>
          </w:p>
        </w:tc>
        <w:tc>
          <w:tcPr>
            <w:tcW w:w="4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 w:type="dxa"/>
            <w:vAlign w:val="bottom"/>
            <w:shd w:val="clear" w:color="auto" w:fill="CCEEFF"/>
          </w:tcPr>
          <w:p>
            <w:pPr>
              <w:spacing w:after="0"/>
              <w:rPr>
                <w:sz w:val="14"/>
                <w:szCs w:val="14"/>
                <w:color w:val="auto"/>
              </w:rPr>
            </w:pPr>
          </w:p>
        </w:tc>
        <w:tc>
          <w:tcPr>
            <w:tcW w:w="3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the Operating Partnership</w:t>
            </w:r>
          </w:p>
        </w:tc>
        <w:tc>
          <w:tcPr>
            <w:tcW w:w="7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6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3200" w:type="dxa"/>
            <w:vAlign w:val="bottom"/>
            <w:gridSpan w:val="2"/>
          </w:tcPr>
          <w:p>
            <w:pPr>
              <w:ind w:left="180"/>
              <w:spacing w:after="0" w:line="142" w:lineRule="exact"/>
              <w:rPr>
                <w:sz w:val="20"/>
                <w:szCs w:val="20"/>
                <w:color w:val="auto"/>
              </w:rPr>
            </w:pPr>
            <w:r>
              <w:rPr>
                <w:rFonts w:ascii="Times New Roman" w:cs="Times New Roman" w:eastAsia="Times New Roman" w:hAnsi="Times New Roman"/>
                <w:sz w:val="14"/>
                <w:szCs w:val="14"/>
                <w:color w:val="auto"/>
              </w:rPr>
              <w:t>Net income available to common stockholders</w:t>
            </w:r>
          </w:p>
        </w:tc>
        <w:tc>
          <w:tcPr>
            <w:tcW w:w="1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$ 100,805</w:t>
            </w:r>
          </w:p>
        </w:tc>
        <w:tc>
          <w:tcPr>
            <w:tcW w:w="140" w:type="dxa"/>
            <w:vAlign w:val="bottom"/>
          </w:tcPr>
          <w:p>
            <w:pPr>
              <w:spacing w:after="0"/>
              <w:rPr>
                <w:sz w:val="12"/>
                <w:szCs w:val="12"/>
                <w:color w:val="auto"/>
              </w:rPr>
            </w:pPr>
          </w:p>
        </w:tc>
        <w:tc>
          <w:tcPr>
            <w:tcW w:w="4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66,543</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143,861</w:t>
            </w:r>
          </w:p>
        </w:tc>
        <w:tc>
          <w:tcPr>
            <w:tcW w:w="140" w:type="dxa"/>
            <w:vAlign w:val="bottom"/>
          </w:tcPr>
          <w:p>
            <w:pPr>
              <w:spacing w:after="0"/>
              <w:rPr>
                <w:sz w:val="12"/>
                <w:szCs w:val="12"/>
                <w:color w:val="auto"/>
              </w:rPr>
            </w:pPr>
          </w:p>
        </w:tc>
        <w:tc>
          <w:tcPr>
            <w:tcW w:w="4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$ 127,863</w:t>
            </w:r>
          </w:p>
        </w:tc>
        <w:tc>
          <w:tcPr>
            <w:tcW w:w="140" w:type="dxa"/>
            <w:vAlign w:val="bottom"/>
          </w:tcPr>
          <w:p>
            <w:pPr>
              <w:spacing w:after="0"/>
              <w:rPr>
                <w:sz w:val="12"/>
                <w:szCs w:val="12"/>
                <w:color w:val="auto"/>
              </w:rPr>
            </w:pPr>
          </w:p>
        </w:tc>
        <w:tc>
          <w:tcPr>
            <w:tcW w:w="4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40" w:type="dxa"/>
            <w:vAlign w:val="bottom"/>
          </w:tcPr>
          <w:p>
            <w:pPr>
              <w:spacing w:after="0"/>
              <w:rPr>
                <w:sz w:val="7"/>
                <w:szCs w:val="7"/>
                <w:color w:val="auto"/>
              </w:rPr>
            </w:pPr>
          </w:p>
        </w:tc>
        <w:tc>
          <w:tcPr>
            <w:tcW w:w="2240" w:type="dxa"/>
            <w:vAlign w:val="bottom"/>
            <w:tcBorders>
              <w:bottom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center"/>
        <w:ind w:left="4420" w:right="739" w:hanging="4370"/>
        <w:spacing w:after="0" w:line="783"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have not been shown as a percentage of revenue because they have no relationship to revenue.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45720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Summary Financial Results</w:t>
      </w:r>
    </w:p>
    <w:p>
      <w:pPr>
        <w:spacing w:after="0" w:line="2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Results of Operations</w:t>
      </w:r>
    </w:p>
    <w:p>
      <w:pPr>
        <w:spacing w:after="0" w:line="187" w:lineRule="exact"/>
        <w:rPr>
          <w:sz w:val="20"/>
          <w:szCs w:val="20"/>
          <w:color w:val="auto"/>
        </w:rPr>
      </w:pPr>
    </w:p>
    <w:p>
      <w:pPr>
        <w:ind w:left="60" w:right="63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financial results for the three and six months ended June 30, 2024 and 2023 (in thousands, except percentages and per share data):</w:t>
      </w:r>
    </w:p>
    <w:p>
      <w:pPr>
        <w:spacing w:after="0" w:line="11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60" w:type="dxa"/>
            <w:vAlign w:val="bottom"/>
            <w:gridSpan w:val="4"/>
          </w:tcPr>
          <w:p>
            <w:pPr>
              <w:jc w:val="center"/>
              <w:ind w:left="43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20" w:type="dxa"/>
            <w:vAlign w:val="bottom"/>
            <w:gridSpan w:val="4"/>
          </w:tcPr>
          <w:p>
            <w:pPr>
              <w:jc w:val="center"/>
              <w:ind w:left="399"/>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840" w:type="dxa"/>
            <w:vAlign w:val="bottom"/>
          </w:tcPr>
          <w:p>
            <w:pPr>
              <w:spacing w:after="0"/>
              <w:rPr>
                <w:sz w:val="10"/>
                <w:szCs w:val="10"/>
                <w:color w:val="auto"/>
              </w:rPr>
            </w:pPr>
          </w:p>
        </w:tc>
        <w:tc>
          <w:tcPr>
            <w:tcW w:w="1260" w:type="dxa"/>
            <w:vAlign w:val="bottom"/>
            <w:gridSpan w:val="2"/>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960" w:type="dxa"/>
            <w:vAlign w:val="bottom"/>
            <w:gridSpan w:val="2"/>
            <w:vMerge w:val="restart"/>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0"/>
                <w:szCs w:val="10"/>
                <w:color w:val="auto"/>
              </w:rPr>
            </w:pPr>
          </w:p>
        </w:tc>
        <w:tc>
          <w:tcPr>
            <w:tcW w:w="50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gridSpan w:val="2"/>
            <w:vMerge w:val="restart"/>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940" w:type="dxa"/>
            <w:vAlign w:val="bottom"/>
            <w:gridSpan w:val="2"/>
            <w:vMerge w:val="restart"/>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0"/>
                <w:szCs w:val="10"/>
                <w:color w:val="auto"/>
              </w:rPr>
            </w:pPr>
          </w:p>
        </w:tc>
        <w:tc>
          <w:tcPr>
            <w:tcW w:w="480" w:type="dxa"/>
            <w:vAlign w:val="bottom"/>
          </w:tcPr>
          <w:p>
            <w:pPr>
              <w:jc w:val="right"/>
              <w:ind w:right="75"/>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84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4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$ 613,290</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$ 504,843</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21.5</w:t>
            </w: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$ 1,141,635</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$ 996,562</w:t>
            </w: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445,219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382,603</w:t>
            </w:r>
          </w:p>
        </w:tc>
        <w:tc>
          <w:tcPr>
            <w:tcW w:w="100" w:type="dxa"/>
            <w:vAlign w:val="bottom"/>
          </w:tcPr>
          <w:p>
            <w:pPr>
              <w:spacing w:after="0"/>
              <w:rPr>
                <w:sz w:val="18"/>
                <w:szCs w:val="18"/>
                <w:color w:val="auto"/>
              </w:rPr>
            </w:pPr>
          </w:p>
        </w:tc>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16.4</w:t>
            </w:r>
          </w:p>
        </w:tc>
        <w:tc>
          <w:tcPr>
            <w:tcW w:w="2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877,183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768,672</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168,071</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122,240</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37.5</w:t>
            </w:r>
          </w:p>
        </w:tc>
        <w:tc>
          <w:tcPr>
            <w:tcW w:w="2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264,452</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227,890</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3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104,740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70,143</w:t>
            </w:r>
          </w:p>
        </w:tc>
        <w:tc>
          <w:tcPr>
            <w:tcW w:w="100" w:type="dxa"/>
            <w:vAlign w:val="bottom"/>
          </w:tcPr>
          <w:p>
            <w:pPr>
              <w:spacing w:after="0"/>
              <w:rPr>
                <w:sz w:val="18"/>
                <w:szCs w:val="18"/>
                <w:color w:val="auto"/>
              </w:rPr>
            </w:pPr>
          </w:p>
        </w:tc>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49.3</w:t>
            </w:r>
          </w:p>
        </w:tc>
        <w:tc>
          <w:tcPr>
            <w:tcW w:w="2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147,501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131,137</w:t>
            </w:r>
          </w:p>
        </w:tc>
        <w:tc>
          <w:tcPr>
            <w:tcW w:w="140" w:type="dxa"/>
            <w:vAlign w:val="bottom"/>
          </w:tcPr>
          <w:p>
            <w:pPr>
              <w:spacing w:after="0"/>
              <w:rPr>
                <w:sz w:val="18"/>
                <w:szCs w:val="18"/>
                <w:color w:val="auto"/>
              </w:rPr>
            </w:pPr>
          </w:p>
        </w:tc>
        <w:tc>
          <w:tcPr>
            <w:tcW w:w="82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12.5 %</w:t>
            </w:r>
          </w:p>
        </w:tc>
        <w:tc>
          <w:tcPr>
            <w:tcW w:w="0" w:type="dxa"/>
            <w:vAlign w:val="bottom"/>
          </w:tcPr>
          <w:p>
            <w:pPr>
              <w:spacing w:after="0"/>
              <w:rPr>
                <w:sz w:val="1"/>
                <w:szCs w:val="1"/>
                <w:color w:val="auto"/>
              </w:rPr>
            </w:pPr>
          </w:p>
        </w:tc>
      </w:tr>
      <w:tr>
        <w:trPr>
          <w:trHeight w:val="198"/>
        </w:trPr>
        <w:tc>
          <w:tcPr>
            <w:tcW w:w="28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income available to common</w:t>
            </w:r>
          </w:p>
        </w:tc>
        <w:tc>
          <w:tcPr>
            <w:tcW w:w="4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100,805</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66,543</w:t>
            </w:r>
          </w:p>
        </w:tc>
        <w:tc>
          <w:tcPr>
            <w:tcW w:w="10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51.5</w:t>
            </w:r>
          </w:p>
        </w:tc>
        <w:tc>
          <w:tcPr>
            <w:tcW w:w="2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143,861</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127,863</w:t>
            </w: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3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198"/>
        </w:trPr>
        <w:tc>
          <w:tcPr>
            <w:tcW w:w="2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income available to common</w:t>
            </w: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per share - diluted</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20"/>
                <w:szCs w:val="20"/>
                <w:color w:val="auto"/>
              </w:rPr>
            </w:pPr>
          </w:p>
        </w:tc>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43.5</w:t>
            </w:r>
          </w:p>
        </w:tc>
        <w:tc>
          <w:tcPr>
            <w:tcW w:w="2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Total Revenues</w:t>
      </w:r>
    </w:p>
    <w:p>
      <w:pPr>
        <w:spacing w:after="0" w:line="200"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The increase in our total revenues for the three months ended June 30, 2024, as compared to the same period in 2023, is attributable to increases in our Hospitality segment and Entertainment segment of $101.4 million and $7.0 million, respectively, as presented in the tables below. The increase in our total revenues for the six months ended June 30, 2024, as compared to the same period in 2023, is attributable to increases in our Hospitality segment and Entertainment segment of $138.4 million and $6.6 million, respectively, as presented in the tables below.</w:t>
      </w:r>
    </w:p>
    <w:p>
      <w:pPr>
        <w:spacing w:after="0" w:line="1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Total Operating Expenses</w:t>
      </w:r>
    </w:p>
    <w:p>
      <w:pPr>
        <w:spacing w:after="0" w:line="187" w:lineRule="exact"/>
        <w:rPr>
          <w:sz w:val="20"/>
          <w:szCs w:val="20"/>
          <w:color w:val="auto"/>
        </w:rPr>
      </w:pPr>
    </w:p>
    <w:p>
      <w:pPr>
        <w:ind w:left="60" w:right="219"/>
        <w:spacing w:after="0" w:line="277" w:lineRule="auto"/>
        <w:rPr>
          <w:sz w:val="20"/>
          <w:szCs w:val="20"/>
          <w:color w:val="auto"/>
        </w:rPr>
      </w:pPr>
      <w:r>
        <w:rPr>
          <w:rFonts w:ascii="Times New Roman" w:cs="Times New Roman" w:eastAsia="Times New Roman" w:hAnsi="Times New Roman"/>
          <w:sz w:val="17"/>
          <w:szCs w:val="17"/>
          <w:color w:val="auto"/>
        </w:rPr>
        <w:t>The increase in our total operating expenses for the three months ended June 30, 2024, as compared to the same period in 2023, is primarily the result of an increase in our Hospitality segment of $49.3 million and an increase in depreciation expense of $10.3 million, as presented in the tables below. The increase in our total operating expenses for the six months ended June 30, 2024, as compared to the same period in 2023, is primarily the result of an increase in our Hospitality segment of $82.9 million and an increase in depreciation expense of $19.1 million, as presented in the tables below.</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Net Income</w:t>
      </w:r>
    </w:p>
    <w:p>
      <w:pPr>
        <w:spacing w:after="0" w:line="187"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Our $34.6 million increase in net income for the three months ended June 30, 2024, as compared to the same period in 2023, was primarily due to the changes in our revenues and operating expenses reflected above, and each of the following factors, each as described more fully below.</w:t>
      </w:r>
    </w:p>
    <w:p>
      <w:pPr>
        <w:spacing w:after="0" w:line="135" w:lineRule="exact"/>
        <w:rPr>
          <w:sz w:val="20"/>
          <w:szCs w:val="20"/>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$8.7 million increase in provision for income taxes for the 2024 period, as compared to the 2023 period.</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$5.7 million increase in interest expense, net in the 2024 period, as compared to the 2023 period.</w:t>
      </w:r>
    </w:p>
    <w:p>
      <w:pPr>
        <w:spacing w:after="0" w:line="184" w:lineRule="exact"/>
        <w:rPr>
          <w:rFonts w:ascii="Times New Roman" w:cs="Times New Roman" w:eastAsia="Times New Roman" w:hAnsi="Times New Roman"/>
          <w:sz w:val="18"/>
          <w:szCs w:val="18"/>
          <w:color w:val="auto"/>
        </w:rPr>
      </w:pPr>
    </w:p>
    <w:p>
      <w:pPr>
        <w:ind w:left="720" w:right="299" w:hanging="319"/>
        <w:spacing w:after="0" w:line="282"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$2.3 million decrease in loss from unconsolidated joint ventures in the 2024 period, as compared to the 2023 period.</w:t>
      </w:r>
    </w:p>
    <w:p>
      <w:pPr>
        <w:spacing w:after="0" w:line="121"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Our $16.4 million increase in net income for the six months ended June 30, 2024, as compared to the same period in 2023, was primarily due to the changes in our revenues and operating expenses reflected above, and each of the following factors, each as described more fully below.</w:t>
      </w:r>
    </w:p>
    <w:p>
      <w:pPr>
        <w:spacing w:after="0" w:line="149" w:lineRule="exact"/>
        <w:rPr>
          <w:sz w:val="20"/>
          <w:szCs w:val="20"/>
          <w:color w:val="auto"/>
        </w:rPr>
      </w:pPr>
    </w:p>
    <w:p>
      <w:pPr>
        <w:jc w:val="center"/>
        <w:ind w:left="4420" w:right="979" w:hanging="4019"/>
        <w:spacing w:after="0" w:line="783" w:lineRule="auto"/>
        <w:tabs>
          <w:tab w:leader="none" w:pos="73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$18.6 million increase in interest expense, net in the 2024 period, as compared to the 2023 period.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45720</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$7.6 million increase in provision for income taxes for the 2024 period, as compared to the 2023 period.</w:t>
      </w:r>
    </w:p>
    <w:p>
      <w:pPr>
        <w:spacing w:after="0" w:line="198" w:lineRule="exact"/>
        <w:rPr>
          <w:rFonts w:ascii="Times New Roman" w:cs="Times New Roman" w:eastAsia="Times New Roman" w:hAnsi="Times New Roman"/>
          <w:sz w:val="18"/>
          <w:szCs w:val="18"/>
          <w:color w:val="auto"/>
        </w:rPr>
      </w:pPr>
    </w:p>
    <w:p>
      <w:pPr>
        <w:ind w:left="720" w:right="299" w:hanging="319"/>
        <w:spacing w:after="0" w:line="282"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$5.2 million decrease in loss from unconsolidated joint ventures in the 2024 period, as compared to the 2023 period.</w:t>
      </w:r>
    </w:p>
    <w:p>
      <w:pPr>
        <w:spacing w:after="0" w:line="1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Factors and Trends Contributing to Performance and Current Environment</w:t>
      </w:r>
    </w:p>
    <w:p>
      <w:pPr>
        <w:spacing w:after="0" w:line="187"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Important factors and trends contributing to our performance during the three months ended June 30, 2024, compared to the three months ended June 30, 2023, were:</w:t>
      </w:r>
    </w:p>
    <w:p>
      <w:pPr>
        <w:spacing w:after="0" w:line="135" w:lineRule="exact"/>
        <w:rPr>
          <w:sz w:val="20"/>
          <w:szCs w:val="20"/>
          <w:color w:val="auto"/>
        </w:rPr>
      </w:pPr>
    </w:p>
    <w:p>
      <w:pPr>
        <w:ind w:left="720" w:right="179" w:hanging="319"/>
        <w:spacing w:after="0" w:line="282"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 of JW Marriott Hill Country, including $62.9 million in revenues; the property averaged $256.23 in RevPAR and $689.28 in Total RevPAR.</w:t>
      </w:r>
    </w:p>
    <w:p>
      <w:pPr>
        <w:spacing w:after="0" w:line="121" w:lineRule="exact"/>
        <w:rPr>
          <w:rFonts w:ascii="Times New Roman" w:cs="Times New Roman" w:eastAsia="Times New Roman" w:hAnsi="Times New Roman"/>
          <w:sz w:val="18"/>
          <w:szCs w:val="18"/>
          <w:color w:val="auto"/>
        </w:rPr>
      </w:pPr>
    </w:p>
    <w:p>
      <w:pPr>
        <w:ind w:left="720" w:right="139" w:hanging="319"/>
        <w:spacing w:after="0" w:line="266"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same-store (Hospitality segment excluding JW Marriott Hill Country) group rooms traveled in the 2024 period of 4.5%, as compared to the 2023 period, as the Easter holiday shift from April in the previous year to March in the current year positively impacted group business in the 2024 period.</w:t>
      </w:r>
    </w:p>
    <w:p>
      <w:pPr>
        <w:spacing w:after="0" w:line="135" w:lineRule="exact"/>
        <w:rPr>
          <w:rFonts w:ascii="Times New Roman" w:cs="Times New Roman" w:eastAsia="Times New Roman" w:hAnsi="Times New Roman"/>
          <w:sz w:val="18"/>
          <w:szCs w:val="18"/>
          <w:color w:val="auto"/>
        </w:rPr>
      </w:pPr>
    </w:p>
    <w:p>
      <w:pPr>
        <w:ind w:left="720" w:right="419" w:hanging="319"/>
        <w:spacing w:after="0" w:line="282"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same-store ADR of 3.8% in the 2024 period, as compared to the 2023 period, reflective of our continued pricing strategy.</w:t>
      </w:r>
    </w:p>
    <w:p>
      <w:pPr>
        <w:spacing w:after="0" w:line="134" w:lineRule="exact"/>
        <w:rPr>
          <w:rFonts w:ascii="Times New Roman" w:cs="Times New Roman" w:eastAsia="Times New Roman" w:hAnsi="Times New Roman"/>
          <w:sz w:val="18"/>
          <w:szCs w:val="18"/>
          <w:color w:val="auto"/>
        </w:rPr>
      </w:pPr>
    </w:p>
    <w:p>
      <w:pPr>
        <w:ind w:left="720" w:right="99" w:hanging="319"/>
        <w:spacing w:after="0" w:line="282"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same-store increase of 12.7% in outside-the-room spending at our hotels in the 2024 period, as compared to the 2023 period, primarily as a result of increased banquet and technology spending by groups.</w:t>
      </w:r>
    </w:p>
    <w:p>
      <w:pPr>
        <w:spacing w:after="0" w:line="121" w:lineRule="exact"/>
        <w:rPr>
          <w:rFonts w:ascii="Times New Roman" w:cs="Times New Roman" w:eastAsia="Times New Roman" w:hAnsi="Times New Roman"/>
          <w:sz w:val="18"/>
          <w:szCs w:val="18"/>
          <w:color w:val="auto"/>
        </w:rPr>
      </w:pPr>
    </w:p>
    <w:p>
      <w:pPr>
        <w:ind w:left="720" w:right="299" w:hanging="319"/>
        <w:spacing w:after="0" w:line="282"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Same-store in-the-year-for-the-year cancelled room nights at our hotels decreased 35.8% in the 2024 period, as compared to the 2023 period.</w:t>
      </w:r>
    </w:p>
    <w:p>
      <w:pPr>
        <w:spacing w:after="0" w:line="121" w:lineRule="exact"/>
        <w:rPr>
          <w:rFonts w:ascii="Times New Roman" w:cs="Times New Roman" w:eastAsia="Times New Roman" w:hAnsi="Times New Roman"/>
          <w:sz w:val="18"/>
          <w:szCs w:val="18"/>
          <w:color w:val="auto"/>
        </w:rPr>
      </w:pPr>
    </w:p>
    <w:p>
      <w:pPr>
        <w:ind w:left="720" w:right="99" w:hanging="319"/>
        <w:spacing w:after="0" w:line="266"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same-store decrease in transient room nights traveled in the 2024 period of 12.0%, as compared to the 2023 period, as the Nashville and Orlando markets continue to experience softness in transient demand. In addition, the ongoing rooms renovation at Gaylord Palms also impacted demand in the 2024 period.</w:t>
      </w:r>
    </w:p>
    <w:p>
      <w:pPr>
        <w:spacing w:after="0" w:line="148" w:lineRule="exact"/>
        <w:rPr>
          <w:rFonts w:ascii="Times New Roman" w:cs="Times New Roman" w:eastAsia="Times New Roman" w:hAnsi="Times New Roman"/>
          <w:sz w:val="18"/>
          <w:szCs w:val="18"/>
          <w:color w:val="auto"/>
        </w:rPr>
      </w:pPr>
    </w:p>
    <w:p>
      <w:pPr>
        <w:ind w:left="720" w:right="79" w:hanging="319"/>
        <w:spacing w:after="0" w:line="261"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Entertainment revenue in the 2024 period, as compared to the 2023 period, related to Ole Red Las Vegas, which opened in January 2024, partially offset by a decrease related to the closure of the Wildhorse Saloon as it is being rebranded as Category 10 and a decrease at the W Austin Hotel primarily as a result of the disruption caused by the ongoing construction enhancements at the property.</w:t>
      </w:r>
    </w:p>
    <w:p>
      <w:pPr>
        <w:spacing w:after="0" w:line="139"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Important factors and trends contributing to our performance during the six months ended June 30, 2024, compared to the six months ended June 30, 2023, were:</w:t>
      </w:r>
    </w:p>
    <w:p>
      <w:pPr>
        <w:spacing w:after="0" w:line="121" w:lineRule="exact"/>
        <w:rPr>
          <w:sz w:val="20"/>
          <w:szCs w:val="20"/>
          <w:color w:val="auto"/>
        </w:rPr>
      </w:pPr>
    </w:p>
    <w:p>
      <w:pPr>
        <w:ind w:left="720" w:right="99" w:hanging="319"/>
        <w:spacing w:after="0" w:line="282"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 of JW Marriott Hill Country, including $112.8 million in revenues; the property averaged $227.31 in RevPAR and $618.50 in Total RevPAR.</w:t>
      </w:r>
    </w:p>
    <w:p>
      <w:pPr>
        <w:spacing w:after="0" w:line="134" w:lineRule="exact"/>
        <w:rPr>
          <w:rFonts w:ascii="Times New Roman" w:cs="Times New Roman" w:eastAsia="Times New Roman" w:hAnsi="Times New Roman"/>
          <w:sz w:val="18"/>
          <w:szCs w:val="18"/>
          <w:color w:val="auto"/>
        </w:rPr>
      </w:pPr>
    </w:p>
    <w:p>
      <w:pPr>
        <w:ind w:left="720" w:right="419" w:hanging="319"/>
        <w:spacing w:after="0" w:line="282"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same-store ADR of 3.5% in the 2024 period, as compared to the 2023 period, reflective of our continued pricing strategy.</w:t>
      </w:r>
    </w:p>
    <w:p>
      <w:pPr>
        <w:spacing w:after="0" w:line="121" w:lineRule="exact"/>
        <w:rPr>
          <w:rFonts w:ascii="Times New Roman" w:cs="Times New Roman" w:eastAsia="Times New Roman" w:hAnsi="Times New Roman"/>
          <w:sz w:val="18"/>
          <w:szCs w:val="18"/>
          <w:color w:val="auto"/>
        </w:rPr>
      </w:pPr>
    </w:p>
    <w:p>
      <w:pPr>
        <w:ind w:left="720" w:right="179" w:hanging="319"/>
        <w:spacing w:after="0" w:line="282"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same-store increase of 4.8% in outside-the-room spending at our hotels in the 2024 period, as compared to the 2023 period, primarily as a result of increased banquet and technology spending by groups.</w:t>
      </w:r>
    </w:p>
    <w:p>
      <w:pPr>
        <w:spacing w:after="0" w:line="121" w:lineRule="exact"/>
        <w:rPr>
          <w:rFonts w:ascii="Times New Roman" w:cs="Times New Roman" w:eastAsia="Times New Roman" w:hAnsi="Times New Roman"/>
          <w:sz w:val="18"/>
          <w:szCs w:val="18"/>
          <w:color w:val="auto"/>
        </w:rPr>
      </w:pPr>
    </w:p>
    <w:p>
      <w:pPr>
        <w:ind w:left="720" w:right="299" w:hanging="319"/>
        <w:spacing w:after="0" w:line="282"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Same-store in-the-year-for-the-year cancelled room nights at our hotels decreased 51.5% in the 2024 period, as compared to the 2023 period.</w:t>
      </w:r>
    </w:p>
    <w:p>
      <w:pPr>
        <w:spacing w:after="0" w:line="134" w:lineRule="exact"/>
        <w:rPr>
          <w:rFonts w:ascii="Times New Roman" w:cs="Times New Roman" w:eastAsia="Times New Roman" w:hAnsi="Times New Roman"/>
          <w:sz w:val="18"/>
          <w:szCs w:val="18"/>
          <w:color w:val="auto"/>
        </w:rPr>
      </w:pPr>
    </w:p>
    <w:p>
      <w:pPr>
        <w:ind w:left="720" w:right="99" w:hanging="319"/>
        <w:spacing w:after="0" w:line="266"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same-store decrease in transient room nights traveled in the 2024 period of 12.2%, as compared to the 2023 period, as the Nashville and Orlando markets continue to experience softness in transient demand. In addition, the ongoing rooms renovation at Gaylord Palms also impacted demand in the 2024 period.</w:t>
      </w:r>
    </w:p>
    <w:p>
      <w:pPr>
        <w:spacing w:after="0" w:line="135" w:lineRule="exact"/>
        <w:rPr>
          <w:rFonts w:ascii="Times New Roman" w:cs="Times New Roman" w:eastAsia="Times New Roman" w:hAnsi="Times New Roman"/>
          <w:sz w:val="18"/>
          <w:szCs w:val="18"/>
          <w:color w:val="auto"/>
        </w:rPr>
      </w:pPr>
    </w:p>
    <w:p>
      <w:pPr>
        <w:ind w:left="720" w:right="159" w:hanging="319"/>
        <w:spacing w:after="0" w:line="282"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Entertainment revenue in the 2024 period, as compared to the 2023 period, related to Ole Red Las Vegas, which opened in January 2024, partially offset by a decrease related to the closure of the Wildhorse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299"/>
        <w:spacing w:after="0" w:line="282" w:lineRule="auto"/>
        <w:rPr>
          <w:sz w:val="20"/>
          <w:szCs w:val="20"/>
          <w:color w:val="auto"/>
        </w:rPr>
      </w:pPr>
      <w:r>
        <w:rPr>
          <w:rFonts w:ascii="Times New Roman" w:cs="Times New Roman" w:eastAsia="Times New Roman" w:hAnsi="Times New Roman"/>
          <w:sz w:val="18"/>
          <w:szCs w:val="18"/>
          <w:color w:val="auto"/>
        </w:rPr>
        <w:t>Saloon as it is being rebranded as Category 10 and a decrease at the W Austin Hotel primarily as a result of the disruption caused by the ongoing construction enhancements at the property.</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important factors and trends for the three and six months ended, and as of, June 30, 2024 include:</w:t>
      </w:r>
    </w:p>
    <w:p>
      <w:pPr>
        <w:spacing w:after="0" w:line="185" w:lineRule="exact"/>
        <w:rPr>
          <w:sz w:val="20"/>
          <w:szCs w:val="20"/>
          <w:color w:val="auto"/>
        </w:rPr>
      </w:pPr>
    </w:p>
    <w:p>
      <w:pPr>
        <w:ind w:left="720" w:right="179" w:hanging="319"/>
        <w:spacing w:after="0" w:line="282"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same-store increase of 32.5% and 6.8%, respectively, in net definite group room nights booked at our hotels in the 2024 periods, as compared to the 2023 periods.</w:t>
      </w:r>
    </w:p>
    <w:p>
      <w:pPr>
        <w:spacing w:after="0" w:line="12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same-store basis, group room nights on the books for all future years at our hotels at June 30, 2024 are 5.3% ahead of those on the books at the same point in 2023. In addition, the ADR on those group nights on the books at June 30, 2024 is 6.5% higher than the same point in 2023.</w:t>
      </w:r>
    </w:p>
    <w:p>
      <w:pPr>
        <w:spacing w:after="0" w:line="148" w:lineRule="exact"/>
        <w:rPr>
          <w:rFonts w:ascii="Times New Roman" w:cs="Times New Roman" w:eastAsia="Times New Roman" w:hAnsi="Times New Roman"/>
          <w:sz w:val="18"/>
          <w:szCs w:val="18"/>
          <w:color w:val="auto"/>
        </w:rPr>
      </w:pPr>
    </w:p>
    <w:p>
      <w:pPr>
        <w:ind w:left="720" w:right="259" w:hanging="319"/>
        <w:spacing w:after="0" w:line="266"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operating expenses for the 2024 periods were reduced by a $9.1 million refund of Tennessee franchise tax for prior years caused by a change in tax law, comprised of $5.6 million, $3.4 million and $0.1 million in our Hospitality segment, Entertainment segment and Corporate and Other segment, respectively.</w:t>
      </w:r>
    </w:p>
    <w:p>
      <w:pPr>
        <w:spacing w:after="0" w:line="135" w:lineRule="exact"/>
        <w:rPr>
          <w:rFonts w:ascii="Times New Roman" w:cs="Times New Roman" w:eastAsia="Times New Roman" w:hAnsi="Times New Roman"/>
          <w:sz w:val="18"/>
          <w:szCs w:val="18"/>
          <w:color w:val="auto"/>
        </w:rPr>
      </w:pPr>
    </w:p>
    <w:p>
      <w:pPr>
        <w:ind w:left="720" w:right="79" w:hanging="319"/>
        <w:spacing w:after="0" w:line="261"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strong revenues in recent periods have partially mitigated increasing costs in the current inflationary environment, which include increased interest rates, which drove higher interest expense on our higher debt levels, as well as increased insurance, utilities and other costs. The current inflationary environment is expected to continue in at least the near future.</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Results – Detailed Segment Financial Information</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Hospitality Segment</w:t>
      </w:r>
    </w:p>
    <w:p>
      <w:pPr>
        <w:spacing w:after="0" w:line="187" w:lineRule="exact"/>
        <w:rPr>
          <w:sz w:val="20"/>
          <w:szCs w:val="20"/>
          <w:color w:val="auto"/>
        </w:rPr>
      </w:pPr>
    </w:p>
    <w:p>
      <w:pPr>
        <w:ind w:left="60" w:right="15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Total Segment Results. </w:t>
      </w:r>
      <w:r>
        <w:rPr>
          <w:rFonts w:ascii="Times New Roman" w:cs="Times New Roman" w:eastAsia="Times New Roman" w:hAnsi="Times New Roman"/>
          <w:sz w:val="18"/>
          <w:szCs w:val="18"/>
          <w:color w:val="auto"/>
        </w:rPr>
        <w:t>The following presents the financial results of our Hospitality segment for the three and six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June 30, 2024 and 2023 (in thousands, except percentages and performance metrics):</w:t>
      </w:r>
    </w:p>
    <w:p>
      <w:pPr>
        <w:spacing w:after="0" w:line="11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80" w:type="dxa"/>
            <w:vAlign w:val="bottom"/>
            <w:gridSpan w:val="10"/>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gridSpan w:val="8"/>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3"/>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3"/>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gridSpan w:val="2"/>
          </w:tcPr>
          <w:p>
            <w:pPr>
              <w:jc w:val="right"/>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gridSpan w:val="2"/>
          </w:tcPr>
          <w:p>
            <w:pPr>
              <w:jc w:val="right"/>
              <w:ind w:right="88"/>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Revenues:</w:t>
            </w:r>
          </w:p>
        </w:tc>
        <w:tc>
          <w:tcPr>
            <w:tcW w:w="5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Rooms</w:t>
            </w:r>
          </w:p>
        </w:tc>
        <w:tc>
          <w:tcPr>
            <w:tcW w:w="6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199,497</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168,492</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18.4</w:t>
            </w:r>
          </w:p>
        </w:tc>
        <w:tc>
          <w:tcPr>
            <w:tcW w:w="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373,130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329,743</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13.2</w:t>
            </w:r>
          </w:p>
        </w:tc>
        <w:tc>
          <w:tcPr>
            <w:tcW w:w="36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Food and beverage</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259,386</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197,908</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31.1</w:t>
            </w:r>
          </w:p>
        </w:tc>
        <w:tc>
          <w:tcPr>
            <w:tcW w:w="2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494,469</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413,712</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19.5</w:t>
            </w:r>
          </w:p>
        </w:tc>
        <w:tc>
          <w:tcPr>
            <w:tcW w:w="360" w:type="dxa"/>
            <w:vAlign w:val="bottom"/>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20" w:type="dxa"/>
            <w:vAlign w:val="bottom"/>
            <w:tcBorders>
              <w:bottom w:val="single" w:sz="8" w:color="CCEEFF"/>
            </w:tcBorders>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hotel revenue</w:t>
            </w:r>
          </w:p>
        </w:tc>
        <w:tc>
          <w:tcPr>
            <w:tcW w:w="5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60,204</w:t>
            </w: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51,285</w:t>
            </w: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17.4</w:t>
            </w:r>
          </w:p>
        </w:tc>
        <w:tc>
          <w:tcPr>
            <w:tcW w:w="26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112,958</w:t>
            </w: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98,669</w:t>
            </w: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14.5</w:t>
            </w:r>
          </w:p>
        </w:tc>
        <w:tc>
          <w:tcPr>
            <w:tcW w:w="360" w:type="dxa"/>
            <w:vAlign w:val="bottom"/>
            <w:tcBorders>
              <w:bottom w:val="single" w:sz="8" w:color="CCEEFF"/>
            </w:tcBorders>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gridSpan w:val="2"/>
            <w:shd w:val="clear" w:color="auto" w:fill="CCEEFF"/>
          </w:tcPr>
          <w:p>
            <w:pPr>
              <w:ind w:left="220"/>
              <w:spacing w:after="0" w:line="142" w:lineRule="exact"/>
              <w:rPr>
                <w:sz w:val="20"/>
                <w:szCs w:val="20"/>
                <w:color w:val="auto"/>
              </w:rPr>
            </w:pPr>
            <w:r>
              <w:rPr>
                <w:rFonts w:ascii="Times New Roman" w:cs="Times New Roman" w:eastAsia="Times New Roman" w:hAnsi="Times New Roman"/>
                <w:sz w:val="14"/>
                <w:szCs w:val="14"/>
                <w:color w:val="auto"/>
              </w:rPr>
              <w:t>Total hospitality revenue</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519,087</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417,685</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24.3</w:t>
            </w:r>
          </w:p>
        </w:tc>
        <w:tc>
          <w:tcPr>
            <w:tcW w:w="2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980,557</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842,124</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16.4</w:t>
            </w:r>
          </w:p>
        </w:tc>
        <w:tc>
          <w:tcPr>
            <w:tcW w:w="360" w:type="dxa"/>
            <w:vAlign w:val="bottom"/>
            <w:shd w:val="clear" w:color="auto" w:fill="CCEEFF"/>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Hospitality operating expenses: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2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Rooms</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45,062</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40,272</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11.9</w:t>
            </w:r>
          </w:p>
        </w:tc>
        <w:tc>
          <w:tcPr>
            <w:tcW w:w="2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89,163</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82,331</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w:t>
            </w:r>
          </w:p>
        </w:tc>
        <w:tc>
          <w:tcPr>
            <w:tcW w:w="360" w:type="dxa"/>
            <w:vAlign w:val="bottom"/>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Food and beverage</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132,369</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107,026</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23.7</w:t>
            </w:r>
          </w:p>
        </w:tc>
        <w:tc>
          <w:tcPr>
            <w:tcW w:w="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260,548</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222,207</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17.3</w:t>
            </w:r>
          </w:p>
        </w:tc>
        <w:tc>
          <w:tcPr>
            <w:tcW w:w="36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2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hotel expenses</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117,769</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104,590</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12.6</w:t>
            </w:r>
          </w:p>
        </w:tc>
        <w:tc>
          <w:tcPr>
            <w:tcW w:w="2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236,582</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207,649</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13.9</w:t>
            </w:r>
          </w:p>
        </w:tc>
        <w:tc>
          <w:tcPr>
            <w:tcW w:w="360" w:type="dxa"/>
            <w:vAlign w:val="bottom"/>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Management fees, net</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21,449</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15,418</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39.1</w:t>
            </w:r>
          </w:p>
        </w:tc>
        <w:tc>
          <w:tcPr>
            <w:tcW w:w="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39,411</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30,613</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28.7</w:t>
            </w:r>
          </w:p>
        </w:tc>
        <w:tc>
          <w:tcPr>
            <w:tcW w:w="36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2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5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50,553</w:t>
            </w:r>
          </w:p>
        </w:tc>
        <w:tc>
          <w:tcPr>
            <w:tcW w:w="4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42,646</w:t>
            </w:r>
          </w:p>
        </w:tc>
        <w:tc>
          <w:tcPr>
            <w:tcW w:w="20" w:type="dxa"/>
            <w:vAlign w:val="bottom"/>
            <w:tcBorders>
              <w:bottom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18.5</w:t>
            </w:r>
          </w:p>
        </w:tc>
        <w:tc>
          <w:tcPr>
            <w:tcW w:w="2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100,783</w:t>
            </w:r>
          </w:p>
        </w:tc>
        <w:tc>
          <w:tcPr>
            <w:tcW w:w="4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85,521</w:t>
            </w:r>
          </w:p>
        </w:tc>
        <w:tc>
          <w:tcPr>
            <w:tcW w:w="40" w:type="dxa"/>
            <w:vAlign w:val="bottom"/>
            <w:tcBorders>
              <w:bottom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17.8</w:t>
            </w:r>
          </w:p>
        </w:tc>
        <w:tc>
          <w:tcPr>
            <w:tcW w:w="360" w:type="dxa"/>
            <w:vAlign w:val="bottom"/>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Borders>
              <w:bottom w:val="single" w:sz="8" w:color="CCEEFF"/>
            </w:tcBorders>
            <w:gridSpan w:val="2"/>
          </w:tcPr>
          <w:p>
            <w:pPr>
              <w:ind w:left="220"/>
              <w:spacing w:after="0" w:line="142" w:lineRule="exact"/>
              <w:rPr>
                <w:sz w:val="20"/>
                <w:szCs w:val="20"/>
                <w:color w:val="auto"/>
              </w:rPr>
            </w:pPr>
            <w:r>
              <w:rPr>
                <w:rFonts w:ascii="Times New Roman" w:cs="Times New Roman" w:eastAsia="Times New Roman" w:hAnsi="Times New Roman"/>
                <w:sz w:val="14"/>
                <w:szCs w:val="14"/>
                <w:color w:val="auto"/>
              </w:rPr>
              <w:t>Total Hospitality operating expenses</w:t>
            </w:r>
          </w:p>
        </w:tc>
        <w:tc>
          <w:tcPr>
            <w:tcW w:w="5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367,202</w:t>
            </w: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309,952</w:t>
            </w: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18.5</w:t>
            </w:r>
          </w:p>
        </w:tc>
        <w:tc>
          <w:tcPr>
            <w:tcW w:w="26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726,487</w:t>
            </w: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628,321</w:t>
            </w: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15.6</w:t>
            </w:r>
          </w:p>
        </w:tc>
        <w:tc>
          <w:tcPr>
            <w:tcW w:w="360" w:type="dxa"/>
            <w:vAlign w:val="bottom"/>
            <w:tcBorders>
              <w:bottom w:val="single" w:sz="8" w:color="CCEEFF"/>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Borders>
              <w:bottom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Hospitality operating income</w:t>
            </w:r>
          </w:p>
        </w:tc>
        <w:tc>
          <w:tcPr>
            <w:tcW w:w="5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151,885</w:t>
            </w:r>
          </w:p>
        </w:tc>
        <w:tc>
          <w:tcPr>
            <w:tcW w:w="4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107,733</w:t>
            </w:r>
          </w:p>
        </w:tc>
        <w:tc>
          <w:tcPr>
            <w:tcW w:w="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41.0</w:t>
            </w:r>
          </w:p>
        </w:tc>
        <w:tc>
          <w:tcPr>
            <w:tcW w:w="26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254,070</w:t>
            </w:r>
          </w:p>
        </w:tc>
        <w:tc>
          <w:tcPr>
            <w:tcW w:w="4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213,803</w:t>
            </w:r>
          </w:p>
        </w:tc>
        <w:tc>
          <w:tcPr>
            <w:tcW w:w="4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18.8</w:t>
            </w:r>
          </w:p>
        </w:tc>
        <w:tc>
          <w:tcPr>
            <w:tcW w:w="360" w:type="dxa"/>
            <w:vAlign w:val="bottom"/>
            <w:tcBorders>
              <w:bottom w:val="single" w:sz="8" w:color="CCEEFF"/>
            </w:tcBorders>
            <w:shd w:val="clear" w:color="auto" w:fill="CCEEFF"/>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0"/>
        </w:trPr>
        <w:tc>
          <w:tcPr>
            <w:tcW w:w="33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Hospitality performance metrics</w:t>
            </w: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340" w:type="dxa"/>
            <w:vAlign w:val="bottom"/>
            <w:gridSpan w:val="3"/>
            <w:vMerge w:val="continue"/>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2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Occupancy</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73.7</w:t>
            </w:r>
          </w:p>
        </w:tc>
        <w:tc>
          <w:tcPr>
            <w:tcW w:w="1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72.7</w:t>
            </w:r>
          </w:p>
        </w:tc>
        <w:tc>
          <w:tcPr>
            <w:tcW w:w="1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2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pts</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70.2</w:t>
            </w:r>
          </w:p>
        </w:tc>
        <w:tc>
          <w:tcPr>
            <w:tcW w:w="1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72.5</w:t>
            </w:r>
          </w:p>
        </w:tc>
        <w:tc>
          <w:tcPr>
            <w:tcW w:w="2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(2.3)pts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ADR</w:t>
            </w:r>
          </w:p>
        </w:tc>
        <w:tc>
          <w:tcPr>
            <w:tcW w:w="6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260.76</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244.77</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6.5</w:t>
            </w:r>
          </w:p>
        </w:tc>
        <w:tc>
          <w:tcPr>
            <w:tcW w:w="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255.87</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241.38</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36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2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RevPAR (1)</w:t>
            </w:r>
          </w:p>
        </w:tc>
        <w:tc>
          <w:tcPr>
            <w:tcW w:w="6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192.12</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177.83</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8.0</w:t>
            </w:r>
          </w:p>
        </w:tc>
        <w:tc>
          <w:tcPr>
            <w:tcW w:w="2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179.64</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174.97</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360" w:type="dxa"/>
            <w:vAlign w:val="bottom"/>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Total RevPAR (2)</w:t>
            </w:r>
          </w:p>
        </w:tc>
        <w:tc>
          <w:tcPr>
            <w:tcW w:w="6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499.90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440.12</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13.6</w:t>
            </w:r>
          </w:p>
        </w:tc>
        <w:tc>
          <w:tcPr>
            <w:tcW w:w="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472.09</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446.49</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5.7</w:t>
            </w:r>
          </w:p>
        </w:tc>
        <w:tc>
          <w:tcPr>
            <w:tcW w:w="36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Definite Group Room Nights Booked</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648,434</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450,269</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44.0</w:t>
            </w:r>
          </w:p>
        </w:tc>
        <w:tc>
          <w:tcPr>
            <w:tcW w:w="2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838,017</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700,587</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19.6</w:t>
            </w:r>
          </w:p>
        </w:tc>
        <w:tc>
          <w:tcPr>
            <w:tcW w:w="360" w:type="dxa"/>
            <w:vAlign w:val="bottom"/>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Same-store Hospitality performance metrics (3):</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Occupancy</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73.2</w:t>
            </w:r>
          </w:p>
        </w:tc>
        <w:tc>
          <w:tcPr>
            <w:tcW w:w="1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72.7</w:t>
            </w:r>
          </w:p>
        </w:tc>
        <w:tc>
          <w:tcPr>
            <w:tcW w:w="1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0.5</w:t>
            </w:r>
          </w:p>
        </w:tc>
        <w:tc>
          <w:tcPr>
            <w:tcW w:w="2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pts</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70.1</w:t>
            </w:r>
          </w:p>
        </w:tc>
        <w:tc>
          <w:tcPr>
            <w:tcW w:w="1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72.5</w:t>
            </w:r>
          </w:p>
        </w:tc>
        <w:tc>
          <w:tcPr>
            <w:tcW w:w="2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(2.4)pts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ADR</w:t>
            </w:r>
          </w:p>
        </w:tc>
        <w:tc>
          <w:tcPr>
            <w:tcW w:w="6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254.16</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244.77</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249.71</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241.38</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36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2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RevPAR (1)</w:t>
            </w:r>
          </w:p>
        </w:tc>
        <w:tc>
          <w:tcPr>
            <w:tcW w:w="6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185.95</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177.83</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2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175.06</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174.97</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360" w:type="dxa"/>
            <w:vAlign w:val="bottom"/>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Total RevPAR (2)</w:t>
            </w:r>
          </w:p>
        </w:tc>
        <w:tc>
          <w:tcPr>
            <w:tcW w:w="6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481.67</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440.12</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9.4</w:t>
            </w:r>
          </w:p>
        </w:tc>
        <w:tc>
          <w:tcPr>
            <w:tcW w:w="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458.00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446.49</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36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Definite Group Room Nights Booked</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596,661</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450,269</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32.5</w:t>
            </w:r>
          </w:p>
        </w:tc>
        <w:tc>
          <w:tcPr>
            <w:tcW w:w="2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748,337</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700,587</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w:t>
            </w:r>
          </w:p>
        </w:tc>
        <w:tc>
          <w:tcPr>
            <w:tcW w:w="360" w:type="dxa"/>
            <w:vAlign w:val="bottom"/>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1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80" w:right="719" w:hanging="330"/>
        <w:spacing w:after="0" w:line="282"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calculate Hospitality RevPAR by dividing room revenue by room nights available to guests for the period. Hospitality RevPAR is not comparable to similarly titled measures such as revenues.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right="219" w:hanging="330"/>
        <w:spacing w:after="0" w:line="266"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calculate Hospitality Total RevPAR by dividing the sum of room, food and beverage, and other ancillary services revenue (which equals Hospitality segment revenue) by room nights available to guests for the period. Hospitality Total RevPAR is not comparable to similarly titled measures such as revenues.</w:t>
      </w:r>
    </w:p>
    <w:p>
      <w:pPr>
        <w:spacing w:after="0" w:line="148" w:lineRule="exact"/>
        <w:rPr>
          <w:rFonts w:ascii="Times New Roman" w:cs="Times New Roman" w:eastAsia="Times New Roman" w:hAnsi="Times New Roman"/>
          <w:sz w:val="18"/>
          <w:szCs w:val="18"/>
          <w:color w:val="auto"/>
        </w:rPr>
      </w:pPr>
    </w:p>
    <w:p>
      <w:pPr>
        <w:ind w:left="380" w:right="399" w:hanging="330"/>
        <w:spacing w:after="0" w:line="282"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Same-store Hospitality segment metrics do not include JW Marriott Hill Country, which we purchased on June 30, 2023.</w:t>
      </w:r>
    </w:p>
    <w:p>
      <w:pPr>
        <w:spacing w:after="0" w:line="121"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The increase in total Hospitality segment revenue in the three months ended June 30, 2024, as compared to the same period in 2023, is primarily due to the addition of $62.9 million in revenue from JW Marriott Hill Country, which we purchased on June 30, 2023, as well as increases of $19.9 million, $11.4 million and $9.7 million at Gaylord Opryland, Gaylord National and Gaylord Rockies, respectively, partially offset by a decrease of $5.0 million at Gaylord Palms, as presented in the tables below.</w:t>
      </w:r>
    </w:p>
    <w:p>
      <w:pPr>
        <w:spacing w:after="0" w:line="143"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The increase in total Hospitality segment revenue in the six months ended June 30, 2024, as compared to the same period in 2023, is primarily due to the addition of $112.8 million in revenue from JW Marriott Hill Country, which we purchased on June 30, 2023, as well as increases of $11.9 million, $9.5 million and $6.9 million at Gaylord Opryland, Gaylord Rockies and Gaylord National, respectively, partially offset by a decrease of $4.1 million at Gaylord Palms, as presented in the tables below.</w:t>
      </w:r>
    </w:p>
    <w:p>
      <w:pPr>
        <w:spacing w:after="0" w:line="156"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Total Hospitality segment revenues in the three and six months ended June 30, 2024 include $9.8 million and $18.3 million, respectively, in attrition and cancellation fee revenue, a decrease of $0.5 million and $1.8 million, respectively, in attrition and cancellation fees from the 2023 periods.</w:t>
      </w:r>
    </w:p>
    <w:p>
      <w:pPr>
        <w:spacing w:after="0" w:line="135" w:lineRule="exact"/>
        <w:rPr>
          <w:sz w:val="20"/>
          <w:szCs w:val="20"/>
          <w:color w:val="auto"/>
        </w:rPr>
      </w:pPr>
    </w:p>
    <w:p>
      <w:pPr>
        <w:ind w:left="60" w:right="739"/>
        <w:spacing w:after="0" w:line="282" w:lineRule="auto"/>
        <w:rPr>
          <w:sz w:val="20"/>
          <w:szCs w:val="20"/>
          <w:color w:val="auto"/>
        </w:rPr>
      </w:pPr>
      <w:r>
        <w:rPr>
          <w:rFonts w:ascii="Times New Roman" w:cs="Times New Roman" w:eastAsia="Times New Roman" w:hAnsi="Times New Roman"/>
          <w:sz w:val="18"/>
          <w:szCs w:val="18"/>
          <w:color w:val="auto"/>
        </w:rPr>
        <w:t>The percentage of group versus transient business based on rooms sold for our Hospitality segment for the periods presented was approximately as follows:</w:t>
      </w:r>
    </w:p>
    <w:p>
      <w:pPr>
        <w:spacing w:after="0" w:line="116"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780" w:type="dxa"/>
            <w:vAlign w:val="bottom"/>
            <w:gridSpan w:val="5"/>
          </w:tcPr>
          <w:p>
            <w:pPr>
              <w:jc w:val="center"/>
              <w:ind w:right="31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60" w:type="dxa"/>
            <w:vAlign w:val="bottom"/>
            <w:gridSpan w:val="4"/>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940" w:type="dxa"/>
            <w:vAlign w:val="bottom"/>
            <w:gridSpan w:val="3"/>
          </w:tcPr>
          <w:p>
            <w:pPr>
              <w:jc w:val="center"/>
              <w:ind w:left="32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60" w:type="dxa"/>
            <w:vAlign w:val="bottom"/>
            <w:gridSpan w:val="4"/>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42"/>
        </w:trPr>
        <w:tc>
          <w:tcPr>
            <w:tcW w:w="20" w:type="dxa"/>
            <w:vAlign w:val="bottom"/>
          </w:tcPr>
          <w:p>
            <w:pPr>
              <w:spacing w:after="0"/>
              <w:rPr>
                <w:sz w:val="12"/>
                <w:szCs w:val="12"/>
                <w:color w:val="auto"/>
              </w:rPr>
            </w:pPr>
          </w:p>
        </w:tc>
        <w:tc>
          <w:tcPr>
            <w:tcW w:w="376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8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38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4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Group</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79"/>
              </w:rPr>
              <w:t>%</w:t>
            </w:r>
          </w:p>
        </w:tc>
      </w:tr>
      <w:tr>
        <w:trPr>
          <w:trHeight w:val="234"/>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Transient</w:t>
            </w:r>
          </w:p>
        </w:tc>
        <w:tc>
          <w:tcPr>
            <w:tcW w:w="8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21 %</w:t>
            </w:r>
          </w:p>
        </w:tc>
        <w:tc>
          <w:tcPr>
            <w:tcW w:w="120" w:type="dxa"/>
            <w:vAlign w:val="bottom"/>
          </w:tcPr>
          <w:p>
            <w:pPr>
              <w:spacing w:after="0"/>
              <w:rPr>
                <w:sz w:val="20"/>
                <w:szCs w:val="20"/>
                <w:color w:val="auto"/>
              </w:rPr>
            </w:pPr>
          </w:p>
        </w:tc>
        <w:tc>
          <w:tcPr>
            <w:tcW w:w="8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23 %</w:t>
            </w:r>
          </w:p>
        </w:tc>
        <w:tc>
          <w:tcPr>
            <w:tcW w:w="7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21 %</w:t>
            </w:r>
          </w:p>
        </w:tc>
        <w:tc>
          <w:tcPr>
            <w:tcW w:w="8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22 %</w:t>
            </w:r>
          </w:p>
        </w:tc>
      </w:tr>
    </w:tbl>
    <w:p>
      <w:pPr>
        <w:spacing w:after="0" w:line="179" w:lineRule="exact"/>
        <w:rPr>
          <w:sz w:val="20"/>
          <w:szCs w:val="20"/>
          <w:color w:val="auto"/>
        </w:rPr>
      </w:pPr>
    </w:p>
    <w:p>
      <w:pPr>
        <w:ind w:left="60" w:right="459"/>
        <w:spacing w:after="0" w:line="282" w:lineRule="auto"/>
        <w:rPr>
          <w:sz w:val="20"/>
          <w:szCs w:val="20"/>
          <w:color w:val="auto"/>
        </w:rPr>
      </w:pPr>
      <w:r>
        <w:rPr>
          <w:rFonts w:ascii="Times New Roman" w:cs="Times New Roman" w:eastAsia="Times New Roman" w:hAnsi="Times New Roman"/>
          <w:sz w:val="18"/>
          <w:szCs w:val="18"/>
          <w:color w:val="auto"/>
        </w:rPr>
        <w:t>Rooms expenses increased in the three and six months ended June 30, 2024, as compared to the same periods in 2023, primarily due to JW Marriott Hill Country, as presented in the tables below.</w:t>
      </w:r>
    </w:p>
    <w:p>
      <w:pPr>
        <w:spacing w:after="0" w:line="135"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The increase in food and beverage expenses in the three and six months ended June 30, 2024, as compared to the same periods in 2023, is primarily due to JW Marriott Hill Country, as presented in the tables below. The increase in the three-month 2024 period also includes increases at Gaylord Opryland, Gaylord Rockies and Gaylord National, and the increase in the six-month 2024 period also includes increases at Gaylord Opryland, Gaylord Rockies and Gaylord Palms due to increased variable expenses associated with the increase in volume.</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hotel expenses for the three and six months ended June 30, 2024 and 2023 consist of the following (in thousands):</w:t>
      </w:r>
    </w:p>
    <w:p>
      <w:pPr>
        <w:spacing w:after="0" w:line="17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gridSpan w:val="5"/>
          </w:tcPr>
          <w:p>
            <w:pPr>
              <w:jc w:val="center"/>
              <w:ind w:left="29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5"/>
          </w:tcPr>
          <w:p>
            <w:pPr>
              <w:jc w:val="center"/>
              <w:ind w:left="29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5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0"/>
                <w:szCs w:val="10"/>
                <w:color w:val="auto"/>
              </w:rPr>
            </w:pPr>
          </w:p>
        </w:tc>
        <w:tc>
          <w:tcPr>
            <w:tcW w:w="500" w:type="dxa"/>
            <w:vAlign w:val="bottom"/>
            <w:gridSpan w:val="2"/>
          </w:tcPr>
          <w:p>
            <w:pPr>
              <w:jc w:val="right"/>
              <w:ind w:right="7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0"/>
                <w:szCs w:val="10"/>
                <w:color w:val="auto"/>
              </w:rPr>
            </w:pPr>
          </w:p>
        </w:tc>
        <w:tc>
          <w:tcPr>
            <w:tcW w:w="480" w:type="dxa"/>
            <w:vAlign w:val="bottom"/>
          </w:tcPr>
          <w:p>
            <w:pPr>
              <w:jc w:val="right"/>
              <w:ind w:right="76"/>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3"/>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Administrative employment costs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47,750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38,918</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400" w:type="dxa"/>
            <w:vAlign w:val="bottom"/>
            <w:tcBorders>
              <w:top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95,120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78,676</w:t>
            </w: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320" w:type="dxa"/>
            <w:vAlign w:val="bottom"/>
            <w:tcBorders>
              <w:top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Utilities</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9,307</w:t>
            </w:r>
          </w:p>
        </w:tc>
        <w:tc>
          <w:tcPr>
            <w:tcW w:w="120" w:type="dxa"/>
            <w:vAlign w:val="bottom"/>
          </w:tcPr>
          <w:p>
            <w:pPr>
              <w:spacing w:after="0"/>
              <w:rPr>
                <w:sz w:val="18"/>
                <w:szCs w:val="18"/>
                <w:color w:val="auto"/>
              </w:rPr>
            </w:pPr>
          </w:p>
        </w:tc>
        <w:tc>
          <w:tcPr>
            <w:tcW w:w="90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24.1 %</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22,473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18,667</w:t>
            </w:r>
          </w:p>
        </w:tc>
        <w:tc>
          <w:tcPr>
            <w:tcW w:w="140" w:type="dxa"/>
            <w:vAlign w:val="bottom"/>
          </w:tcPr>
          <w:p>
            <w:pPr>
              <w:spacing w:after="0"/>
              <w:rPr>
                <w:sz w:val="18"/>
                <w:szCs w:val="18"/>
                <w:color w:val="auto"/>
              </w:rPr>
            </w:pPr>
          </w:p>
        </w:tc>
        <w:tc>
          <w:tcPr>
            <w:tcW w:w="8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20.4 %</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taxes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8,954</w:t>
            </w: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29.3 %</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18,043</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23.9 %</w:t>
            </w:r>
          </w:p>
        </w:tc>
        <w:tc>
          <w:tcPr>
            <w:tcW w:w="0" w:type="dxa"/>
            <w:vAlign w:val="bottom"/>
          </w:tcPr>
          <w:p>
            <w:pPr>
              <w:spacing w:after="0"/>
              <w:rPr>
                <w:sz w:val="1"/>
                <w:szCs w:val="1"/>
                <w:color w:val="auto"/>
              </w:rPr>
            </w:pPr>
          </w:p>
        </w:tc>
      </w:tr>
      <w:tr>
        <w:trPr>
          <w:trHeight w:val="216"/>
        </w:trPr>
        <w:tc>
          <w:tcPr>
            <w:tcW w:w="3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46,893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47,411</w:t>
            </w: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96,625</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92,263</w:t>
            </w:r>
          </w:p>
        </w:tc>
        <w:tc>
          <w:tcPr>
            <w:tcW w:w="14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10"/>
        </w:trPr>
        <w:tc>
          <w:tcPr>
            <w:tcW w:w="35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hotel expenses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117,769</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104,590</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12.6 %</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236,582</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207,649</w:t>
            </w: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13.9 %</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219"/>
        <w:spacing w:after="0" w:line="266" w:lineRule="auto"/>
        <w:rPr>
          <w:sz w:val="20"/>
          <w:szCs w:val="20"/>
          <w:color w:val="auto"/>
        </w:rPr>
      </w:pPr>
      <w:r>
        <w:rPr>
          <w:rFonts w:ascii="Times New Roman" w:cs="Times New Roman" w:eastAsia="Times New Roman" w:hAnsi="Times New Roman"/>
          <w:sz w:val="18"/>
          <w:szCs w:val="18"/>
          <w:color w:val="auto"/>
        </w:rPr>
        <w:t>Each of the other hotel expense categories above increased in the three and six months ended June 30, 2024, as compared to the same periods in 2023, due to the addition of JW Marriott Hill Country. Administrative employment costs include salaries and benefits for hotel administrative functions, including, among others, senior management,</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accounting, human resources, sales, conference services, engineering and security. The increase in property taxes during the six months ended June 30, 2024, as compared to the 2023 period, was partially offset by a decrease at Gaylord National due to a settlement of an appeal from prior tax years. The increase in other expenses, which include supplies, advertising, maintenance costs and consulting costs, during the three and six months ended June 30, 2024, as compared to the same periods in 2023, was partially offset by a decrease at Gaylord Opryland due to a refund of Tennessee franchise tax for prior years caused by a change in tax law.</w:t>
      </w:r>
    </w:p>
    <w:p>
      <w:pPr>
        <w:spacing w:after="0" w:line="160"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Each of our management agreements with Marriott requires us to pay Marriott a base management fee based on the gross revenues from the applicable property for each fiscal year or portion thereof. The applicable percentage for our Gaylord Hotels properties, excluding Gaylord Rockies, is approximately 2% of gross revenues, Gaylord Rockies is approximately 3% of gross revenues, and JW Marriott Hill Country is approximately 3.5% of gross revenues. Additionally, we pay Marriott an incentive management fee based on the profitability of our hotels. In the three months ended June 30, 2024 and 2023, we incurred $12.3 million and $9.2 million, respectively, and in the six months ended June 30, 2024 and 2023, we incurred $23.0 million and $18.4 million, respectively, related to base management fees for our Hospitality segment. In the three months ended June 30, 2024 and 2023, we incurred $10.0 million and $7.0 million, respectively, and in the six months ended June 30, 2024 and 2023, we incurred $17.9 million and $13.8 million, respectively, related to incentive management fees for our Hospitality segment. Management fees are presented throughout this Quarterly Report on Form 10-Q net of the amortization of the deferred management rights proceeds discussed in Note 8, “Deferred Management Rights Proceeds,” to the accompanying condensed consolidated financial statements included herein.</w:t>
      </w:r>
    </w:p>
    <w:p>
      <w:pPr>
        <w:spacing w:after="0" w:line="149" w:lineRule="exact"/>
        <w:rPr>
          <w:sz w:val="20"/>
          <w:szCs w:val="20"/>
          <w:color w:val="auto"/>
        </w:rPr>
      </w:pPr>
    </w:p>
    <w:p>
      <w:pPr>
        <w:ind w:left="60" w:right="339"/>
        <w:spacing w:after="0" w:line="266" w:lineRule="auto"/>
        <w:rPr>
          <w:sz w:val="20"/>
          <w:szCs w:val="20"/>
          <w:color w:val="auto"/>
        </w:rPr>
      </w:pPr>
      <w:r>
        <w:rPr>
          <w:rFonts w:ascii="Times New Roman" w:cs="Times New Roman" w:eastAsia="Times New Roman" w:hAnsi="Times New Roman"/>
          <w:sz w:val="18"/>
          <w:szCs w:val="18"/>
          <w:color w:val="auto"/>
        </w:rPr>
        <w:t>Total Hospitality segment depreciation and amortization expense increased in the three and six months ended June 30, 2024, as compared to the same periods in 2023, primarily due to the depreciable assets associated with JW Marriott Hill Country, which we purchased on June 30, 2023.</w:t>
      </w:r>
    </w:p>
    <w:p>
      <w:pPr>
        <w:spacing w:after="0" w:line="133" w:lineRule="exact"/>
        <w:rPr>
          <w:sz w:val="20"/>
          <w:szCs w:val="20"/>
          <w:color w:val="auto"/>
        </w:rPr>
      </w:pPr>
    </w:p>
    <w:p>
      <w:pPr>
        <w:ind w:left="60" w:right="55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Property-Level Results. </w:t>
      </w:r>
      <w:r>
        <w:rPr>
          <w:rFonts w:ascii="Times New Roman" w:cs="Times New Roman" w:eastAsia="Times New Roman" w:hAnsi="Times New Roman"/>
          <w:sz w:val="18"/>
          <w:szCs w:val="18"/>
          <w:color w:val="auto"/>
        </w:rPr>
        <w:t>The following presents the property-level financial results of our Hospitality segment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and six months ended June 30, 2024 and 2023.</w:t>
      </w:r>
    </w:p>
    <w:p>
      <w:pPr>
        <w:spacing w:after="0" w:line="158" w:lineRule="exact"/>
        <w:rPr>
          <w:sz w:val="20"/>
          <w:szCs w:val="20"/>
          <w:color w:val="auto"/>
        </w:rPr>
      </w:pPr>
    </w:p>
    <w:p>
      <w:pPr>
        <w:ind w:left="60" w:right="7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Gaylord Opryland Results. </w:t>
      </w:r>
      <w:r>
        <w:rPr>
          <w:rFonts w:ascii="Times New Roman" w:cs="Times New Roman" w:eastAsia="Times New Roman" w:hAnsi="Times New Roman"/>
          <w:sz w:val="18"/>
          <w:szCs w:val="18"/>
          <w:color w:val="auto"/>
        </w:rPr>
        <w:t>The results of Gaylord Opryland for the three and six months ended June 30, 2024 and 2023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follows (in thousands, except percentages and performance metrics):</w:t>
      </w:r>
    </w:p>
    <w:p>
      <w:pPr>
        <w:spacing w:after="0" w:line="12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6"/>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6"/>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5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6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0"/>
                <w:szCs w:val="10"/>
                <w:color w:val="auto"/>
              </w:rPr>
            </w:pPr>
          </w:p>
        </w:tc>
        <w:tc>
          <w:tcPr>
            <w:tcW w:w="460" w:type="dxa"/>
            <w:vAlign w:val="bottom"/>
          </w:tcPr>
          <w:p>
            <w:pPr>
              <w:jc w:val="right"/>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0"/>
                <w:szCs w:val="10"/>
                <w:color w:val="auto"/>
              </w:rPr>
            </w:pPr>
          </w:p>
        </w:tc>
        <w:tc>
          <w:tcPr>
            <w:tcW w:w="480" w:type="dxa"/>
            <w:vAlign w:val="bottom"/>
          </w:tcPr>
          <w:p>
            <w:pPr>
              <w:jc w:val="right"/>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Rooms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51,733</w:t>
            </w:r>
          </w:p>
        </w:tc>
        <w:tc>
          <w:tcPr>
            <w:tcW w:w="16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47,142</w:t>
            </w:r>
          </w:p>
        </w:tc>
        <w:tc>
          <w:tcPr>
            <w:tcW w:w="22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9.7 %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93,678</w:t>
            </w:r>
          </w:p>
        </w:tc>
        <w:tc>
          <w:tcPr>
            <w:tcW w:w="16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92,473</w:t>
            </w:r>
          </w:p>
        </w:tc>
        <w:tc>
          <w:tcPr>
            <w:tcW w:w="22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1.3 %</w:t>
            </w:r>
          </w:p>
        </w:tc>
        <w:tc>
          <w:tcPr>
            <w:tcW w:w="0" w:type="dxa"/>
            <w:vAlign w:val="bottom"/>
          </w:tcPr>
          <w:p>
            <w:pPr>
              <w:spacing w:after="0"/>
              <w:rPr>
                <w:sz w:val="1"/>
                <w:szCs w:val="1"/>
                <w:color w:val="auto"/>
              </w:rPr>
            </w:pPr>
          </w:p>
        </w:tc>
      </w:tr>
      <w:tr>
        <w:trPr>
          <w:trHeight w:val="203"/>
        </w:trPr>
        <w:tc>
          <w:tcPr>
            <w:tcW w:w="3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Food and beverage</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60,833</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45,206</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34.6 %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106,759</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95,303</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12.0 %</w:t>
            </w:r>
          </w:p>
        </w:tc>
        <w:tc>
          <w:tcPr>
            <w:tcW w:w="0" w:type="dxa"/>
            <w:vAlign w:val="bottom"/>
          </w:tcPr>
          <w:p>
            <w:pPr>
              <w:spacing w:after="0"/>
              <w:rPr>
                <w:sz w:val="1"/>
                <w:szCs w:val="1"/>
                <w:color w:val="auto"/>
              </w:rPr>
            </w:pPr>
          </w:p>
        </w:tc>
      </w:tr>
      <w:tr>
        <w:trPr>
          <w:trHeight w:val="203"/>
        </w:trPr>
        <w:tc>
          <w:tcPr>
            <w:tcW w:w="35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 hotel revenue</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17,786</w:t>
            </w:r>
          </w:p>
        </w:tc>
        <w:tc>
          <w:tcPr>
            <w:tcW w:w="1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18,127</w:t>
            </w:r>
          </w:p>
        </w:tc>
        <w:tc>
          <w:tcPr>
            <w:tcW w:w="22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33,750</w:t>
            </w:r>
          </w:p>
        </w:tc>
        <w:tc>
          <w:tcPr>
            <w:tcW w:w="1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34,505</w:t>
            </w:r>
          </w:p>
        </w:tc>
        <w:tc>
          <w:tcPr>
            <w:tcW w:w="22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196"/>
        </w:trPr>
        <w:tc>
          <w:tcPr>
            <w:tcW w:w="3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130,352</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110,475</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18.0 %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234,187</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222,281</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5.4 %</w:t>
            </w:r>
          </w:p>
        </w:tc>
        <w:tc>
          <w:tcPr>
            <w:tcW w:w="0" w:type="dxa"/>
            <w:vAlign w:val="bottom"/>
          </w:tcPr>
          <w:p>
            <w:pPr>
              <w:spacing w:after="0"/>
              <w:rPr>
                <w:sz w:val="1"/>
                <w:szCs w:val="1"/>
                <w:color w:val="auto"/>
              </w:rPr>
            </w:pPr>
          </w:p>
        </w:tc>
      </w:tr>
      <w:tr>
        <w:trPr>
          <w:trHeight w:val="203"/>
        </w:trPr>
        <w:tc>
          <w:tcPr>
            <w:tcW w:w="3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Rooms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10,556</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10,270</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2.8 %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20,508</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20,630</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203"/>
        </w:trPr>
        <w:tc>
          <w:tcPr>
            <w:tcW w:w="3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Food and beverage</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28,981</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23,521</w:t>
            </w:r>
          </w:p>
        </w:tc>
        <w:tc>
          <w:tcPr>
            <w:tcW w:w="22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23.2 %</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55,124</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49,510</w:t>
            </w:r>
          </w:p>
        </w:tc>
        <w:tc>
          <w:tcPr>
            <w:tcW w:w="22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11.3 %</w:t>
            </w:r>
          </w:p>
        </w:tc>
        <w:tc>
          <w:tcPr>
            <w:tcW w:w="0" w:type="dxa"/>
            <w:vAlign w:val="bottom"/>
          </w:tcPr>
          <w:p>
            <w:pPr>
              <w:spacing w:after="0"/>
              <w:rPr>
                <w:sz w:val="1"/>
                <w:szCs w:val="1"/>
                <w:color w:val="auto"/>
              </w:rPr>
            </w:pPr>
          </w:p>
        </w:tc>
      </w:tr>
      <w:tr>
        <w:trPr>
          <w:trHeight w:val="203"/>
        </w:trPr>
        <w:tc>
          <w:tcPr>
            <w:tcW w:w="3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hotel expenses (1)</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25,093</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30,726</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(18.3)%</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54,685</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60,616</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(9.8)%</w:t>
            </w:r>
          </w:p>
        </w:tc>
        <w:tc>
          <w:tcPr>
            <w:tcW w:w="0" w:type="dxa"/>
            <w:vAlign w:val="bottom"/>
          </w:tcPr>
          <w:p>
            <w:pPr>
              <w:spacing w:after="0"/>
              <w:rPr>
                <w:sz w:val="1"/>
                <w:szCs w:val="1"/>
                <w:color w:val="auto"/>
              </w:rPr>
            </w:pPr>
          </w:p>
        </w:tc>
      </w:tr>
      <w:tr>
        <w:trPr>
          <w:trHeight w:val="203"/>
        </w:trPr>
        <w:tc>
          <w:tcPr>
            <w:tcW w:w="3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Management fees, net</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6,881</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5,435</w:t>
            </w:r>
          </w:p>
        </w:tc>
        <w:tc>
          <w:tcPr>
            <w:tcW w:w="22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26.6 %</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12,071</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10,753</w:t>
            </w:r>
          </w:p>
        </w:tc>
        <w:tc>
          <w:tcPr>
            <w:tcW w:w="22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12.3 %</w:t>
            </w:r>
          </w:p>
        </w:tc>
        <w:tc>
          <w:tcPr>
            <w:tcW w:w="0" w:type="dxa"/>
            <w:vAlign w:val="bottom"/>
          </w:tcPr>
          <w:p>
            <w:pPr>
              <w:spacing w:after="0"/>
              <w:rPr>
                <w:sz w:val="1"/>
                <w:szCs w:val="1"/>
                <w:color w:val="auto"/>
              </w:rPr>
            </w:pPr>
          </w:p>
        </w:tc>
      </w:tr>
      <w:tr>
        <w:trPr>
          <w:trHeight w:val="203"/>
        </w:trPr>
        <w:tc>
          <w:tcPr>
            <w:tcW w:w="3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8,199</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8,512</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16,332</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17,066</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196"/>
        </w:trPr>
        <w:tc>
          <w:tcPr>
            <w:tcW w:w="35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79,710</w:t>
            </w:r>
          </w:p>
        </w:tc>
        <w:tc>
          <w:tcPr>
            <w:tcW w:w="1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78,464</w:t>
            </w:r>
          </w:p>
        </w:tc>
        <w:tc>
          <w:tcPr>
            <w:tcW w:w="22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1.6 %</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158,720</w:t>
            </w:r>
          </w:p>
        </w:tc>
        <w:tc>
          <w:tcPr>
            <w:tcW w:w="1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158,575</w:t>
            </w:r>
          </w:p>
        </w:tc>
        <w:tc>
          <w:tcPr>
            <w:tcW w:w="22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0.1 %</w:t>
            </w:r>
          </w:p>
        </w:tc>
        <w:tc>
          <w:tcPr>
            <w:tcW w:w="0" w:type="dxa"/>
            <w:vAlign w:val="bottom"/>
          </w:tcPr>
          <w:p>
            <w:pPr>
              <w:spacing w:after="0"/>
              <w:rPr>
                <w:sz w:val="1"/>
                <w:szCs w:val="1"/>
                <w:color w:val="auto"/>
              </w:rPr>
            </w:pPr>
          </w:p>
        </w:tc>
      </w:tr>
      <w:tr>
        <w:trPr>
          <w:trHeight w:val="196"/>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50,642</w:t>
            </w:r>
          </w:p>
        </w:tc>
        <w:tc>
          <w:tcPr>
            <w:tcW w:w="1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32,011</w:t>
            </w:r>
          </w:p>
        </w:tc>
        <w:tc>
          <w:tcPr>
            <w:tcW w:w="2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58.2 %</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75,467</w:t>
            </w:r>
          </w:p>
        </w:tc>
        <w:tc>
          <w:tcPr>
            <w:tcW w:w="1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63,706</w:t>
            </w:r>
          </w:p>
        </w:tc>
        <w:tc>
          <w:tcPr>
            <w:tcW w:w="2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18.5 %</w:t>
            </w:r>
          </w:p>
        </w:tc>
        <w:tc>
          <w:tcPr>
            <w:tcW w:w="0" w:type="dxa"/>
            <w:vAlign w:val="bottom"/>
          </w:tcPr>
          <w:p>
            <w:pPr>
              <w:spacing w:after="0"/>
              <w:rPr>
                <w:sz w:val="1"/>
                <w:szCs w:val="1"/>
                <w:color w:val="auto"/>
              </w:rPr>
            </w:pPr>
          </w:p>
        </w:tc>
      </w:tr>
      <w:tr>
        <w:trPr>
          <w:trHeight w:val="20"/>
        </w:trPr>
        <w:tc>
          <w:tcPr>
            <w:tcW w:w="35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Performance metrics:</w:t>
            </w: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Occupancy</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75.4 %</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71.2 %</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4.2 pts</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70.2 %</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71.9 %</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(1.7)pts</w:t>
            </w:r>
          </w:p>
        </w:tc>
        <w:tc>
          <w:tcPr>
            <w:tcW w:w="0" w:type="dxa"/>
            <w:vAlign w:val="bottom"/>
          </w:tcPr>
          <w:p>
            <w:pPr>
              <w:spacing w:after="0"/>
              <w:rPr>
                <w:sz w:val="1"/>
                <w:szCs w:val="1"/>
                <w:color w:val="auto"/>
              </w:rPr>
            </w:pPr>
          </w:p>
        </w:tc>
      </w:tr>
      <w:tr>
        <w:trPr>
          <w:trHeight w:val="203"/>
        </w:trPr>
        <w:tc>
          <w:tcPr>
            <w:tcW w:w="3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ADR</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260.98</w:t>
            </w:r>
          </w:p>
        </w:tc>
        <w:tc>
          <w:tcPr>
            <w:tcW w:w="16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252.01</w:t>
            </w:r>
          </w:p>
        </w:tc>
        <w:tc>
          <w:tcPr>
            <w:tcW w:w="22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3.6 %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253.71</w:t>
            </w:r>
          </w:p>
        </w:tc>
        <w:tc>
          <w:tcPr>
            <w:tcW w:w="16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246.07</w:t>
            </w:r>
          </w:p>
        </w:tc>
        <w:tc>
          <w:tcPr>
            <w:tcW w:w="22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3.1 %</w:t>
            </w:r>
          </w:p>
        </w:tc>
        <w:tc>
          <w:tcPr>
            <w:tcW w:w="0" w:type="dxa"/>
            <w:vAlign w:val="bottom"/>
          </w:tcPr>
          <w:p>
            <w:pPr>
              <w:spacing w:after="0"/>
              <w:rPr>
                <w:sz w:val="1"/>
                <w:szCs w:val="1"/>
                <w:color w:val="auto"/>
              </w:rPr>
            </w:pPr>
          </w:p>
        </w:tc>
      </w:tr>
      <w:tr>
        <w:trPr>
          <w:trHeight w:val="203"/>
        </w:trPr>
        <w:tc>
          <w:tcPr>
            <w:tcW w:w="3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RevPAR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196.85</w:t>
            </w:r>
          </w:p>
        </w:tc>
        <w:tc>
          <w:tcPr>
            <w:tcW w:w="16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179.38</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9.7 %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178.23</w:t>
            </w:r>
          </w:p>
        </w:tc>
        <w:tc>
          <w:tcPr>
            <w:tcW w:w="16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176.90</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0.8 %</w:t>
            </w:r>
          </w:p>
        </w:tc>
        <w:tc>
          <w:tcPr>
            <w:tcW w:w="0" w:type="dxa"/>
            <w:vAlign w:val="bottom"/>
          </w:tcPr>
          <w:p>
            <w:pPr>
              <w:spacing w:after="0"/>
              <w:rPr>
                <w:sz w:val="1"/>
                <w:szCs w:val="1"/>
                <w:color w:val="auto"/>
              </w:rPr>
            </w:pPr>
          </w:p>
        </w:tc>
      </w:tr>
      <w:tr>
        <w:trPr>
          <w:trHeight w:val="210"/>
        </w:trPr>
        <w:tc>
          <w:tcPr>
            <w:tcW w:w="3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RevPAR</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496.00</w:t>
            </w:r>
          </w:p>
        </w:tc>
        <w:tc>
          <w:tcPr>
            <w:tcW w:w="1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420.36</w:t>
            </w:r>
          </w:p>
        </w:tc>
        <w:tc>
          <w:tcPr>
            <w:tcW w:w="2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18.0 %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445.55</w:t>
            </w:r>
          </w:p>
        </w:tc>
        <w:tc>
          <w:tcPr>
            <w:tcW w:w="1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425.23</w:t>
            </w:r>
          </w:p>
        </w:tc>
        <w:tc>
          <w:tcPr>
            <w:tcW w:w="2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4.8 %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63500</wp:posOffset>
            </wp:positionV>
            <wp:extent cx="141414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70" w:lineRule="exact"/>
        <w:rPr>
          <w:sz w:val="20"/>
          <w:szCs w:val="20"/>
          <w:color w:val="auto"/>
        </w:rPr>
      </w:pPr>
    </w:p>
    <w:p>
      <w:pPr>
        <w:ind w:left="720" w:right="179" w:hanging="319"/>
        <w:spacing w:after="0" w:line="282"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for the 2024 periods were reduced by a refund of $5.4 million of Tennessee franchise tax for prior years caused by a change in tax law.</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35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Gaylord Palms Results. </w:t>
      </w:r>
      <w:r>
        <w:rPr>
          <w:rFonts w:ascii="Times New Roman" w:cs="Times New Roman" w:eastAsia="Times New Roman" w:hAnsi="Times New Roman"/>
          <w:sz w:val="18"/>
          <w:szCs w:val="18"/>
          <w:color w:val="auto"/>
        </w:rPr>
        <w:t>The results of Gaylord Palms for the three and six months ended June 30, 2024 and 2023 are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follows (in thousands, except percentages and performance metrics):</w:t>
      </w:r>
    </w:p>
    <w:p>
      <w:pPr>
        <w:spacing w:after="0" w:line="12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8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20" w:type="dxa"/>
            <w:vAlign w:val="bottom"/>
            <w:gridSpan w:val="8"/>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6"/>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4"/>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880" w:type="dxa"/>
            <w:vAlign w:val="bottom"/>
          </w:tcPr>
          <w:p>
            <w:pPr>
              <w:spacing w:after="0"/>
              <w:rPr>
                <w:sz w:val="10"/>
                <w:szCs w:val="10"/>
                <w:color w:val="auto"/>
              </w:rPr>
            </w:pPr>
          </w:p>
        </w:tc>
        <w:tc>
          <w:tcPr>
            <w:tcW w:w="1420" w:type="dxa"/>
            <w:vAlign w:val="bottom"/>
            <w:gridSpan w:val="2"/>
            <w:vMerge w:val="restart"/>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0"/>
                <w:szCs w:val="10"/>
                <w:color w:val="auto"/>
              </w:rPr>
            </w:pPr>
          </w:p>
        </w:tc>
        <w:tc>
          <w:tcPr>
            <w:tcW w:w="700" w:type="dxa"/>
            <w:vAlign w:val="bottom"/>
            <w:gridSpan w:val="2"/>
            <w:vMerge w:val="restart"/>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0"/>
                <w:szCs w:val="10"/>
                <w:color w:val="auto"/>
              </w:rPr>
            </w:pPr>
          </w:p>
        </w:tc>
        <w:tc>
          <w:tcPr>
            <w:tcW w:w="520" w:type="dxa"/>
            <w:vAlign w:val="bottom"/>
            <w:gridSpan w:val="2"/>
          </w:tcPr>
          <w:p>
            <w:pPr>
              <w:jc w:val="right"/>
              <w:ind w:right="79"/>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0"/>
                <w:szCs w:val="10"/>
                <w:color w:val="auto"/>
              </w:rPr>
            </w:pPr>
          </w:p>
        </w:tc>
        <w:tc>
          <w:tcPr>
            <w:tcW w:w="480" w:type="dxa"/>
            <w:vAlign w:val="bottom"/>
          </w:tcPr>
          <w:p>
            <w:pPr>
              <w:jc w:val="right"/>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88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2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8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$ 23,016</w:t>
            </w:r>
          </w:p>
        </w:tc>
        <w:tc>
          <w:tcPr>
            <w:tcW w:w="14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$ 28,856</w:t>
            </w:r>
          </w:p>
        </w:tc>
        <w:tc>
          <w:tcPr>
            <w:tcW w:w="160" w:type="dxa"/>
            <w:vAlign w:val="bottom"/>
          </w:tcPr>
          <w:p>
            <w:pPr>
              <w:spacing w:after="0"/>
              <w:rPr>
                <w:sz w:val="17"/>
                <w:szCs w:val="17"/>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(20.2)%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54,266</w:t>
            </w:r>
          </w:p>
        </w:tc>
        <w:tc>
          <w:tcPr>
            <w:tcW w:w="16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60,520</w:t>
            </w:r>
          </w:p>
        </w:tc>
        <w:tc>
          <w:tcPr>
            <w:tcW w:w="2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(10.3)%</w:t>
            </w: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37,091</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36,852</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0.6 %</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82,541</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80,634</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2.4 %</w:t>
            </w:r>
          </w:p>
        </w:tc>
        <w:tc>
          <w:tcPr>
            <w:tcW w:w="0" w:type="dxa"/>
            <w:vAlign w:val="bottom"/>
          </w:tcPr>
          <w:p>
            <w:pPr>
              <w:spacing w:after="0"/>
              <w:rPr>
                <w:sz w:val="1"/>
                <w:szCs w:val="1"/>
                <w:color w:val="auto"/>
              </w:rPr>
            </w:pPr>
          </w:p>
        </w:tc>
      </w:tr>
      <w:tr>
        <w:trPr>
          <w:trHeight w:val="203"/>
        </w:trPr>
        <w:tc>
          <w:tcPr>
            <w:tcW w:w="2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hotel revenue</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8,692</w:t>
            </w:r>
          </w:p>
        </w:tc>
        <w:tc>
          <w:tcPr>
            <w:tcW w:w="14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8,121</w:t>
            </w:r>
          </w:p>
        </w:tc>
        <w:tc>
          <w:tcPr>
            <w:tcW w:w="160" w:type="dxa"/>
            <w:vAlign w:val="bottom"/>
          </w:tcPr>
          <w:p>
            <w:pPr>
              <w:spacing w:after="0"/>
              <w:rPr>
                <w:sz w:val="17"/>
                <w:szCs w:val="17"/>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7.0 %</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17,455</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17,221</w:t>
            </w:r>
          </w:p>
        </w:tc>
        <w:tc>
          <w:tcPr>
            <w:tcW w:w="2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1.4 %</w:t>
            </w:r>
          </w:p>
        </w:tc>
        <w:tc>
          <w:tcPr>
            <w:tcW w:w="0" w:type="dxa"/>
            <w:vAlign w:val="bottom"/>
          </w:tcPr>
          <w:p>
            <w:pPr>
              <w:spacing w:after="0"/>
              <w:rPr>
                <w:sz w:val="1"/>
                <w:szCs w:val="1"/>
                <w:color w:val="auto"/>
              </w:rPr>
            </w:pPr>
          </w:p>
        </w:tc>
      </w:tr>
      <w:tr>
        <w:trPr>
          <w:trHeight w:val="196"/>
        </w:trPr>
        <w:tc>
          <w:tcPr>
            <w:tcW w:w="28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8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68,799</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73,829</w:t>
            </w: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(6.8)%</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154,262</w:t>
            </w: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158,375</w:t>
            </w:r>
          </w:p>
        </w:tc>
        <w:tc>
          <w:tcPr>
            <w:tcW w:w="2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03"/>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5,954</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6,123</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12,636</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12,435</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1.6 %</w:t>
            </w:r>
          </w:p>
        </w:tc>
        <w:tc>
          <w:tcPr>
            <w:tcW w:w="0" w:type="dxa"/>
            <w:vAlign w:val="bottom"/>
          </w:tcPr>
          <w:p>
            <w:pPr>
              <w:spacing w:after="0"/>
              <w:rPr>
                <w:sz w:val="1"/>
                <w:szCs w:val="1"/>
                <w:color w:val="auto"/>
              </w:rPr>
            </w:pPr>
          </w:p>
        </w:tc>
      </w:tr>
      <w:tr>
        <w:trPr>
          <w:trHeight w:val="203"/>
        </w:trPr>
        <w:tc>
          <w:tcPr>
            <w:tcW w:w="2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19,613</w:t>
            </w:r>
          </w:p>
        </w:tc>
        <w:tc>
          <w:tcPr>
            <w:tcW w:w="14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19,299</w:t>
            </w:r>
          </w:p>
        </w:tc>
        <w:tc>
          <w:tcPr>
            <w:tcW w:w="160" w:type="dxa"/>
            <w:vAlign w:val="bottom"/>
          </w:tcPr>
          <w:p>
            <w:pPr>
              <w:spacing w:after="0"/>
              <w:rPr>
                <w:sz w:val="17"/>
                <w:szCs w:val="17"/>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1.6 %</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42,500</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40,487</w:t>
            </w:r>
          </w:p>
        </w:tc>
        <w:tc>
          <w:tcPr>
            <w:tcW w:w="2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5.0 %</w:t>
            </w: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hotel expenses</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20,978</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21,650</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42,758</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42,356</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0.9 %</w:t>
            </w:r>
          </w:p>
        </w:tc>
        <w:tc>
          <w:tcPr>
            <w:tcW w:w="0" w:type="dxa"/>
            <w:vAlign w:val="bottom"/>
          </w:tcPr>
          <w:p>
            <w:pPr>
              <w:spacing w:after="0"/>
              <w:rPr>
                <w:sz w:val="1"/>
                <w:szCs w:val="1"/>
                <w:color w:val="auto"/>
              </w:rPr>
            </w:pPr>
          </w:p>
        </w:tc>
      </w:tr>
      <w:tr>
        <w:trPr>
          <w:trHeight w:val="203"/>
        </w:trPr>
        <w:tc>
          <w:tcPr>
            <w:tcW w:w="2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Management fees, net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2,886</w:t>
            </w:r>
          </w:p>
        </w:tc>
        <w:tc>
          <w:tcPr>
            <w:tcW w:w="14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2,892</w:t>
            </w:r>
          </w:p>
        </w:tc>
        <w:tc>
          <w:tcPr>
            <w:tcW w:w="160" w:type="dxa"/>
            <w:vAlign w:val="bottom"/>
          </w:tcPr>
          <w:p>
            <w:pPr>
              <w:spacing w:after="0"/>
              <w:rPr>
                <w:sz w:val="17"/>
                <w:szCs w:val="17"/>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(0.2)%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6,123</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5,988</w:t>
            </w:r>
          </w:p>
        </w:tc>
        <w:tc>
          <w:tcPr>
            <w:tcW w:w="2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2.3 %</w:t>
            </w: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5,889</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5,543</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6.2 %</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11,760</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11,153</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5.4 %</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800" w:type="dxa"/>
            <w:vAlign w:val="bottom"/>
            <w:tcBorders>
              <w:bottom w:val="single" w:sz="8" w:color="CCEEFF"/>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55,320</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55,507</w:t>
            </w:r>
          </w:p>
        </w:tc>
        <w:tc>
          <w:tcPr>
            <w:tcW w:w="16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(0.3)%</w:t>
            </w:r>
          </w:p>
        </w:tc>
        <w:tc>
          <w:tcPr>
            <w:tcW w:w="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115,777</w:t>
            </w:r>
          </w:p>
        </w:tc>
        <w:tc>
          <w:tcPr>
            <w:tcW w:w="1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112,419</w:t>
            </w:r>
          </w:p>
        </w:tc>
        <w:tc>
          <w:tcPr>
            <w:tcW w:w="22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3.0 %</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8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$ 13,479</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$ 18,322</w:t>
            </w:r>
          </w:p>
        </w:tc>
        <w:tc>
          <w:tcPr>
            <w:tcW w:w="1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(26.4)%</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38,485</w:t>
            </w:r>
          </w:p>
        </w:tc>
        <w:tc>
          <w:tcPr>
            <w:tcW w:w="1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45,956</w:t>
            </w:r>
          </w:p>
        </w:tc>
        <w:tc>
          <w:tcPr>
            <w:tcW w:w="2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(16.3)%</w:t>
            </w:r>
          </w:p>
        </w:tc>
        <w:tc>
          <w:tcPr>
            <w:tcW w:w="0" w:type="dxa"/>
            <w:vAlign w:val="bottom"/>
          </w:tcPr>
          <w:p>
            <w:pPr>
              <w:spacing w:after="0"/>
              <w:rPr>
                <w:sz w:val="1"/>
                <w:szCs w:val="1"/>
                <w:color w:val="auto"/>
              </w:rPr>
            </w:pPr>
          </w:p>
        </w:tc>
      </w:tr>
      <w:tr>
        <w:trPr>
          <w:trHeight w:val="20"/>
        </w:trPr>
        <w:tc>
          <w:tcPr>
            <w:tcW w:w="28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Performance metrics:</w:t>
            </w:r>
          </w:p>
        </w:tc>
        <w:tc>
          <w:tcPr>
            <w:tcW w:w="8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88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Occupancy</w:t>
            </w:r>
          </w:p>
        </w:tc>
        <w:tc>
          <w:tcPr>
            <w:tcW w:w="1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62.5 %</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75.8 %</w:t>
            </w:r>
          </w:p>
        </w:tc>
        <w:tc>
          <w:tcPr>
            <w:tcW w:w="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(13.3)pts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68.5 %</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77.6 %</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(9.1)pts</w:t>
            </w:r>
          </w:p>
        </w:tc>
        <w:tc>
          <w:tcPr>
            <w:tcW w:w="0" w:type="dxa"/>
            <w:vAlign w:val="bottom"/>
          </w:tcPr>
          <w:p>
            <w:pPr>
              <w:spacing w:after="0"/>
              <w:rPr>
                <w:sz w:val="1"/>
                <w:szCs w:val="1"/>
                <w:color w:val="auto"/>
              </w:rPr>
            </w:pPr>
          </w:p>
        </w:tc>
      </w:tr>
      <w:tr>
        <w:trPr>
          <w:trHeight w:val="203"/>
        </w:trPr>
        <w:tc>
          <w:tcPr>
            <w:tcW w:w="2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ADR</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$ 235.54</w:t>
            </w:r>
          </w:p>
        </w:tc>
        <w:tc>
          <w:tcPr>
            <w:tcW w:w="14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$ 243.55</w:t>
            </w:r>
          </w:p>
        </w:tc>
        <w:tc>
          <w:tcPr>
            <w:tcW w:w="160" w:type="dxa"/>
            <w:vAlign w:val="bottom"/>
          </w:tcPr>
          <w:p>
            <w:pPr>
              <w:spacing w:after="0"/>
              <w:rPr>
                <w:sz w:val="17"/>
                <w:szCs w:val="17"/>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(3.3)%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253.19</w:t>
            </w:r>
          </w:p>
        </w:tc>
        <w:tc>
          <w:tcPr>
            <w:tcW w:w="16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250.74</w:t>
            </w:r>
          </w:p>
        </w:tc>
        <w:tc>
          <w:tcPr>
            <w:tcW w:w="2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1.0 %</w:t>
            </w: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RevPAR</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$ 147.22</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$ 184.58</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(20.2)%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173.55</w:t>
            </w:r>
          </w:p>
        </w:tc>
        <w:tc>
          <w:tcPr>
            <w:tcW w:w="16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194.62</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(10.8)%</w:t>
            </w:r>
          </w:p>
        </w:tc>
        <w:tc>
          <w:tcPr>
            <w:tcW w:w="0" w:type="dxa"/>
            <w:vAlign w:val="bottom"/>
          </w:tcPr>
          <w:p>
            <w:pPr>
              <w:spacing w:after="0"/>
              <w:rPr>
                <w:sz w:val="1"/>
                <w:szCs w:val="1"/>
                <w:color w:val="auto"/>
              </w:rPr>
            </w:pPr>
          </w:p>
        </w:tc>
      </w:tr>
      <w:tr>
        <w:trPr>
          <w:trHeight w:val="210"/>
        </w:trPr>
        <w:tc>
          <w:tcPr>
            <w:tcW w:w="2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 RevPAR</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$ 440.07</w:t>
            </w: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$ 472.24</w:t>
            </w:r>
          </w:p>
        </w:tc>
        <w:tc>
          <w:tcPr>
            <w:tcW w:w="160" w:type="dxa"/>
            <w:vAlign w:val="bottom"/>
          </w:tcPr>
          <w:p>
            <w:pPr>
              <w:spacing w:after="0"/>
              <w:rPr>
                <w:sz w:val="18"/>
                <w:szCs w:val="18"/>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(6.8)%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493.36</w:t>
            </w:r>
          </w:p>
        </w:tc>
        <w:tc>
          <w:tcPr>
            <w:tcW w:w="1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509.31</w:t>
            </w:r>
          </w:p>
        </w:tc>
        <w:tc>
          <w:tcPr>
            <w:tcW w:w="2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60" w:right="39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Gaylord Texan Results. </w:t>
      </w:r>
      <w:r>
        <w:rPr>
          <w:rFonts w:ascii="Times New Roman" w:cs="Times New Roman" w:eastAsia="Times New Roman" w:hAnsi="Times New Roman"/>
          <w:sz w:val="18"/>
          <w:szCs w:val="18"/>
          <w:color w:val="auto"/>
        </w:rPr>
        <w:t>The results of Gaylord Texan for the three and six months ended June 30, 2024 and 2023 are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follows (in thousands, except percentages and performance metrics):</w:t>
      </w:r>
    </w:p>
    <w:p>
      <w:pPr>
        <w:spacing w:after="0" w:line="11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8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20" w:type="dxa"/>
            <w:vAlign w:val="bottom"/>
            <w:gridSpan w:val="8"/>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6"/>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4"/>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880" w:type="dxa"/>
            <w:vAlign w:val="bottom"/>
          </w:tcPr>
          <w:p>
            <w:pPr>
              <w:spacing w:after="0"/>
              <w:rPr>
                <w:sz w:val="10"/>
                <w:szCs w:val="10"/>
                <w:color w:val="auto"/>
              </w:rPr>
            </w:pPr>
          </w:p>
        </w:tc>
        <w:tc>
          <w:tcPr>
            <w:tcW w:w="1420" w:type="dxa"/>
            <w:vAlign w:val="bottom"/>
            <w:gridSpan w:val="2"/>
            <w:vMerge w:val="restart"/>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0"/>
                <w:szCs w:val="10"/>
                <w:color w:val="auto"/>
              </w:rPr>
            </w:pPr>
          </w:p>
        </w:tc>
        <w:tc>
          <w:tcPr>
            <w:tcW w:w="700" w:type="dxa"/>
            <w:vAlign w:val="bottom"/>
            <w:gridSpan w:val="2"/>
            <w:vMerge w:val="restart"/>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0"/>
                <w:szCs w:val="10"/>
                <w:color w:val="auto"/>
              </w:rPr>
            </w:pPr>
          </w:p>
        </w:tc>
        <w:tc>
          <w:tcPr>
            <w:tcW w:w="520" w:type="dxa"/>
            <w:vAlign w:val="bottom"/>
            <w:gridSpan w:val="2"/>
          </w:tcPr>
          <w:p>
            <w:pPr>
              <w:jc w:val="right"/>
              <w:ind w:right="79"/>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0"/>
                <w:szCs w:val="10"/>
                <w:color w:val="auto"/>
              </w:rPr>
            </w:pPr>
          </w:p>
        </w:tc>
        <w:tc>
          <w:tcPr>
            <w:tcW w:w="480" w:type="dxa"/>
            <w:vAlign w:val="bottom"/>
          </w:tcPr>
          <w:p>
            <w:pPr>
              <w:jc w:val="right"/>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88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2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8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$ 32,880</w:t>
            </w:r>
          </w:p>
        </w:tc>
        <w:tc>
          <w:tcPr>
            <w:tcW w:w="14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$ 29,133</w:t>
            </w:r>
          </w:p>
        </w:tc>
        <w:tc>
          <w:tcPr>
            <w:tcW w:w="160" w:type="dxa"/>
            <w:vAlign w:val="bottom"/>
          </w:tcPr>
          <w:p>
            <w:pPr>
              <w:spacing w:after="0"/>
              <w:rPr>
                <w:sz w:val="17"/>
                <w:szCs w:val="17"/>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12.9 %</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61,858</w:t>
            </w:r>
          </w:p>
        </w:tc>
        <w:tc>
          <w:tcPr>
            <w:tcW w:w="16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58,177</w:t>
            </w:r>
          </w:p>
        </w:tc>
        <w:tc>
          <w:tcPr>
            <w:tcW w:w="2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6.3 %</w:t>
            </w: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42,364</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42,966</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89,908</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92,308</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03"/>
        </w:trPr>
        <w:tc>
          <w:tcPr>
            <w:tcW w:w="2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hotel revenue</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8,653</w:t>
            </w:r>
          </w:p>
        </w:tc>
        <w:tc>
          <w:tcPr>
            <w:tcW w:w="14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9,380</w:t>
            </w:r>
          </w:p>
        </w:tc>
        <w:tc>
          <w:tcPr>
            <w:tcW w:w="160" w:type="dxa"/>
            <w:vAlign w:val="bottom"/>
          </w:tcPr>
          <w:p>
            <w:pPr>
              <w:spacing w:after="0"/>
              <w:rPr>
                <w:sz w:val="17"/>
                <w:szCs w:val="17"/>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(7.8)%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17,033</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17,392</w:t>
            </w:r>
          </w:p>
        </w:tc>
        <w:tc>
          <w:tcPr>
            <w:tcW w:w="2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196"/>
        </w:trPr>
        <w:tc>
          <w:tcPr>
            <w:tcW w:w="28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8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83,897</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81,479</w:t>
            </w: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3.0 %</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168,799</w:t>
            </w: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167,877</w:t>
            </w:r>
          </w:p>
        </w:tc>
        <w:tc>
          <w:tcPr>
            <w:tcW w:w="2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0.5 %</w:t>
            </w:r>
          </w:p>
        </w:tc>
        <w:tc>
          <w:tcPr>
            <w:tcW w:w="0" w:type="dxa"/>
            <w:vAlign w:val="bottom"/>
          </w:tcPr>
          <w:p>
            <w:pPr>
              <w:spacing w:after="0"/>
              <w:rPr>
                <w:sz w:val="1"/>
                <w:szCs w:val="1"/>
                <w:color w:val="auto"/>
              </w:rPr>
            </w:pPr>
          </w:p>
        </w:tc>
      </w:tr>
      <w:tr>
        <w:trPr>
          <w:trHeight w:val="203"/>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6,476</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6,345</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2.1 %</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12,931</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12,747</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1.4 %</w:t>
            </w:r>
          </w:p>
        </w:tc>
        <w:tc>
          <w:tcPr>
            <w:tcW w:w="0" w:type="dxa"/>
            <w:vAlign w:val="bottom"/>
          </w:tcPr>
          <w:p>
            <w:pPr>
              <w:spacing w:after="0"/>
              <w:rPr>
                <w:sz w:val="1"/>
                <w:szCs w:val="1"/>
                <w:color w:val="auto"/>
              </w:rPr>
            </w:pPr>
          </w:p>
        </w:tc>
      </w:tr>
      <w:tr>
        <w:trPr>
          <w:trHeight w:val="203"/>
        </w:trPr>
        <w:tc>
          <w:tcPr>
            <w:tcW w:w="2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21,967</w:t>
            </w:r>
          </w:p>
        </w:tc>
        <w:tc>
          <w:tcPr>
            <w:tcW w:w="14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21,722</w:t>
            </w:r>
          </w:p>
        </w:tc>
        <w:tc>
          <w:tcPr>
            <w:tcW w:w="160" w:type="dxa"/>
            <w:vAlign w:val="bottom"/>
          </w:tcPr>
          <w:p>
            <w:pPr>
              <w:spacing w:after="0"/>
              <w:rPr>
                <w:sz w:val="17"/>
                <w:szCs w:val="17"/>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1.1 %</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46,066</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46,272</w:t>
            </w:r>
          </w:p>
        </w:tc>
        <w:tc>
          <w:tcPr>
            <w:tcW w:w="2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hotel expenses</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19,169</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18,017</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6.4 %</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37,843</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36,261</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4.4 %</w:t>
            </w:r>
          </w:p>
        </w:tc>
        <w:tc>
          <w:tcPr>
            <w:tcW w:w="0" w:type="dxa"/>
            <w:vAlign w:val="bottom"/>
          </w:tcPr>
          <w:p>
            <w:pPr>
              <w:spacing w:after="0"/>
              <w:rPr>
                <w:sz w:val="1"/>
                <w:szCs w:val="1"/>
                <w:color w:val="auto"/>
              </w:rPr>
            </w:pPr>
          </w:p>
        </w:tc>
      </w:tr>
      <w:tr>
        <w:trPr>
          <w:trHeight w:val="203"/>
        </w:trPr>
        <w:tc>
          <w:tcPr>
            <w:tcW w:w="2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Management fees, net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4,227</w:t>
            </w:r>
          </w:p>
        </w:tc>
        <w:tc>
          <w:tcPr>
            <w:tcW w:w="14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3,572</w:t>
            </w:r>
          </w:p>
        </w:tc>
        <w:tc>
          <w:tcPr>
            <w:tcW w:w="160" w:type="dxa"/>
            <w:vAlign w:val="bottom"/>
          </w:tcPr>
          <w:p>
            <w:pPr>
              <w:spacing w:after="0"/>
              <w:rPr>
                <w:sz w:val="17"/>
                <w:szCs w:val="17"/>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18.3 %</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7,978</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6,920</w:t>
            </w:r>
          </w:p>
        </w:tc>
        <w:tc>
          <w:tcPr>
            <w:tcW w:w="2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15.3 %</w:t>
            </w: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5,744</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5,718</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0.5 %</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11,635</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11,484</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1.3 %</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800" w:type="dxa"/>
            <w:vAlign w:val="bottom"/>
            <w:tcBorders>
              <w:bottom w:val="single" w:sz="8" w:color="CCEEFF"/>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57,583</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55,374</w:t>
            </w:r>
          </w:p>
        </w:tc>
        <w:tc>
          <w:tcPr>
            <w:tcW w:w="16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4.0 %</w:t>
            </w:r>
          </w:p>
        </w:tc>
        <w:tc>
          <w:tcPr>
            <w:tcW w:w="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116,453</w:t>
            </w:r>
          </w:p>
        </w:tc>
        <w:tc>
          <w:tcPr>
            <w:tcW w:w="1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113,684</w:t>
            </w:r>
          </w:p>
        </w:tc>
        <w:tc>
          <w:tcPr>
            <w:tcW w:w="22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2.4 %</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8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$ 26,314</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$ 26,105</w:t>
            </w:r>
          </w:p>
        </w:tc>
        <w:tc>
          <w:tcPr>
            <w:tcW w:w="1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0.8 %</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52,346</w:t>
            </w:r>
          </w:p>
        </w:tc>
        <w:tc>
          <w:tcPr>
            <w:tcW w:w="1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54,193</w:t>
            </w:r>
          </w:p>
        </w:tc>
        <w:tc>
          <w:tcPr>
            <w:tcW w:w="2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0"/>
        </w:trPr>
        <w:tc>
          <w:tcPr>
            <w:tcW w:w="28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Performance metrics:</w:t>
            </w:r>
          </w:p>
        </w:tc>
        <w:tc>
          <w:tcPr>
            <w:tcW w:w="8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88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Occupancy</w:t>
            </w:r>
          </w:p>
        </w:tc>
        <w:tc>
          <w:tcPr>
            <w:tcW w:w="1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78.8 %</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75.1 %</w:t>
            </w:r>
          </w:p>
        </w:tc>
        <w:tc>
          <w:tcPr>
            <w:tcW w:w="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3.7 pts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76.0 %</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76.1 %</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(0.1)pts</w:t>
            </w:r>
          </w:p>
        </w:tc>
        <w:tc>
          <w:tcPr>
            <w:tcW w:w="0" w:type="dxa"/>
            <w:vAlign w:val="bottom"/>
          </w:tcPr>
          <w:p>
            <w:pPr>
              <w:spacing w:after="0"/>
              <w:rPr>
                <w:sz w:val="1"/>
                <w:szCs w:val="1"/>
                <w:color w:val="auto"/>
              </w:rPr>
            </w:pPr>
          </w:p>
        </w:tc>
      </w:tr>
      <w:tr>
        <w:trPr>
          <w:trHeight w:val="203"/>
        </w:trPr>
        <w:tc>
          <w:tcPr>
            <w:tcW w:w="2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ADR</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$ 252.61</w:t>
            </w:r>
          </w:p>
        </w:tc>
        <w:tc>
          <w:tcPr>
            <w:tcW w:w="14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$ 234.86</w:t>
            </w:r>
          </w:p>
        </w:tc>
        <w:tc>
          <w:tcPr>
            <w:tcW w:w="160" w:type="dxa"/>
            <w:vAlign w:val="bottom"/>
          </w:tcPr>
          <w:p>
            <w:pPr>
              <w:spacing w:after="0"/>
              <w:rPr>
                <w:sz w:val="17"/>
                <w:szCs w:val="17"/>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7.6 %</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246.43</w:t>
            </w:r>
          </w:p>
        </w:tc>
        <w:tc>
          <w:tcPr>
            <w:tcW w:w="16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232.83</w:t>
            </w:r>
          </w:p>
        </w:tc>
        <w:tc>
          <w:tcPr>
            <w:tcW w:w="2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5.8 %</w:t>
            </w:r>
          </w:p>
        </w:tc>
        <w:tc>
          <w:tcPr>
            <w:tcW w:w="0" w:type="dxa"/>
            <w:vAlign w:val="bottom"/>
          </w:tcPr>
          <w:p>
            <w:pPr>
              <w:spacing w:after="0"/>
              <w:rPr>
                <w:sz w:val="1"/>
                <w:szCs w:val="1"/>
                <w:color w:val="auto"/>
              </w:rPr>
            </w:pPr>
          </w:p>
        </w:tc>
      </w:tr>
      <w:tr>
        <w:trPr>
          <w:trHeight w:val="202"/>
        </w:trPr>
        <w:tc>
          <w:tcPr>
            <w:tcW w:w="2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RevPAR</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$ 199.18</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$ 176.49</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12.9 %</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187.36</w:t>
            </w:r>
          </w:p>
        </w:tc>
        <w:tc>
          <w:tcPr>
            <w:tcW w:w="16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177.19</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5.7 %</w:t>
            </w:r>
          </w:p>
        </w:tc>
        <w:tc>
          <w:tcPr>
            <w:tcW w:w="0" w:type="dxa"/>
            <w:vAlign w:val="bottom"/>
          </w:tcPr>
          <w:p>
            <w:pPr>
              <w:spacing w:after="0"/>
              <w:rPr>
                <w:sz w:val="1"/>
                <w:szCs w:val="1"/>
                <w:color w:val="auto"/>
              </w:rPr>
            </w:pPr>
          </w:p>
        </w:tc>
      </w:tr>
      <w:tr>
        <w:trPr>
          <w:trHeight w:val="210"/>
        </w:trPr>
        <w:tc>
          <w:tcPr>
            <w:tcW w:w="2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 RevPAR</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$ 508.24</w:t>
            </w: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$ 493.59</w:t>
            </w:r>
          </w:p>
        </w:tc>
        <w:tc>
          <w:tcPr>
            <w:tcW w:w="160" w:type="dxa"/>
            <w:vAlign w:val="bottom"/>
          </w:tcPr>
          <w:p>
            <w:pPr>
              <w:spacing w:after="0"/>
              <w:rPr>
                <w:sz w:val="18"/>
                <w:szCs w:val="18"/>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3.0 %</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511.28</w:t>
            </w:r>
          </w:p>
        </w:tc>
        <w:tc>
          <w:tcPr>
            <w:tcW w:w="1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511.30</w:t>
            </w:r>
          </w:p>
        </w:tc>
        <w:tc>
          <w:tcPr>
            <w:tcW w:w="2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19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Gaylord National Results. </w:t>
      </w:r>
      <w:r>
        <w:rPr>
          <w:rFonts w:ascii="Times New Roman" w:cs="Times New Roman" w:eastAsia="Times New Roman" w:hAnsi="Times New Roman"/>
          <w:sz w:val="18"/>
          <w:szCs w:val="18"/>
          <w:color w:val="auto"/>
        </w:rPr>
        <w:t>The results of Gaylord National for the three and six months ended June 30, 2024 and 2023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follows (in thousands, except percentages and performance metrics):</w:t>
      </w:r>
    </w:p>
    <w:p>
      <w:pPr>
        <w:spacing w:after="0" w:line="12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8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20" w:type="dxa"/>
            <w:vAlign w:val="bottom"/>
            <w:gridSpan w:val="8"/>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6"/>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4"/>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880" w:type="dxa"/>
            <w:vAlign w:val="bottom"/>
          </w:tcPr>
          <w:p>
            <w:pPr>
              <w:spacing w:after="0"/>
              <w:rPr>
                <w:sz w:val="10"/>
                <w:szCs w:val="10"/>
                <w:color w:val="auto"/>
              </w:rPr>
            </w:pPr>
          </w:p>
        </w:tc>
        <w:tc>
          <w:tcPr>
            <w:tcW w:w="1420" w:type="dxa"/>
            <w:vAlign w:val="bottom"/>
            <w:gridSpan w:val="2"/>
            <w:vMerge w:val="restart"/>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0"/>
                <w:szCs w:val="10"/>
                <w:color w:val="auto"/>
              </w:rPr>
            </w:pPr>
          </w:p>
        </w:tc>
        <w:tc>
          <w:tcPr>
            <w:tcW w:w="700" w:type="dxa"/>
            <w:vAlign w:val="bottom"/>
            <w:gridSpan w:val="2"/>
            <w:vMerge w:val="restart"/>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0"/>
                <w:szCs w:val="10"/>
                <w:color w:val="auto"/>
              </w:rPr>
            </w:pPr>
          </w:p>
        </w:tc>
        <w:tc>
          <w:tcPr>
            <w:tcW w:w="520" w:type="dxa"/>
            <w:vAlign w:val="bottom"/>
            <w:gridSpan w:val="2"/>
          </w:tcPr>
          <w:p>
            <w:pPr>
              <w:jc w:val="right"/>
              <w:ind w:right="79"/>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0"/>
                <w:szCs w:val="10"/>
                <w:color w:val="auto"/>
              </w:rPr>
            </w:pPr>
          </w:p>
        </w:tc>
        <w:tc>
          <w:tcPr>
            <w:tcW w:w="480" w:type="dxa"/>
            <w:vAlign w:val="bottom"/>
          </w:tcPr>
          <w:p>
            <w:pPr>
              <w:jc w:val="right"/>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88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2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8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$ 33,947</w:t>
            </w:r>
          </w:p>
        </w:tc>
        <w:tc>
          <w:tcPr>
            <w:tcW w:w="14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$ 30,996</w:t>
            </w:r>
          </w:p>
        </w:tc>
        <w:tc>
          <w:tcPr>
            <w:tcW w:w="160" w:type="dxa"/>
            <w:vAlign w:val="bottom"/>
          </w:tcPr>
          <w:p>
            <w:pPr>
              <w:spacing w:after="0"/>
              <w:rPr>
                <w:sz w:val="17"/>
                <w:szCs w:val="17"/>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9.5 %</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61,588</w:t>
            </w:r>
          </w:p>
        </w:tc>
        <w:tc>
          <w:tcPr>
            <w:tcW w:w="16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59,995</w:t>
            </w:r>
          </w:p>
        </w:tc>
        <w:tc>
          <w:tcPr>
            <w:tcW w:w="2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2.7 %</w:t>
            </w: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47,444</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38,342</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23.7 %</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82,392</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74,960</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9.9 %</w:t>
            </w:r>
          </w:p>
        </w:tc>
        <w:tc>
          <w:tcPr>
            <w:tcW w:w="0" w:type="dxa"/>
            <w:vAlign w:val="bottom"/>
          </w:tcPr>
          <w:p>
            <w:pPr>
              <w:spacing w:after="0"/>
              <w:rPr>
                <w:sz w:val="1"/>
                <w:szCs w:val="1"/>
                <w:color w:val="auto"/>
              </w:rPr>
            </w:pPr>
          </w:p>
        </w:tc>
      </w:tr>
      <w:tr>
        <w:trPr>
          <w:trHeight w:val="203"/>
        </w:trPr>
        <w:tc>
          <w:tcPr>
            <w:tcW w:w="2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hotel revenue</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6,978</w:t>
            </w:r>
          </w:p>
        </w:tc>
        <w:tc>
          <w:tcPr>
            <w:tcW w:w="14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7,676</w:t>
            </w:r>
          </w:p>
        </w:tc>
        <w:tc>
          <w:tcPr>
            <w:tcW w:w="160" w:type="dxa"/>
            <w:vAlign w:val="bottom"/>
          </w:tcPr>
          <w:p>
            <w:pPr>
              <w:spacing w:after="0"/>
              <w:rPr>
                <w:sz w:val="17"/>
                <w:szCs w:val="17"/>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(9.1)%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12,663</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14,831</w:t>
            </w:r>
          </w:p>
        </w:tc>
        <w:tc>
          <w:tcPr>
            <w:tcW w:w="2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(14.6)%</w:t>
            </w:r>
          </w:p>
        </w:tc>
        <w:tc>
          <w:tcPr>
            <w:tcW w:w="0" w:type="dxa"/>
            <w:vAlign w:val="bottom"/>
          </w:tcPr>
          <w:p>
            <w:pPr>
              <w:spacing w:after="0"/>
              <w:rPr>
                <w:sz w:val="1"/>
                <w:szCs w:val="1"/>
                <w:color w:val="auto"/>
              </w:rPr>
            </w:pPr>
          </w:p>
        </w:tc>
      </w:tr>
      <w:tr>
        <w:trPr>
          <w:trHeight w:val="196"/>
        </w:trPr>
        <w:tc>
          <w:tcPr>
            <w:tcW w:w="28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8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88,369</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77,014</w:t>
            </w: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14.7 %</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156,643</w:t>
            </w: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149,786</w:t>
            </w:r>
          </w:p>
        </w:tc>
        <w:tc>
          <w:tcPr>
            <w:tcW w:w="2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4.6 %</w:t>
            </w:r>
          </w:p>
        </w:tc>
        <w:tc>
          <w:tcPr>
            <w:tcW w:w="0" w:type="dxa"/>
            <w:vAlign w:val="bottom"/>
          </w:tcPr>
          <w:p>
            <w:pPr>
              <w:spacing w:after="0"/>
              <w:rPr>
                <w:sz w:val="1"/>
                <w:szCs w:val="1"/>
                <w:color w:val="auto"/>
              </w:rPr>
            </w:pPr>
          </w:p>
        </w:tc>
      </w:tr>
      <w:tr>
        <w:trPr>
          <w:trHeight w:val="203"/>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10,332</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9,912</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4.2 %</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21,049</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21,471</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03"/>
        </w:trPr>
        <w:tc>
          <w:tcPr>
            <w:tcW w:w="2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24,016</w:t>
            </w:r>
          </w:p>
        </w:tc>
        <w:tc>
          <w:tcPr>
            <w:tcW w:w="14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21,991</w:t>
            </w:r>
          </w:p>
        </w:tc>
        <w:tc>
          <w:tcPr>
            <w:tcW w:w="160" w:type="dxa"/>
            <w:vAlign w:val="bottom"/>
          </w:tcPr>
          <w:p>
            <w:pPr>
              <w:spacing w:after="0"/>
              <w:rPr>
                <w:sz w:val="17"/>
                <w:szCs w:val="17"/>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9.2 %</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46,158</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44,494</w:t>
            </w:r>
          </w:p>
        </w:tc>
        <w:tc>
          <w:tcPr>
            <w:tcW w:w="2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3.7 %</w:t>
            </w: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hotel expenses</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21,346</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20,590</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3.7 %</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41,664</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41,697</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03"/>
        </w:trPr>
        <w:tc>
          <w:tcPr>
            <w:tcW w:w="2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Management fees, net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1,949</w:t>
            </w:r>
          </w:p>
        </w:tc>
        <w:tc>
          <w:tcPr>
            <w:tcW w:w="14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1,338</w:t>
            </w:r>
          </w:p>
        </w:tc>
        <w:tc>
          <w:tcPr>
            <w:tcW w:w="160" w:type="dxa"/>
            <w:vAlign w:val="bottom"/>
          </w:tcPr>
          <w:p>
            <w:pPr>
              <w:spacing w:after="0"/>
              <w:rPr>
                <w:sz w:val="17"/>
                <w:szCs w:val="17"/>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45.7 %</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3,422</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2,592</w:t>
            </w:r>
          </w:p>
        </w:tc>
        <w:tc>
          <w:tcPr>
            <w:tcW w:w="2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32.0 %</w:t>
            </w: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8,405</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8,257</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1.8 %</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16,806</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16,551</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1.5 %</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800" w:type="dxa"/>
            <w:vAlign w:val="bottom"/>
            <w:tcBorders>
              <w:bottom w:val="single" w:sz="8" w:color="CCEEFF"/>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66,048</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62,088</w:t>
            </w:r>
          </w:p>
        </w:tc>
        <w:tc>
          <w:tcPr>
            <w:tcW w:w="16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6.4 %</w:t>
            </w:r>
          </w:p>
        </w:tc>
        <w:tc>
          <w:tcPr>
            <w:tcW w:w="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129,099</w:t>
            </w:r>
          </w:p>
        </w:tc>
        <w:tc>
          <w:tcPr>
            <w:tcW w:w="1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126,805</w:t>
            </w:r>
          </w:p>
        </w:tc>
        <w:tc>
          <w:tcPr>
            <w:tcW w:w="22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1.8 %</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8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$ 22,321</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$ 14,926</w:t>
            </w:r>
          </w:p>
        </w:tc>
        <w:tc>
          <w:tcPr>
            <w:tcW w:w="1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49.5 %</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27,544</w:t>
            </w:r>
          </w:p>
        </w:tc>
        <w:tc>
          <w:tcPr>
            <w:tcW w:w="1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22,981</w:t>
            </w:r>
          </w:p>
        </w:tc>
        <w:tc>
          <w:tcPr>
            <w:tcW w:w="2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19.9 %</w:t>
            </w:r>
          </w:p>
        </w:tc>
        <w:tc>
          <w:tcPr>
            <w:tcW w:w="0" w:type="dxa"/>
            <w:vAlign w:val="bottom"/>
          </w:tcPr>
          <w:p>
            <w:pPr>
              <w:spacing w:after="0"/>
              <w:rPr>
                <w:sz w:val="1"/>
                <w:szCs w:val="1"/>
                <w:color w:val="auto"/>
              </w:rPr>
            </w:pPr>
          </w:p>
        </w:tc>
      </w:tr>
      <w:tr>
        <w:trPr>
          <w:trHeight w:val="20"/>
        </w:trPr>
        <w:tc>
          <w:tcPr>
            <w:tcW w:w="28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Performance metrics:</w:t>
            </w:r>
          </w:p>
        </w:tc>
        <w:tc>
          <w:tcPr>
            <w:tcW w:w="8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88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Occupancy</w:t>
            </w:r>
          </w:p>
        </w:tc>
        <w:tc>
          <w:tcPr>
            <w:tcW w:w="1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70.8 %</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67.8 %</w:t>
            </w:r>
          </w:p>
        </w:tc>
        <w:tc>
          <w:tcPr>
            <w:tcW w:w="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3.0 pts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67.6 %</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67.6 %</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 pts</w:t>
            </w:r>
          </w:p>
        </w:tc>
        <w:tc>
          <w:tcPr>
            <w:tcW w:w="0" w:type="dxa"/>
            <w:vAlign w:val="bottom"/>
          </w:tcPr>
          <w:p>
            <w:pPr>
              <w:spacing w:after="0"/>
              <w:rPr>
                <w:sz w:val="1"/>
                <w:szCs w:val="1"/>
                <w:color w:val="auto"/>
              </w:rPr>
            </w:pPr>
          </w:p>
        </w:tc>
      </w:tr>
      <w:tr>
        <w:trPr>
          <w:trHeight w:val="203"/>
        </w:trPr>
        <w:tc>
          <w:tcPr>
            <w:tcW w:w="2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ADR</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$ 263.88</w:t>
            </w:r>
          </w:p>
        </w:tc>
        <w:tc>
          <w:tcPr>
            <w:tcW w:w="14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$ 251.80</w:t>
            </w:r>
          </w:p>
        </w:tc>
        <w:tc>
          <w:tcPr>
            <w:tcW w:w="160" w:type="dxa"/>
            <w:vAlign w:val="bottom"/>
          </w:tcPr>
          <w:p>
            <w:pPr>
              <w:spacing w:after="0"/>
              <w:rPr>
                <w:sz w:val="17"/>
                <w:szCs w:val="17"/>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4.8 %</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250.67</w:t>
            </w:r>
          </w:p>
        </w:tc>
        <w:tc>
          <w:tcPr>
            <w:tcW w:w="16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245.80</w:t>
            </w:r>
          </w:p>
        </w:tc>
        <w:tc>
          <w:tcPr>
            <w:tcW w:w="2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2.0 %</w:t>
            </w: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RevPAR</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$ 186.90</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$ 170.65</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9.5 %</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169.54</w:t>
            </w:r>
          </w:p>
        </w:tc>
        <w:tc>
          <w:tcPr>
            <w:tcW w:w="16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166.06</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2.1 %</w:t>
            </w:r>
          </w:p>
        </w:tc>
        <w:tc>
          <w:tcPr>
            <w:tcW w:w="0" w:type="dxa"/>
            <w:vAlign w:val="bottom"/>
          </w:tcPr>
          <w:p>
            <w:pPr>
              <w:spacing w:after="0"/>
              <w:rPr>
                <w:sz w:val="1"/>
                <w:szCs w:val="1"/>
                <w:color w:val="auto"/>
              </w:rPr>
            </w:pPr>
          </w:p>
        </w:tc>
      </w:tr>
      <w:tr>
        <w:trPr>
          <w:trHeight w:val="210"/>
        </w:trPr>
        <w:tc>
          <w:tcPr>
            <w:tcW w:w="2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 RevPAR</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$ 486.52</w:t>
            </w: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$ 424.00</w:t>
            </w:r>
          </w:p>
        </w:tc>
        <w:tc>
          <w:tcPr>
            <w:tcW w:w="160" w:type="dxa"/>
            <w:vAlign w:val="bottom"/>
          </w:tcPr>
          <w:p>
            <w:pPr>
              <w:spacing w:after="0"/>
              <w:rPr>
                <w:sz w:val="18"/>
                <w:szCs w:val="18"/>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14.7 %</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431.20</w:t>
            </w:r>
          </w:p>
        </w:tc>
        <w:tc>
          <w:tcPr>
            <w:tcW w:w="1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414.60</w:t>
            </w:r>
          </w:p>
        </w:tc>
        <w:tc>
          <w:tcPr>
            <w:tcW w:w="2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4.0 %</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60" w:right="119"/>
        <w:spacing w:after="0" w:line="284" w:lineRule="auto"/>
        <w:rPr>
          <w:sz w:val="20"/>
          <w:szCs w:val="20"/>
          <w:color w:val="auto"/>
        </w:rPr>
      </w:pPr>
      <w:r>
        <w:rPr>
          <w:rFonts w:ascii="Times New Roman" w:cs="Times New Roman" w:eastAsia="Times New Roman" w:hAnsi="Times New Roman"/>
          <w:sz w:val="18"/>
          <w:szCs w:val="18"/>
          <w:i w:val="1"/>
          <w:iCs w:val="1"/>
          <w:color w:val="auto"/>
        </w:rPr>
        <w:t>Gaylord Rockies Results</w:t>
      </w:r>
      <w:r>
        <w:rPr>
          <w:rFonts w:ascii="Times New Roman" w:cs="Times New Roman" w:eastAsia="Times New Roman" w:hAnsi="Times New Roman"/>
          <w:sz w:val="18"/>
          <w:szCs w:val="18"/>
          <w:color w:val="auto"/>
        </w:rPr>
        <w:t>. The results of Gaylord Rockies for the three and six months ended June 30, 2024 and 2023 are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follows (in thousands, except percentages and performance metrics):</w:t>
      </w:r>
    </w:p>
    <w:p>
      <w:pPr>
        <w:spacing w:after="0" w:line="11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2480" w:type="dxa"/>
            <w:vAlign w:val="bottom"/>
            <w:gridSpan w:val="8"/>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740" w:type="dxa"/>
            <w:vAlign w:val="bottom"/>
            <w:gridSpan w:val="6"/>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96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960" w:type="dxa"/>
            <w:vAlign w:val="bottom"/>
          </w:tcPr>
          <w:p>
            <w:pPr>
              <w:spacing w:after="0"/>
              <w:rPr>
                <w:sz w:val="15"/>
                <w:szCs w:val="15"/>
                <w:color w:val="auto"/>
              </w:rPr>
            </w:pPr>
          </w:p>
        </w:tc>
        <w:tc>
          <w:tcPr>
            <w:tcW w:w="620" w:type="dxa"/>
            <w:vAlign w:val="bottom"/>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5"/>
                <w:szCs w:val="15"/>
                <w:color w:val="auto"/>
              </w:rPr>
            </w:pPr>
          </w:p>
        </w:tc>
        <w:tc>
          <w:tcPr>
            <w:tcW w:w="680" w:type="dxa"/>
            <w:vAlign w:val="bottom"/>
            <w:gridSpan w:val="2"/>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800" w:type="dxa"/>
            <w:vAlign w:val="bottom"/>
            <w:gridSpan w:val="3"/>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Rooms</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$ 28,035</w:t>
            </w:r>
          </w:p>
        </w:tc>
        <w:tc>
          <w:tcPr>
            <w:tcW w:w="16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$ 26,340</w:t>
            </w:r>
          </w:p>
        </w:tc>
        <w:tc>
          <w:tcPr>
            <w:tcW w:w="220" w:type="dxa"/>
            <w:vAlign w:val="bottom"/>
          </w:tcPr>
          <w:p>
            <w:pPr>
              <w:spacing w:after="0"/>
              <w:rPr>
                <w:sz w:val="17"/>
                <w:szCs w:val="17"/>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6.4 % $</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49,383</w:t>
            </w:r>
          </w:p>
        </w:tc>
        <w:tc>
          <w:tcPr>
            <w:tcW w:w="16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48,355</w:t>
            </w:r>
          </w:p>
        </w:tc>
        <w:tc>
          <w:tcPr>
            <w:tcW w:w="2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2.1 %</w:t>
            </w:r>
          </w:p>
        </w:tc>
        <w:tc>
          <w:tcPr>
            <w:tcW w:w="0" w:type="dxa"/>
            <w:vAlign w:val="bottom"/>
          </w:tcPr>
          <w:p>
            <w:pPr>
              <w:spacing w:after="0"/>
              <w:rPr>
                <w:sz w:val="1"/>
                <w:szCs w:val="1"/>
                <w:color w:val="auto"/>
              </w:rPr>
            </w:pPr>
          </w:p>
        </w:tc>
      </w:tr>
      <w:tr>
        <w:trPr>
          <w:trHeight w:val="203"/>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Food and beverage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41,891</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33,620</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24.6 %</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77,705</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69,014</w:t>
            </w: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12.6 %</w:t>
            </w:r>
          </w:p>
        </w:tc>
        <w:tc>
          <w:tcPr>
            <w:tcW w:w="0" w:type="dxa"/>
            <w:vAlign w:val="bottom"/>
          </w:tcPr>
          <w:p>
            <w:pPr>
              <w:spacing w:after="0"/>
              <w:rPr>
                <w:sz w:val="1"/>
                <w:szCs w:val="1"/>
                <w:color w:val="auto"/>
              </w:rPr>
            </w:pPr>
          </w:p>
        </w:tc>
      </w:tr>
      <w:tr>
        <w:trPr>
          <w:trHeight w:val="203"/>
        </w:trPr>
        <w:tc>
          <w:tcPr>
            <w:tcW w:w="3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hotel revenue</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6,910</w:t>
            </w:r>
          </w:p>
        </w:tc>
        <w:tc>
          <w:tcPr>
            <w:tcW w:w="16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7,167</w:t>
            </w:r>
          </w:p>
        </w:tc>
        <w:tc>
          <w:tcPr>
            <w:tcW w:w="22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13,570</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13,805</w:t>
            </w:r>
          </w:p>
        </w:tc>
        <w:tc>
          <w:tcPr>
            <w:tcW w:w="2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196"/>
        </w:trPr>
        <w:tc>
          <w:tcPr>
            <w:tcW w:w="396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76,836</w:t>
            </w: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67,127</w:t>
            </w:r>
          </w:p>
        </w:tc>
        <w:tc>
          <w:tcPr>
            <w:tcW w:w="2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14.5 %</w:t>
            </w: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140,658</w:t>
            </w: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131,174</w:t>
            </w:r>
          </w:p>
        </w:tc>
        <w:tc>
          <w:tcPr>
            <w:tcW w:w="2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7.2 %</w:t>
            </w:r>
          </w:p>
        </w:tc>
        <w:tc>
          <w:tcPr>
            <w:tcW w:w="0" w:type="dxa"/>
            <w:vAlign w:val="bottom"/>
          </w:tcPr>
          <w:p>
            <w:pPr>
              <w:spacing w:after="0"/>
              <w:rPr>
                <w:sz w:val="1"/>
                <w:szCs w:val="1"/>
                <w:color w:val="auto"/>
              </w:rPr>
            </w:pPr>
          </w:p>
        </w:tc>
      </w:tr>
      <w:tr>
        <w:trPr>
          <w:trHeight w:val="203"/>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Rooms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5,922</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6,053</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11,377</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12,051</w:t>
            </w: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203"/>
        </w:trPr>
        <w:tc>
          <w:tcPr>
            <w:tcW w:w="3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Food and beverage</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22,559</w:t>
            </w:r>
          </w:p>
        </w:tc>
        <w:tc>
          <w:tcPr>
            <w:tcW w:w="16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19,650</w:t>
            </w:r>
          </w:p>
        </w:tc>
        <w:tc>
          <w:tcPr>
            <w:tcW w:w="22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14.8 %</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42,534</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39,931</w:t>
            </w:r>
          </w:p>
        </w:tc>
        <w:tc>
          <w:tcPr>
            <w:tcW w:w="2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6.5 %</w:t>
            </w:r>
          </w:p>
        </w:tc>
        <w:tc>
          <w:tcPr>
            <w:tcW w:w="0" w:type="dxa"/>
            <w:vAlign w:val="bottom"/>
          </w:tcPr>
          <w:p>
            <w:pPr>
              <w:spacing w:after="0"/>
              <w:rPr>
                <w:sz w:val="1"/>
                <w:szCs w:val="1"/>
                <w:color w:val="auto"/>
              </w:rPr>
            </w:pPr>
          </w:p>
        </w:tc>
      </w:tr>
      <w:tr>
        <w:trPr>
          <w:trHeight w:val="203"/>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hotel expenses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10,490</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10,712</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21,138</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21,568</w:t>
            </w: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03"/>
        </w:trPr>
        <w:tc>
          <w:tcPr>
            <w:tcW w:w="3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Management fees, net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2,291</w:t>
            </w:r>
          </w:p>
        </w:tc>
        <w:tc>
          <w:tcPr>
            <w:tcW w:w="16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1,897</w:t>
            </w:r>
          </w:p>
        </w:tc>
        <w:tc>
          <w:tcPr>
            <w:tcW w:w="22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20.8 %</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4,197</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3,896</w:t>
            </w:r>
          </w:p>
        </w:tc>
        <w:tc>
          <w:tcPr>
            <w:tcW w:w="2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7.7 %</w:t>
            </w:r>
          </w:p>
        </w:tc>
        <w:tc>
          <w:tcPr>
            <w:tcW w:w="0" w:type="dxa"/>
            <w:vAlign w:val="bottom"/>
          </w:tcPr>
          <w:p>
            <w:pPr>
              <w:spacing w:after="0"/>
              <w:rPr>
                <w:sz w:val="1"/>
                <w:szCs w:val="1"/>
                <w:color w:val="auto"/>
              </w:rPr>
            </w:pPr>
          </w:p>
        </w:tc>
      </w:tr>
      <w:tr>
        <w:trPr>
          <w:trHeight w:val="203"/>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14,138</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14,124</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0.1 %</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27,979</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28,169</w:t>
            </w: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196"/>
        </w:trPr>
        <w:tc>
          <w:tcPr>
            <w:tcW w:w="39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55,400</w:t>
            </w:r>
          </w:p>
        </w:tc>
        <w:tc>
          <w:tcPr>
            <w:tcW w:w="1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52,436</w:t>
            </w:r>
          </w:p>
        </w:tc>
        <w:tc>
          <w:tcPr>
            <w:tcW w:w="22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5.7 %</w:t>
            </w:r>
          </w:p>
        </w:tc>
        <w:tc>
          <w:tcPr>
            <w:tcW w:w="12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107,225</w:t>
            </w:r>
          </w:p>
        </w:tc>
        <w:tc>
          <w:tcPr>
            <w:tcW w:w="1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105,615</w:t>
            </w:r>
          </w:p>
        </w:tc>
        <w:tc>
          <w:tcPr>
            <w:tcW w:w="20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1.5 %</w:t>
            </w:r>
          </w:p>
        </w:tc>
        <w:tc>
          <w:tcPr>
            <w:tcW w:w="0" w:type="dxa"/>
            <w:vAlign w:val="bottom"/>
          </w:tcPr>
          <w:p>
            <w:pPr>
              <w:spacing w:after="0"/>
              <w:rPr>
                <w:sz w:val="1"/>
                <w:szCs w:val="1"/>
                <w:color w:val="auto"/>
              </w:rPr>
            </w:pPr>
          </w:p>
        </w:tc>
      </w:tr>
      <w:tr>
        <w:trPr>
          <w:trHeight w:val="196"/>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$ 21,436</w:t>
            </w:r>
          </w:p>
        </w:tc>
        <w:tc>
          <w:tcPr>
            <w:tcW w:w="1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$ 14,691</w:t>
            </w:r>
          </w:p>
        </w:tc>
        <w:tc>
          <w:tcPr>
            <w:tcW w:w="2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45.9 %</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33,433</w:t>
            </w:r>
          </w:p>
        </w:tc>
        <w:tc>
          <w:tcPr>
            <w:tcW w:w="1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25,559</w:t>
            </w:r>
          </w:p>
        </w:tc>
        <w:tc>
          <w:tcPr>
            <w:tcW w:w="2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30.8 %</w:t>
            </w:r>
          </w:p>
        </w:tc>
        <w:tc>
          <w:tcPr>
            <w:tcW w:w="0" w:type="dxa"/>
            <w:vAlign w:val="bottom"/>
          </w:tcPr>
          <w:p>
            <w:pPr>
              <w:spacing w:after="0"/>
              <w:rPr>
                <w:sz w:val="1"/>
                <w:szCs w:val="1"/>
                <w:color w:val="auto"/>
              </w:rPr>
            </w:pPr>
          </w:p>
        </w:tc>
      </w:tr>
      <w:tr>
        <w:trPr>
          <w:trHeight w:val="20"/>
        </w:trPr>
        <w:tc>
          <w:tcPr>
            <w:tcW w:w="39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Performance metrics:</w:t>
            </w: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96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Occupancy</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80.4 %</w:t>
            </w:r>
          </w:p>
        </w:tc>
        <w:tc>
          <w:tcPr>
            <w:tcW w:w="9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77.8 %</w:t>
            </w:r>
          </w:p>
        </w:tc>
        <w:tc>
          <w:tcPr>
            <w:tcW w:w="800" w:type="dxa"/>
            <w:vAlign w:val="bottom"/>
            <w:gridSpan w:val="3"/>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2.6 pts</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72.4 %</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73.9 %</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(1.5)pts</w:t>
            </w:r>
          </w:p>
        </w:tc>
        <w:tc>
          <w:tcPr>
            <w:tcW w:w="0" w:type="dxa"/>
            <w:vAlign w:val="bottom"/>
          </w:tcPr>
          <w:p>
            <w:pPr>
              <w:spacing w:after="0"/>
              <w:rPr>
                <w:sz w:val="1"/>
                <w:szCs w:val="1"/>
                <w:color w:val="auto"/>
              </w:rPr>
            </w:pPr>
          </w:p>
        </w:tc>
      </w:tr>
      <w:tr>
        <w:trPr>
          <w:trHeight w:val="203"/>
        </w:trPr>
        <w:tc>
          <w:tcPr>
            <w:tcW w:w="3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ADR</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$ 255.44</w:t>
            </w:r>
          </w:p>
        </w:tc>
        <w:tc>
          <w:tcPr>
            <w:tcW w:w="16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$ 247.92</w:t>
            </w:r>
          </w:p>
        </w:tc>
        <w:tc>
          <w:tcPr>
            <w:tcW w:w="220" w:type="dxa"/>
            <w:vAlign w:val="bottom"/>
          </w:tcPr>
          <w:p>
            <w:pPr>
              <w:spacing w:after="0"/>
              <w:rPr>
                <w:sz w:val="17"/>
                <w:szCs w:val="17"/>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3.0 % $</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249.55</w:t>
            </w:r>
          </w:p>
        </w:tc>
        <w:tc>
          <w:tcPr>
            <w:tcW w:w="16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240.94</w:t>
            </w:r>
          </w:p>
        </w:tc>
        <w:tc>
          <w:tcPr>
            <w:tcW w:w="2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3.6 %</w:t>
            </w:r>
          </w:p>
        </w:tc>
        <w:tc>
          <w:tcPr>
            <w:tcW w:w="0" w:type="dxa"/>
            <w:vAlign w:val="bottom"/>
          </w:tcPr>
          <w:p>
            <w:pPr>
              <w:spacing w:after="0"/>
              <w:rPr>
                <w:sz w:val="1"/>
                <w:szCs w:val="1"/>
                <w:color w:val="auto"/>
              </w:rPr>
            </w:pPr>
          </w:p>
        </w:tc>
      </w:tr>
      <w:tr>
        <w:trPr>
          <w:trHeight w:val="203"/>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RevPAR</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$ 205.25</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$ 192.84</w:t>
            </w:r>
          </w:p>
        </w:tc>
        <w:tc>
          <w:tcPr>
            <w:tcW w:w="22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6.4 % $</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180.77</w:t>
            </w:r>
          </w:p>
        </w:tc>
        <w:tc>
          <w:tcPr>
            <w:tcW w:w="16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177.98</w:t>
            </w: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1.6 %</w:t>
            </w:r>
          </w:p>
        </w:tc>
        <w:tc>
          <w:tcPr>
            <w:tcW w:w="0" w:type="dxa"/>
            <w:vAlign w:val="bottom"/>
          </w:tcPr>
          <w:p>
            <w:pPr>
              <w:spacing w:after="0"/>
              <w:rPr>
                <w:sz w:val="1"/>
                <w:szCs w:val="1"/>
                <w:color w:val="auto"/>
              </w:rPr>
            </w:pPr>
          </w:p>
        </w:tc>
      </w:tr>
      <w:tr>
        <w:trPr>
          <w:trHeight w:val="210"/>
        </w:trPr>
        <w:tc>
          <w:tcPr>
            <w:tcW w:w="3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RevPAR</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$ 562.53</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$ 491.45</w:t>
            </w:r>
          </w:p>
        </w:tc>
        <w:tc>
          <w:tcPr>
            <w:tcW w:w="22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14.5 % $</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514.89</w:t>
            </w:r>
          </w:p>
        </w:tc>
        <w:tc>
          <w:tcPr>
            <w:tcW w:w="1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482.82</w:t>
            </w:r>
          </w:p>
        </w:tc>
        <w:tc>
          <w:tcPr>
            <w:tcW w:w="2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6.6 %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279"/>
        <w:spacing w:after="0" w:line="267" w:lineRule="auto"/>
        <w:rPr>
          <w:sz w:val="20"/>
          <w:szCs w:val="20"/>
          <w:color w:val="auto"/>
        </w:rPr>
      </w:pPr>
      <w:r>
        <w:rPr>
          <w:rFonts w:ascii="Times New Roman" w:cs="Times New Roman" w:eastAsia="Times New Roman" w:hAnsi="Times New Roman"/>
          <w:sz w:val="18"/>
          <w:szCs w:val="18"/>
          <w:i w:val="1"/>
          <w:iCs w:val="1"/>
          <w:color w:val="auto"/>
        </w:rPr>
        <w:t>JW Marriott Hill Country Results</w:t>
      </w:r>
      <w:r>
        <w:rPr>
          <w:rFonts w:ascii="Times New Roman" w:cs="Times New Roman" w:eastAsia="Times New Roman" w:hAnsi="Times New Roman"/>
          <w:sz w:val="18"/>
          <w:szCs w:val="18"/>
          <w:color w:val="auto"/>
        </w:rPr>
        <w:t>. We purchased JW Marriott Hill Country on June 30, 2023. The results of JW Marriott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Hill Country for the three and six months ended June 30, 2024 are as follows (in thousands, except percentages and performance metrics):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940" w:type="dxa"/>
            <w:vAlign w:val="bottom"/>
          </w:tcPr>
          <w:p>
            <w:pPr>
              <w:spacing w:after="0"/>
              <w:rPr>
                <w:sz w:val="13"/>
                <w:szCs w:val="13"/>
                <w:color w:val="auto"/>
              </w:rPr>
            </w:pPr>
          </w:p>
        </w:tc>
        <w:tc>
          <w:tcPr>
            <w:tcW w:w="16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5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5"/>
                <w:szCs w:val="15"/>
                <w:color w:val="auto"/>
              </w:rPr>
            </w:pP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96"/>
        </w:trPr>
        <w:tc>
          <w:tcPr>
            <w:tcW w:w="594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Rooms</w:t>
            </w:r>
          </w:p>
        </w:tc>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23,364</w:t>
            </w:r>
          </w:p>
        </w:tc>
        <w:tc>
          <w:tcPr>
            <w:tcW w:w="280" w:type="dxa"/>
            <w:vAlign w:val="bottom"/>
          </w:tcPr>
          <w:p>
            <w:pPr>
              <w:spacing w:after="0"/>
              <w:rPr>
                <w:sz w:val="17"/>
                <w:szCs w:val="17"/>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41,454</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Food and beverage</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28,550</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53,208</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 hotel revenue</w:t>
            </w: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10,936</w:t>
            </w:r>
          </w:p>
        </w:tc>
        <w:tc>
          <w:tcPr>
            <w:tcW w:w="2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18,129</w:t>
            </w:r>
          </w:p>
        </w:tc>
        <w:tc>
          <w:tcPr>
            <w:tcW w:w="2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62,850</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112,791</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Rooms</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4,225</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7,707</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Food and beverage</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14,296</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26,497</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hotel expenses</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18,642</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34,274</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Management fees, net</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2,778</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4,873</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7,471</w:t>
            </w:r>
          </w:p>
        </w:tc>
        <w:tc>
          <w:tcPr>
            <w:tcW w:w="2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14,868</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47,412</w:t>
            </w:r>
          </w:p>
        </w:tc>
        <w:tc>
          <w:tcPr>
            <w:tcW w:w="2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88,219</w:t>
            </w:r>
          </w:p>
        </w:tc>
        <w:tc>
          <w:tcPr>
            <w:tcW w:w="2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15,438</w:t>
            </w:r>
          </w:p>
        </w:tc>
        <w:tc>
          <w:tcPr>
            <w:tcW w:w="2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24,572</w:t>
            </w:r>
          </w:p>
        </w:tc>
        <w:tc>
          <w:tcPr>
            <w:tcW w:w="2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Performance metrics:</w:t>
            </w: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9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Occupancy</w:t>
            </w:r>
          </w:p>
        </w:tc>
        <w:tc>
          <w:tcPr>
            <w:tcW w:w="2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79.0 %</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71.3 %</w:t>
            </w:r>
          </w:p>
        </w:tc>
        <w:tc>
          <w:tcPr>
            <w:tcW w:w="0" w:type="dxa"/>
            <w:vAlign w:val="bottom"/>
          </w:tcPr>
          <w:p>
            <w:pPr>
              <w:spacing w:after="0"/>
              <w:rPr>
                <w:sz w:val="1"/>
                <w:szCs w:val="1"/>
                <w:color w:val="auto"/>
              </w:rPr>
            </w:pPr>
          </w:p>
        </w:tc>
      </w:tr>
      <w:tr>
        <w:trPr>
          <w:trHeight w:val="203"/>
        </w:trPr>
        <w:tc>
          <w:tcPr>
            <w:tcW w:w="5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ADR</w:t>
            </w:r>
          </w:p>
        </w:tc>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324.18</w:t>
            </w:r>
          </w:p>
        </w:tc>
        <w:tc>
          <w:tcPr>
            <w:tcW w:w="280" w:type="dxa"/>
            <w:vAlign w:val="bottom"/>
          </w:tcPr>
          <w:p>
            <w:pPr>
              <w:spacing w:after="0"/>
              <w:rPr>
                <w:sz w:val="17"/>
                <w:szCs w:val="17"/>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318.83</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RevPAR</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256.23</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227.31</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RevPAR</w:t>
            </w:r>
          </w:p>
        </w:tc>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689.28</w:t>
            </w:r>
          </w:p>
        </w:tc>
        <w:tc>
          <w:tcPr>
            <w:tcW w:w="28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618.50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Entertainment Segment</w:t>
      </w:r>
    </w:p>
    <w:p>
      <w:pPr>
        <w:spacing w:after="0" w:line="200" w:lineRule="exact"/>
        <w:rPr>
          <w:sz w:val="20"/>
          <w:szCs w:val="20"/>
          <w:color w:val="auto"/>
        </w:rPr>
      </w:pPr>
    </w:p>
    <w:p>
      <w:pPr>
        <w:ind w:left="60" w:right="51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Total Segment Results. </w:t>
      </w:r>
      <w:r>
        <w:rPr>
          <w:rFonts w:ascii="Times New Roman" w:cs="Times New Roman" w:eastAsia="Times New Roman" w:hAnsi="Times New Roman"/>
          <w:sz w:val="18"/>
          <w:szCs w:val="18"/>
          <w:color w:val="auto"/>
        </w:rPr>
        <w:t>The following presents the financial results of our Entertainment segment for the three and six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June 30, 2024 and 2023 (in thousands, except percentages):</w:t>
      </w:r>
    </w:p>
    <w:p>
      <w:pPr>
        <w:spacing w:after="0" w:line="11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540" w:type="dxa"/>
            <w:vAlign w:val="bottom"/>
            <w:gridSpan w:val="6"/>
          </w:tcPr>
          <w:p>
            <w:pPr>
              <w:jc w:val="right"/>
              <w:ind w:right="73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760" w:type="dxa"/>
            <w:vAlign w:val="bottom"/>
            <w:gridSpan w:val="6"/>
          </w:tcPr>
          <w:p>
            <w:pPr>
              <w:jc w:val="center"/>
              <w:ind w:left="296"/>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2160" w:type="dxa"/>
            <w:vAlign w:val="bottom"/>
            <w:gridSpan w:val="2"/>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40" w:type="dxa"/>
            <w:vAlign w:val="bottom"/>
            <w:gridSpan w:val="2"/>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gridSpan w:val="2"/>
          </w:tcPr>
          <w:p>
            <w:pPr>
              <w:jc w:val="right"/>
              <w:ind w:right="7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0"/>
                <w:szCs w:val="10"/>
                <w:color w:val="auto"/>
              </w:rPr>
            </w:pPr>
          </w:p>
        </w:tc>
        <w:tc>
          <w:tcPr>
            <w:tcW w:w="480" w:type="dxa"/>
            <w:vAlign w:val="bottom"/>
          </w:tcPr>
          <w:p>
            <w:pPr>
              <w:jc w:val="right"/>
              <w:ind w:right="77"/>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16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20" w:type="dxa"/>
            <w:vAlign w:val="bottom"/>
            <w:gridSpan w:val="3"/>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4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$ 94,203</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$ 87,158</w:t>
            </w: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400" w:type="dxa"/>
            <w:vAlign w:val="bottom"/>
            <w:tcBorders>
              <w:top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161,078</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154,438</w:t>
            </w: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320" w:type="dxa"/>
            <w:vAlign w:val="bottom"/>
            <w:tcBorders>
              <w:top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 (1)</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59,560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57,088</w:t>
            </w:r>
          </w:p>
        </w:tc>
        <w:tc>
          <w:tcPr>
            <w:tcW w:w="102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4.3 %</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112,147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108,522</w:t>
            </w:r>
          </w:p>
        </w:tc>
        <w:tc>
          <w:tcPr>
            <w:tcW w:w="140" w:type="dxa"/>
            <w:vAlign w:val="bottom"/>
          </w:tcPr>
          <w:p>
            <w:pPr>
              <w:spacing w:after="0"/>
              <w:rPr>
                <w:sz w:val="18"/>
                <w:szCs w:val="18"/>
                <w:color w:val="auto"/>
              </w:rPr>
            </w:pPr>
          </w:p>
        </w:tc>
        <w:tc>
          <w:tcPr>
            <w:tcW w:w="8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7,766</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5,402</w:t>
            </w:r>
          </w:p>
        </w:tc>
        <w:tc>
          <w:tcPr>
            <w:tcW w:w="102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43.8 %</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10,667</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36.0 %</w:t>
            </w:r>
          </w:p>
        </w:tc>
        <w:tc>
          <w:tcPr>
            <w:tcW w:w="0" w:type="dxa"/>
            <w:vAlign w:val="bottom"/>
          </w:tcPr>
          <w:p>
            <w:pPr>
              <w:spacing w:after="0"/>
              <w:rPr>
                <w:sz w:val="1"/>
                <w:szCs w:val="1"/>
                <w:color w:val="auto"/>
              </w:rPr>
            </w:pPr>
          </w:p>
        </w:tc>
      </w:tr>
      <w:tr>
        <w:trPr>
          <w:trHeight w:val="209"/>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 (2)</w:t>
            </w:r>
          </w:p>
        </w:tc>
        <w:tc>
          <w:tcPr>
            <w:tcW w:w="148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$ 26,877</w:t>
            </w:r>
          </w:p>
        </w:tc>
        <w:tc>
          <w:tcPr>
            <w:tcW w:w="16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$ 24,668</w:t>
            </w:r>
          </w:p>
        </w:tc>
        <w:tc>
          <w:tcPr>
            <w:tcW w:w="102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9.0 %</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34,425</w:t>
            </w:r>
          </w:p>
        </w:tc>
        <w:tc>
          <w:tcPr>
            <w:tcW w:w="160" w:type="dxa"/>
            <w:vAlign w:val="bottom"/>
            <w:gridSpan w:val="2"/>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35,249</w:t>
            </w:r>
          </w:p>
        </w:tc>
        <w:tc>
          <w:tcPr>
            <w:tcW w:w="140" w:type="dxa"/>
            <w:vAlign w:val="bottom"/>
          </w:tcPr>
          <w:p>
            <w:pPr>
              <w:spacing w:after="0"/>
              <w:rPr>
                <w:sz w:val="18"/>
                <w:szCs w:val="18"/>
                <w:color w:val="auto"/>
              </w:rPr>
            </w:pPr>
          </w:p>
        </w:tc>
        <w:tc>
          <w:tcPr>
            <w:tcW w:w="8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1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right="139" w:hanging="330"/>
        <w:spacing w:after="0" w:line="261"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for the 2024 periods were reduced by a refund of $3.4 million of Tennessee franchise tax for prior years caused by a change in tax law.</w:t>
      </w:r>
    </w:p>
    <w:p>
      <w:pPr>
        <w:jc w:val="both"/>
        <w:ind w:left="380" w:right="239" w:hanging="330"/>
        <w:spacing w:after="0" w:line="255"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does not include preopening costs of $1.1 million and $0.1 million in the three months ended June 30, 2024 and 2023, respectively, and $2.5 million and $0.3 million in the six months ended June 30, 2024 and 2023, respectively. See discussion of this item below.</w:t>
      </w:r>
    </w:p>
    <w:p>
      <w:pPr>
        <w:spacing w:after="0" w:line="145"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Revenues increased in our Entertainment segment in the three and six months ended June 30, 2024, as compared to the prior year periods, as incremental revenue from Ole Red Las Vegas, which opened in January 2024, was partially offset by the Wildhorse Saloon being temporarily closed as it is being rebranded as Category 10 and a decrease at the W Austin Hotel primarily as a result of the disruption caused by the ongoing construction enhancements at the property.</w:t>
      </w:r>
    </w:p>
    <w:p>
      <w:pPr>
        <w:spacing w:after="0" w:line="153" w:lineRule="exact"/>
        <w:rPr>
          <w:sz w:val="20"/>
          <w:szCs w:val="20"/>
          <w:color w:val="auto"/>
        </w:rPr>
      </w:pPr>
    </w:p>
    <w:p>
      <w:pPr>
        <w:jc w:val="both"/>
        <w:ind w:left="60" w:right="179"/>
        <w:spacing w:after="0" w:line="266" w:lineRule="auto"/>
        <w:rPr>
          <w:sz w:val="20"/>
          <w:szCs w:val="20"/>
          <w:color w:val="auto"/>
        </w:rPr>
      </w:pPr>
      <w:r>
        <w:rPr>
          <w:rFonts w:ascii="Times New Roman" w:cs="Times New Roman" w:eastAsia="Times New Roman" w:hAnsi="Times New Roman"/>
          <w:sz w:val="18"/>
          <w:szCs w:val="18"/>
          <w:color w:val="auto"/>
        </w:rPr>
        <w:t>Entertainment segment operating expenses increased in the 2024 periods, as compared to the 2023 periods, primarily due to the opening of Ole Red Las Vegas, partially offset by the temporary closure of the Wildhorse Saloon as well as a refund of Tennessee franchise tax for prior years caused by a change in tax law.</w:t>
      </w:r>
    </w:p>
    <w:p>
      <w:pPr>
        <w:spacing w:after="0" w:line="135" w:lineRule="exact"/>
        <w:rPr>
          <w:sz w:val="20"/>
          <w:szCs w:val="20"/>
          <w:color w:val="auto"/>
        </w:rPr>
      </w:pPr>
    </w:p>
    <w:p>
      <w:pPr>
        <w:ind w:left="60" w:right="699"/>
        <w:spacing w:after="0" w:line="282" w:lineRule="auto"/>
        <w:rPr>
          <w:sz w:val="20"/>
          <w:szCs w:val="20"/>
          <w:color w:val="auto"/>
        </w:rPr>
      </w:pPr>
      <w:r>
        <w:rPr>
          <w:rFonts w:ascii="Times New Roman" w:cs="Times New Roman" w:eastAsia="Times New Roman" w:hAnsi="Times New Roman"/>
          <w:sz w:val="18"/>
          <w:szCs w:val="18"/>
          <w:color w:val="auto"/>
        </w:rPr>
        <w:t>Depreciation and amortization increased in the 2024 periods, as compared to the 2023 periods, primarily due to the depreciable assets associated with the opening of Ole Red Las Vegas.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 Segment</w:t>
      </w:r>
    </w:p>
    <w:p>
      <w:pPr>
        <w:spacing w:after="0" w:line="200" w:lineRule="exact"/>
        <w:rPr>
          <w:sz w:val="20"/>
          <w:szCs w:val="20"/>
          <w:color w:val="auto"/>
        </w:rPr>
      </w:pPr>
    </w:p>
    <w:p>
      <w:pPr>
        <w:ind w:left="60" w:right="29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Total Segment Results. </w:t>
      </w:r>
      <w:r>
        <w:rPr>
          <w:rFonts w:ascii="Times New Roman" w:cs="Times New Roman" w:eastAsia="Times New Roman" w:hAnsi="Times New Roman"/>
          <w:sz w:val="18"/>
          <w:szCs w:val="18"/>
          <w:color w:val="auto"/>
        </w:rPr>
        <w:t>The following presents the financial results of our Corporate and Other segment for the three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six months ended June 30, 2024 and 2023 (in thousands, except percentages):</w:t>
      </w:r>
    </w:p>
    <w:p>
      <w:pPr>
        <w:spacing w:after="0" w:line="11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20" w:type="dxa"/>
            <w:vAlign w:val="bottom"/>
            <w:gridSpan w:val="7"/>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700" w:type="dxa"/>
            <w:vAlign w:val="bottom"/>
            <w:gridSpan w:val="5"/>
          </w:tcPr>
          <w:p>
            <w:pPr>
              <w:jc w:val="center"/>
              <w:ind w:left="297"/>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gridSpan w:val="2"/>
          </w:tcPr>
          <w:p>
            <w:pPr>
              <w:jc w:val="right"/>
              <w:ind w:right="9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0"/>
                <w:szCs w:val="10"/>
                <w:color w:val="auto"/>
              </w:rPr>
            </w:pPr>
          </w:p>
        </w:tc>
        <w:tc>
          <w:tcPr>
            <w:tcW w:w="500" w:type="dxa"/>
            <w:vAlign w:val="bottom"/>
          </w:tcPr>
          <w:p>
            <w:pPr>
              <w:jc w:val="right"/>
              <w:ind w:right="98"/>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6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220" w:type="dxa"/>
            <w:vAlign w:val="bottom"/>
            <w:vMerge w:val="continue"/>
            <w:shd w:val="clear" w:color="auto" w:fill="CCEEFF"/>
          </w:tcPr>
          <w:p>
            <w:pPr>
              <w:spacing w:after="0"/>
              <w:rPr>
                <w:sz w:val="18"/>
                <w:szCs w:val="18"/>
                <w:color w:val="auto"/>
              </w:rPr>
            </w:pPr>
          </w:p>
        </w:tc>
        <w:tc>
          <w:tcPr>
            <w:tcW w:w="16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9,402</w:t>
            </w:r>
          </w:p>
        </w:tc>
        <w:tc>
          <w:tcPr>
            <w:tcW w:w="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9,885</w:t>
            </w:r>
          </w:p>
        </w:tc>
        <w:tc>
          <w:tcPr>
            <w:tcW w:w="140" w:type="dxa"/>
            <w:vAlign w:val="bottom"/>
            <w:vMerge w:val="continue"/>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21,356</w:t>
            </w:r>
          </w:p>
        </w:tc>
        <w:tc>
          <w:tcPr>
            <w:tcW w:w="1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20,479</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3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860" w:type="dxa"/>
            <w:vAlign w:val="bottom"/>
            <w:tcBorders>
              <w:bottom w:val="single" w:sz="8" w:color="CCEEFF"/>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12.0 %</w:t>
            </w: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4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9.4 %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 (1)</w:t>
            </w:r>
          </w:p>
        </w:tc>
        <w:tc>
          <w:tcPr>
            <w:tcW w:w="16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(9,636)</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(10,094)</w:t>
            </w:r>
          </w:p>
        </w:tc>
        <w:tc>
          <w:tcPr>
            <w:tcW w:w="860" w:type="dxa"/>
            <w:vAlign w:val="bottom"/>
            <w:tcBorders>
              <w:bottom w:val="single" w:sz="8" w:color="CCEEFF"/>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4.5 %</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(21,822)</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(20,905)</w:t>
            </w: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1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 Operating loss does not include a gain on sale of assets of $0.3 million in the six months ended June 30, 2024.</w:t>
      </w:r>
    </w:p>
    <w:p>
      <w:pPr>
        <w:spacing w:after="0" w:line="185" w:lineRule="exact"/>
        <w:rPr>
          <w:sz w:val="20"/>
          <w:szCs w:val="20"/>
          <w:color w:val="auto"/>
        </w:rPr>
      </w:pPr>
    </w:p>
    <w:p>
      <w:pPr>
        <w:ind w:left="60" w:right="59"/>
        <w:spacing w:after="0" w:line="255" w:lineRule="auto"/>
        <w:rPr>
          <w:sz w:val="20"/>
          <w:szCs w:val="20"/>
          <w:color w:val="auto"/>
        </w:rPr>
      </w:pPr>
      <w:r>
        <w:rPr>
          <w:rFonts w:ascii="Times New Roman" w:cs="Times New Roman" w:eastAsia="Times New Roman" w:hAnsi="Times New Roman"/>
          <w:sz w:val="18"/>
          <w:szCs w:val="18"/>
          <w:color w:val="auto"/>
        </w:rPr>
        <w:t>Corporate and Other operating expenses consist primarily of costs associated with senior management salaries and benefits, legal, human resources, accounting, pension, information technology, consulting and other administrative costs. Corporate and Other segment operating expenses decreased in the three months ended June 30, 2024, as compared to the prior year period, primarily due to a decrease in equity compensation expense. Corporate and Other segment operating expenses increased in the six months ended June 30, 2024, as compared to the prior year period, primarily as a result of an increase in employment expenses associated with the hiring of additional employees and increased wages to support the Company’s growth.</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Results – Preopening Costs</w:t>
      </w:r>
    </w:p>
    <w:p>
      <w:pPr>
        <w:spacing w:after="0" w:line="189"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Preopening costs during the three and six months ended June 30, 2024 primarily include costs associated with Category 10, which is expected to open in the fourth quarter of 2024. Preopening costs during the three and six months ended June 30, 2023 primarily include costs associated with Ole Red Las Vegas, which opened in January 2024.</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Results – Gain on Sale of Assets</w:t>
      </w:r>
    </w:p>
    <w:p>
      <w:pPr>
        <w:spacing w:after="0" w:line="202" w:lineRule="exact"/>
        <w:rPr>
          <w:sz w:val="20"/>
          <w:szCs w:val="20"/>
          <w:color w:val="auto"/>
        </w:rPr>
      </w:pPr>
    </w:p>
    <w:p>
      <w:pPr>
        <w:ind w:left="60" w:right="539"/>
        <w:spacing w:after="0" w:line="453" w:lineRule="auto"/>
        <w:rPr>
          <w:sz w:val="20"/>
          <w:szCs w:val="20"/>
          <w:color w:val="auto"/>
        </w:rPr>
      </w:pPr>
      <w:r>
        <w:rPr>
          <w:rFonts w:ascii="Times New Roman" w:cs="Times New Roman" w:eastAsia="Times New Roman" w:hAnsi="Times New Roman"/>
          <w:sz w:val="18"/>
          <w:szCs w:val="18"/>
          <w:color w:val="auto"/>
        </w:rPr>
        <w:t xml:space="preserve">Gain on sale of assets during the six months ended June 30, 2024 includes the sale of miscellaneous corporate assets. </w:t>
      </w:r>
      <w:r>
        <w:rPr>
          <w:rFonts w:ascii="Times New Roman" w:cs="Times New Roman" w:eastAsia="Times New Roman" w:hAnsi="Times New Roman"/>
          <w:sz w:val="18"/>
          <w:szCs w:val="18"/>
          <w:b w:val="1"/>
          <w:bCs w:val="1"/>
          <w:i w:val="1"/>
          <w:iCs w:val="1"/>
          <w:color w:val="auto"/>
        </w:rPr>
        <w:t>Non-Operating Results Affecting Net Income</w:t>
      </w:r>
    </w:p>
    <w:p>
      <w:pPr>
        <w:spacing w:after="0" w:line="2"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other factors which affected our net income for the three and six months ended June 30, 2024 and 2023 (in thousands, except percentages):</w:t>
      </w:r>
    </w:p>
    <w:p>
      <w:pPr>
        <w:spacing w:after="0" w:line="12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80" w:type="dxa"/>
            <w:vAlign w:val="bottom"/>
            <w:gridSpan w:val="5"/>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gridSpan w:val="4"/>
          </w:tcPr>
          <w:p>
            <w:pPr>
              <w:jc w:val="center"/>
              <w:ind w:left="479"/>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180" w:type="dxa"/>
            <w:vAlign w:val="bottom"/>
          </w:tcPr>
          <w:p>
            <w:pPr>
              <w:spacing w:after="0"/>
              <w:rPr>
                <w:sz w:val="10"/>
                <w:szCs w:val="10"/>
                <w:color w:val="auto"/>
              </w:rPr>
            </w:pPr>
          </w:p>
        </w:tc>
        <w:tc>
          <w:tcPr>
            <w:tcW w:w="1040" w:type="dxa"/>
            <w:vAlign w:val="bottom"/>
            <w:gridSpan w:val="2"/>
            <w:vMerge w:val="restart"/>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60" w:type="dxa"/>
            <w:vAlign w:val="bottom"/>
            <w:gridSpan w:val="2"/>
            <w:vMerge w:val="restart"/>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0"/>
                <w:szCs w:val="10"/>
                <w:color w:val="auto"/>
              </w:rPr>
            </w:pPr>
          </w:p>
        </w:tc>
        <w:tc>
          <w:tcPr>
            <w:tcW w:w="540" w:type="dxa"/>
            <w:vAlign w:val="bottom"/>
          </w:tcPr>
          <w:p>
            <w:pPr>
              <w:jc w:val="right"/>
              <w:ind w:right="95"/>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gridSpan w:val="2"/>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40" w:type="dxa"/>
            <w:vAlign w:val="bottom"/>
            <w:gridSpan w:val="2"/>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0"/>
                <w:szCs w:val="10"/>
                <w:color w:val="auto"/>
              </w:rPr>
            </w:pPr>
          </w:p>
        </w:tc>
        <w:tc>
          <w:tcPr>
            <w:tcW w:w="540" w:type="dxa"/>
            <w:vAlign w:val="bottom"/>
          </w:tcPr>
          <w:p>
            <w:pPr>
              <w:jc w:val="right"/>
              <w:ind w:right="95"/>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18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$ 56,577</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$ 49,179</w:t>
            </w:r>
          </w:p>
        </w:tc>
        <w:tc>
          <w:tcPr>
            <w:tcW w:w="1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$ 117,020</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$ 91,707</w:t>
            </w: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7,064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5,318</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14,586</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7,865</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1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98"/>
        </w:trPr>
        <w:tc>
          <w:tcPr>
            <w:tcW w:w="3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Income (loss) from unconsolidated joint</w:t>
            </w: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ventures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(2,153)</w:t>
            </w: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(4,959)</w:t>
            </w: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gains and (losses), net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3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(12,200)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(3,544)</w:t>
            </w:r>
          </w:p>
        </w:tc>
        <w:tc>
          <w:tcPr>
            <w:tcW w:w="140" w:type="dxa"/>
            <w:vAlign w:val="bottom"/>
          </w:tcPr>
          <w:p>
            <w:pPr>
              <w:spacing w:after="0"/>
              <w:rPr>
                <w:sz w:val="20"/>
                <w:szCs w:val="20"/>
                <w:color w:val="auto"/>
              </w:rPr>
            </w:pPr>
          </w:p>
        </w:tc>
        <w:tc>
          <w:tcPr>
            <w:tcW w:w="8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(244.2)%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(12,730)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(5,177)</w:t>
            </w:r>
          </w:p>
        </w:tc>
        <w:tc>
          <w:tcPr>
            <w:tcW w:w="160" w:type="dxa"/>
            <w:vAlign w:val="bottom"/>
          </w:tcPr>
          <w:p>
            <w:pPr>
              <w:spacing w:after="0"/>
              <w:rPr>
                <w:sz w:val="20"/>
                <w:szCs w:val="20"/>
                <w:color w:val="auto"/>
              </w:rPr>
            </w:pPr>
          </w:p>
        </w:tc>
        <w:tc>
          <w:tcPr>
            <w:tcW w:w="90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(145.9)%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00" w:lineRule="exact"/>
        <w:rPr>
          <w:sz w:val="20"/>
          <w:szCs w:val="20"/>
          <w:color w:val="auto"/>
        </w:rPr>
      </w:pPr>
    </w:p>
    <w:p>
      <w:pPr>
        <w:jc w:val="both"/>
        <w:ind w:left="60" w:right="279"/>
        <w:spacing w:after="0" w:line="282" w:lineRule="auto"/>
        <w:rPr>
          <w:sz w:val="20"/>
          <w:szCs w:val="20"/>
          <w:color w:val="auto"/>
        </w:rPr>
      </w:pPr>
      <w:r>
        <w:rPr>
          <w:rFonts w:ascii="Times New Roman" w:cs="Times New Roman" w:eastAsia="Times New Roman" w:hAnsi="Times New Roman"/>
          <w:sz w:val="18"/>
          <w:szCs w:val="18"/>
          <w:color w:val="auto"/>
        </w:rPr>
        <w:t>The following presents interest expense associated with our outstanding borrowings, including the impact of interest rate swaps, for the three and six months ended June 30, 2024 and 2023 (in thousands, except percentages):</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60" w:type="dxa"/>
            <w:vAlign w:val="bottom"/>
            <w:gridSpan w:val="7"/>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700" w:type="dxa"/>
            <w:vAlign w:val="bottom"/>
            <w:gridSpan w:val="6"/>
          </w:tcPr>
          <w:p>
            <w:pPr>
              <w:jc w:val="center"/>
              <w:ind w:left="473"/>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8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2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restart"/>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60" w:type="dxa"/>
            <w:vAlign w:val="bottom"/>
            <w:gridSpan w:val="2"/>
          </w:tcPr>
          <w:p>
            <w:pPr>
              <w:jc w:val="right"/>
              <w:ind w:right="199"/>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ind w:right="214"/>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24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RHP Revolving Credit Facility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RHP Term Loan B</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6,957</w:t>
            </w:r>
          </w:p>
        </w:tc>
        <w:tc>
          <w:tcPr>
            <w:tcW w:w="12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56.4 %</w:t>
            </w: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RHP Senior Notes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39,894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18,124</w:t>
            </w:r>
          </w:p>
        </w:tc>
        <w:tc>
          <w:tcPr>
            <w:tcW w:w="12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120.1 %</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63,935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33,781</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89.3 %</w:t>
            </w:r>
          </w:p>
        </w:tc>
        <w:tc>
          <w:tcPr>
            <w:tcW w:w="0" w:type="dxa"/>
            <w:vAlign w:val="bottom"/>
          </w:tcPr>
          <w:p>
            <w:pPr>
              <w:spacing w:after="0"/>
              <w:rPr>
                <w:sz w:val="1"/>
                <w:szCs w:val="1"/>
                <w:color w:val="auto"/>
              </w:rPr>
            </w:pPr>
          </w:p>
        </w:tc>
      </w:tr>
      <w:tr>
        <w:trPr>
          <w:trHeight w:val="216"/>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Gaylord Rockies Term Loan</w:t>
            </w: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12,387</w:t>
            </w:r>
          </w:p>
        </w:tc>
        <w:tc>
          <w:tcPr>
            <w:tcW w:w="12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OEG Term Loan</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8,106</w:t>
            </w:r>
          </w:p>
        </w:tc>
        <w:tc>
          <w:tcPr>
            <w:tcW w:w="12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2.2 %</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16,003</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16"/>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OEG Revolver</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50.5 %</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65.7 %</w:t>
            </w: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Block 21 CMBS Loan</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12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4,238</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6"/>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(1)</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(1,279)</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(9,235.7)%</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(2,620)</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(229)</w:t>
            </w:r>
          </w:p>
        </w:tc>
        <w:tc>
          <w:tcPr>
            <w:tcW w:w="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8"/>
              </w:rPr>
              <w:t>(1,044.1)%</w:t>
            </w:r>
          </w:p>
        </w:tc>
        <w:tc>
          <w:tcPr>
            <w:tcW w:w="0" w:type="dxa"/>
            <w:vAlign w:val="bottom"/>
          </w:tcPr>
          <w:p>
            <w:pPr>
              <w:spacing w:after="0"/>
              <w:rPr>
                <w:sz w:val="1"/>
                <w:szCs w:val="1"/>
                <w:color w:val="auto"/>
              </w:rPr>
            </w:pPr>
          </w:p>
        </w:tc>
      </w:tr>
      <w:tr>
        <w:trPr>
          <w:trHeight w:val="209"/>
        </w:trPr>
        <w:tc>
          <w:tcPr>
            <w:tcW w:w="332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interest expense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56,577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49,179</w:t>
            </w:r>
          </w:p>
        </w:tc>
        <w:tc>
          <w:tcPr>
            <w:tcW w:w="1260" w:type="dxa"/>
            <w:vAlign w:val="bottom"/>
            <w:tcBorders>
              <w:top w:val="single" w:sz="8" w:color="CCEEFF"/>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15.0 %</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117,020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91,707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27.6 %</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1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(1) Other includes capitalized interest, as well as other miscellaneous items.</w:t>
      </w:r>
    </w:p>
    <w:p>
      <w:pPr>
        <w:spacing w:after="0" w:line="225" w:lineRule="exact"/>
        <w:rPr>
          <w:sz w:val="20"/>
          <w:szCs w:val="20"/>
          <w:color w:val="auto"/>
        </w:rPr>
      </w:pPr>
    </w:p>
    <w:p>
      <w:pPr>
        <w:jc w:val="both"/>
        <w:ind w:left="60" w:right="279"/>
        <w:spacing w:after="0" w:line="266" w:lineRule="auto"/>
        <w:rPr>
          <w:sz w:val="20"/>
          <w:szCs w:val="20"/>
          <w:color w:val="auto"/>
        </w:rPr>
      </w:pPr>
      <w:r>
        <w:rPr>
          <w:rFonts w:ascii="Times New Roman" w:cs="Times New Roman" w:eastAsia="Times New Roman" w:hAnsi="Times New Roman"/>
          <w:sz w:val="18"/>
          <w:szCs w:val="18"/>
          <w:color w:val="auto"/>
        </w:rPr>
        <w:t>Our weighted average interest rate on our borrowings, excluding capitalized interest, but including the impact of interest rate swaps, was 6.7% and 6.3% for the three months ended June 30, 2024 and 2023, respectively, and 7.0% and 6.2% for the six months ended June 30, 2024 and 2023, respectively.</w:t>
      </w:r>
    </w:p>
    <w:p>
      <w:pPr>
        <w:spacing w:after="0" w:line="1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00"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Interest income for the three and six months ended June 30, 2024 primarily includes amounts earned on our cash balances, as well as the bonds that were received in connection with the development of Gaylord National, which we hold as notes receivable. See Note 6, “Notes Receivable,” to the accompanying condensed consolidated financial statements included herein for additional discussion of interest income on these bonds.</w:t>
      </w:r>
    </w:p>
    <w:p>
      <w:pPr>
        <w:spacing w:after="0" w:line="1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Loss on Extinguishment of Debt</w:t>
      </w:r>
    </w:p>
    <w:p>
      <w:pPr>
        <w:spacing w:after="0" w:line="187"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As a result of the June 2024 refinancing of the OEG credit agreement, the April 2024 repricing of the RHP term loan B, and the March 2024 repayment of the Gaylord Rockies $800 million term loan (see “Principal Debt Agreements” below), we recognized a loss on extinguishment of debt of $1.8 million and $2.3 million in the three and six months ended June 30, 2024, respectively.</w:t>
      </w:r>
    </w:p>
    <w:p>
      <w:pPr>
        <w:spacing w:after="0" w:line="153" w:lineRule="exact"/>
        <w:rPr>
          <w:sz w:val="20"/>
          <w:szCs w:val="20"/>
          <w:color w:val="auto"/>
        </w:rPr>
      </w:pPr>
    </w:p>
    <w:p>
      <w:pPr>
        <w:ind w:left="60" w:right="239"/>
        <w:spacing w:after="0" w:line="312" w:lineRule="auto"/>
        <w:rPr>
          <w:sz w:val="20"/>
          <w:szCs w:val="20"/>
          <w:color w:val="auto"/>
        </w:rPr>
      </w:pPr>
      <w:r>
        <w:rPr>
          <w:rFonts w:ascii="Times New Roman" w:cs="Times New Roman" w:eastAsia="Times New Roman" w:hAnsi="Times New Roman"/>
          <w:sz w:val="17"/>
          <w:szCs w:val="17"/>
          <w:color w:val="auto"/>
        </w:rPr>
        <w:t>As a result of the May 2023 refinancing of our credit facility and the extension of the Gaylord Rockies $800 million term loan, we recognized a loss on extinguishment of debt of $2.3 million in the three and six months ended June 30, 2023.</w:t>
      </w:r>
    </w:p>
    <w:p>
      <w:pPr>
        <w:spacing w:after="0" w:line="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Income (Loss) from Unconsolidated Joint Ventures</w:t>
      </w:r>
    </w:p>
    <w:p>
      <w:pPr>
        <w:spacing w:after="0" w:line="187"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The loss from unconsolidated joint ventures for the three and six months ended June 30, 2023 represents our equity method share of losses associated with our previous investment in Circle, a joint venture that we and our joint venture partner agreed to wind down at the end of 2023.</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Gains and (Losses), net</w:t>
      </w:r>
    </w:p>
    <w:p>
      <w:pPr>
        <w:spacing w:after="0" w:line="187"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Other gains and (losses), net for the three and six months ended June 30, 2024 and 2023 represents various miscellaneous items.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00" w:lineRule="exact"/>
        <w:rPr>
          <w:sz w:val="20"/>
          <w:szCs w:val="20"/>
          <w:color w:val="auto"/>
        </w:rPr>
      </w:pPr>
    </w:p>
    <w:p>
      <w:pPr>
        <w:ind w:left="60" w:right="379"/>
        <w:spacing w:after="0" w:line="266" w:lineRule="auto"/>
        <w:rPr>
          <w:sz w:val="20"/>
          <w:szCs w:val="20"/>
          <w:color w:val="auto"/>
        </w:rPr>
      </w:pPr>
      <w:r>
        <w:rPr>
          <w:rFonts w:ascii="Times New Roman" w:cs="Times New Roman" w:eastAsia="Times New Roman" w:hAnsi="Times New Roman"/>
          <w:sz w:val="18"/>
          <w:szCs w:val="18"/>
          <w:color w:val="auto"/>
        </w:rPr>
        <w:t>As a REIT, we generally are not subject to federal corporate income taxes on ordinary taxable income and capital gains income from real estate investments that we distribute to our stockholders. We are required to pay federal and state corporate income taxes on earnings of our TRSs.</w:t>
      </w:r>
    </w:p>
    <w:p>
      <w:pPr>
        <w:spacing w:after="0" w:line="135"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For the three months ended June 30, 2024 and 2023, we recorded an income tax provision of $12.2 million and $3.5 million, respectively, and for the six months ended June 30, 2024 and 2023, we recorded an income tax provision of $12.7 million and $5.2 million, respectively, related to our TRSs. The increase in the income tax provision for the 2024 periods, as compared to the 2023 periods, relates to both an increase in income at our TRSs in the 2024 periods and the effect of changes in valuation allowance in the 2023 periods.</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202"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We present the following non-GAAP financial measures, which we believe are useful to investors as key measures of our operating performance:</w:t>
      </w:r>
    </w:p>
    <w:p>
      <w:pPr>
        <w:spacing w:after="0" w:line="160" w:lineRule="exact"/>
        <w:rPr>
          <w:sz w:val="20"/>
          <w:szCs w:val="20"/>
          <w:color w:val="auto"/>
        </w:rPr>
      </w:pPr>
    </w:p>
    <w:p>
      <w:pPr>
        <w:ind w:left="60" w:right="159"/>
        <w:spacing w:after="0" w:line="284" w:lineRule="auto"/>
        <w:rPr>
          <w:sz w:val="20"/>
          <w:szCs w:val="20"/>
          <w:color w:val="auto"/>
        </w:rPr>
      </w:pPr>
      <w:r>
        <w:rPr>
          <w:rFonts w:ascii="Times New Roman" w:cs="Times New Roman" w:eastAsia="Times New Roman" w:hAnsi="Times New Roman"/>
          <w:sz w:val="18"/>
          <w:szCs w:val="18"/>
          <w:i w:val="1"/>
          <w:iCs w:val="1"/>
          <w:color w:val="auto"/>
        </w:rPr>
        <w:t>EBITDAre, Adjusted EBITDAre and Adjusted EBITDAre, Excluding Noncontrolling Interest in Consolidated Joint Venture Definition</w:t>
      </w:r>
    </w:p>
    <w:p>
      <w:pPr>
        <w:spacing w:after="0" w:line="158" w:lineRule="exact"/>
        <w:rPr>
          <w:sz w:val="20"/>
          <w:szCs w:val="20"/>
          <w:color w:val="auto"/>
        </w:rPr>
      </w:pPr>
    </w:p>
    <w:p>
      <w:pPr>
        <w:ind w:left="60" w:right="79"/>
        <w:spacing w:after="0" w:line="257" w:lineRule="auto"/>
        <w:rPr>
          <w:sz w:val="20"/>
          <w:szCs w:val="20"/>
          <w:color w:val="auto"/>
        </w:rPr>
      </w:pPr>
      <w:r>
        <w:rPr>
          <w:rFonts w:ascii="Times New Roman" w:cs="Times New Roman" w:eastAsia="Times New Roman" w:hAnsi="Times New Roman"/>
          <w:sz w:val="18"/>
          <w:szCs w:val="18"/>
          <w:color w:val="auto"/>
        </w:rPr>
        <w:t>We calculate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which is defined by the National Association of Real Estate Investment Trusts (“NAREIT”) in its September 2017 white paper as net income (calculated in accordance with GAAP) plus interest expense, income tax expense, depreciation and amortization, gains or losses on the disposition of depreciated property (including gains or losses on change in control), impairment write-downs of depreciated property and of investments in unconsolidated affiliates caused by a decrease in the value of depreciated property in the affiliate, and adjustments to reflect the entity’s share of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of unconsolidated affiliates.</w:t>
      </w:r>
    </w:p>
    <w:p>
      <w:pPr>
        <w:spacing w:after="0" w:line="182" w:lineRule="exact"/>
        <w:rPr>
          <w:sz w:val="20"/>
          <w:szCs w:val="20"/>
          <w:color w:val="auto"/>
        </w:rPr>
      </w:pPr>
    </w:p>
    <w:p>
      <w:pPr>
        <w:ind w:left="60" w:right="439"/>
        <w:spacing w:after="0" w:line="284" w:lineRule="auto"/>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is then calculated as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plus to the extent the following adjustments occurred during the periods presented:</w:t>
      </w:r>
    </w:p>
    <w:p>
      <w:pPr>
        <w:spacing w:after="0" w:line="160" w:lineRule="exact"/>
        <w:rPr>
          <w:sz w:val="20"/>
          <w:szCs w:val="20"/>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Preopening costs;</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lease expense;</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Equity-based compensation expense;</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that do not meet the NAREIT definition above;</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losses on held-to-maturity securities;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costs of acquisitions;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on bonds;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extinguishment of debt;</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settlement charges;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rata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from unconsolidated joint ventures; and</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adjustments we have identified herein.</w:t>
      </w:r>
    </w:p>
    <w:p>
      <w:pPr>
        <w:spacing w:after="0" w:line="205" w:lineRule="exact"/>
        <w:rPr>
          <w:sz w:val="20"/>
          <w:szCs w:val="20"/>
          <w:color w:val="auto"/>
        </w:rPr>
      </w:pPr>
    </w:p>
    <w:p>
      <w:pPr>
        <w:ind w:left="60" w:right="119"/>
        <w:spacing w:after="0" w:line="284" w:lineRule="auto"/>
        <w:rPr>
          <w:sz w:val="20"/>
          <w:szCs w:val="20"/>
          <w:color w:val="auto"/>
        </w:rPr>
      </w:pPr>
      <w:r>
        <w:rPr>
          <w:rFonts w:ascii="Times New Roman" w:cs="Times New Roman" w:eastAsia="Times New Roman" w:hAnsi="Times New Roman"/>
          <w:sz w:val="18"/>
          <w:szCs w:val="18"/>
          <w:color w:val="auto"/>
        </w:rPr>
        <w:t>We then exclude the pro rata share of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related to noncontrolling interests in consolidated joint ventures to calculate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Excluding Noncontrolling Interest in Consolidated Joint Venture.</w:t>
      </w:r>
    </w:p>
    <w:p>
      <w:pPr>
        <w:spacing w:after="0" w:line="158"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We use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and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Excluding Noncontrolling Interest in Consolidated Joint Venture to evaluate our operating performance. We believe that the presentation of these non-GAAP financial measures provides useful information to investors regarding our operating performance and debt leverage metrics, and that the presentation of these non-GAAP financial measures, when combined with the primary GAAP presentation of net income, is beneficial to an investor’s complete understanding of our operating performance. We make additional adjustments to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when evaluating our performance because we believe that presenting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and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Excluding Noncontrolling Interest in Consolidated Joint Venture provides useful information to investors regarding our operating performance and debt leverage metrics.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FFO, Adjusted FFO, and Adjusted FFO available to common stockholders and unit holders Definition</w:t>
      </w:r>
    </w:p>
    <w:p>
      <w:pPr>
        <w:spacing w:after="0" w:line="225" w:lineRule="exact"/>
        <w:rPr>
          <w:sz w:val="20"/>
          <w:szCs w:val="20"/>
          <w:color w:val="auto"/>
        </w:rPr>
      </w:pPr>
    </w:p>
    <w:p>
      <w:pPr>
        <w:ind w:left="60" w:right="79"/>
        <w:spacing w:after="0" w:line="257" w:lineRule="auto"/>
        <w:rPr>
          <w:sz w:val="20"/>
          <w:szCs w:val="20"/>
          <w:color w:val="auto"/>
        </w:rPr>
      </w:pPr>
      <w:r>
        <w:rPr>
          <w:rFonts w:ascii="Times New Roman" w:cs="Times New Roman" w:eastAsia="Times New Roman" w:hAnsi="Times New Roman"/>
          <w:sz w:val="18"/>
          <w:szCs w:val="18"/>
          <w:color w:val="auto"/>
        </w:rPr>
        <w:t>We calculate FFO</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which definition is clarified by NAREIT in its December 2018 white paper as net income (calculated in accordance with GAAP) excluding depreciation and amortization (excluding amortization of deferred financing costs and debt discounts), gains and losses from the sale of certain real estate assets, gains and losses from a change in control, impairment write-downs of certain real estate assets and investments in entities when the impairment is directly attributable to decreases in the value of depreciated real estate held by the entity, income (loss) from consolidated joint ventures attributable to noncontrolling interest, and pro rata adjustments for unconsolidated joint ventures.</w:t>
      </w:r>
    </w:p>
    <w:p>
      <w:pPr>
        <w:spacing w:after="0" w:line="184"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To calculate Adjusted FFO available to common stockholders and unit holders, we then exclude, to the extent the following adjustments occurred during the periods presented:</w:t>
      </w:r>
    </w:p>
    <w:p>
      <w:pPr>
        <w:spacing w:after="0" w:line="162" w:lineRule="exact"/>
        <w:rPr>
          <w:sz w:val="20"/>
          <w:szCs w:val="20"/>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Right-of-use asset amortization;</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that do not meet the NAREIT definition above;</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Write-offs of deferred financing costs;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debt discounts or premiums and amortization of deferred financing costs;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extinguishment of debt;</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lease expense;</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loss on held-to-maturity securities;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settlement charges;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pro rata adjustments from unconsolidated joint ventures;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losses on other assets;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costs of acquisitions;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income tax expense (benefit); and</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adjustments we have identified herein.</w:t>
      </w:r>
    </w:p>
    <w:p>
      <w:pPr>
        <w:spacing w:after="0" w:line="207" w:lineRule="exact"/>
        <w:rPr>
          <w:sz w:val="20"/>
          <w:szCs w:val="20"/>
          <w:color w:val="auto"/>
        </w:rPr>
      </w:pPr>
    </w:p>
    <w:p>
      <w:pPr>
        <w:ind w:left="60" w:right="419"/>
        <w:spacing w:after="0" w:line="282" w:lineRule="auto"/>
        <w:rPr>
          <w:sz w:val="20"/>
          <w:szCs w:val="20"/>
          <w:color w:val="auto"/>
        </w:rPr>
      </w:pPr>
      <w:r>
        <w:rPr>
          <w:rFonts w:ascii="Times New Roman" w:cs="Times New Roman" w:eastAsia="Times New Roman" w:hAnsi="Times New Roman"/>
          <w:sz w:val="18"/>
          <w:szCs w:val="18"/>
          <w:color w:val="auto"/>
        </w:rPr>
        <w:t>FFO available to common stockholders and unit holders and Adjusted FFO available to common stockholders and unit holders exclude the ownership portion of the joint ventures not controlled or owned by the Company.</w:t>
      </w:r>
    </w:p>
    <w:p>
      <w:pPr>
        <w:spacing w:after="0" w:line="162"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We believe that the presentation of FFO available to common stockholders and unit holders and Adjusted FFO available to common stockholders and unit holders provides useful information to investors regarding the performance of our ongoing operations because they are a measure of our operations without regard to specified non-cash items such as real estate depreciation and amortization, gain or loss on sale of assets and certain other items, which we believe are not indicative of the performance of our underlying hotel properties. We believe that these items are more representative of our asset base than our ongoing operations. We also use these non-GAAP financial measures as measures in determining our results after considering the impact of our capital structure.</w:t>
      </w:r>
    </w:p>
    <w:p>
      <w:pPr>
        <w:spacing w:after="0" w:line="187"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color w:val="auto"/>
        </w:rPr>
        <w:t>We caution investors that amounts presented in accordance with our definitions of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Excluding Noncontrolling Interest, FFO available to common stockholders and unit holders, and Adjusted FFO available to common stockholders and unit holders may not be comparable to similar measures disclosed by other companies, because not all companies calculate these non-GAAP measures in the same manner. These non-GAAP financial measures, and any related per share measures, should not be considered as alternative measures of our Net Income, operating performance, cash flow or liquidity. These non-GAAP financial measures may include funds that may not be available for our discretionary use due to functional requirements to conserve funds for capital expenditures and property acquisitions and other commitments and uncertainties. Although we believe that these non-GAAP financial measures can enhance an investor’s understanding of our results of operations, these non-GAAP financial measures, when viewed individually, are not necessarily better indicators of any trend as compared to GAAP measures such as Net Income (Loss), Operating Income (Loss), or cash flow from operations.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419"/>
        <w:spacing w:after="0" w:line="284" w:lineRule="auto"/>
        <w:rPr>
          <w:sz w:val="20"/>
          <w:szCs w:val="20"/>
          <w:color w:val="auto"/>
        </w:rPr>
      </w:pPr>
      <w:r>
        <w:rPr>
          <w:rFonts w:ascii="Times New Roman" w:cs="Times New Roman" w:eastAsia="Times New Roman" w:hAnsi="Times New Roman"/>
          <w:sz w:val="18"/>
          <w:szCs w:val="18"/>
          <w:color w:val="auto"/>
        </w:rPr>
        <w:t>The following is a reconciliation of our consolidated GAAP net income to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and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for the three and six months ended June 30, 2024 and 2023 (in thousands):</w:t>
      </w:r>
    </w:p>
    <w:p>
      <w:pPr>
        <w:spacing w:after="0" w:line="15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0" w:type="dxa"/>
            <w:vAlign w:val="bottom"/>
            <w:gridSpan w:val="4"/>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5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0" w:type="dxa"/>
            <w:vAlign w:val="bottom"/>
            <w:gridSpan w:val="4"/>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96"/>
        </w:trPr>
        <w:tc>
          <w:tcPr>
            <w:tcW w:w="51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CCEEFF"/>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104,740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70,143</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$ 147,501</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$ 131,137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Interest expense, net</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49,513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43,861</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102,434</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83,842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12,200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3,544</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12,730</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5,177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58,553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48,257</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115,755</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96,614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Gain on sale of assets</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(270)</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51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Pro rata EBITDA</w:t>
            </w:r>
            <w:r>
              <w:rPr>
                <w:rFonts w:ascii="Times New Roman" w:cs="Times New Roman" w:eastAsia="Times New Roman" w:hAnsi="Times New Roman"/>
                <w:sz w:val="17"/>
                <w:szCs w:val="17"/>
                <w:i w:val="1"/>
                <w:iCs w:val="1"/>
                <w:color w:val="auto"/>
              </w:rPr>
              <w:t>re</w:t>
            </w:r>
            <w:r>
              <w:rPr>
                <w:rFonts w:ascii="Times New Roman" w:cs="Times New Roman" w:eastAsia="Times New Roman" w:hAnsi="Times New Roman"/>
                <w:sz w:val="17"/>
                <w:szCs w:val="17"/>
                <w:color w:val="auto"/>
              </w:rPr>
              <w:t xml:space="preserve"> from unconsolidated joint ventures</w:t>
            </w: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4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8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EBITDA</w:t>
            </w:r>
            <w:r>
              <w:rPr>
                <w:rFonts w:ascii="Times New Roman" w:cs="Times New Roman" w:eastAsia="Times New Roman" w:hAnsi="Times New Roman"/>
                <w:sz w:val="17"/>
                <w:szCs w:val="17"/>
                <w:i w:val="1"/>
                <w:iCs w:val="1"/>
                <w:color w:val="auto"/>
              </w:rPr>
              <w:t>re</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225,008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165,813</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378,154</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316,787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Preopening costs</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2,491</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Non-cash lease expense</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933</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1,499</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1,858</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Equity-based compensation expense</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3,383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3,801</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7,245</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7,540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Interest income on Gaylord National bonds</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1,195</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1,270</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2,390</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Loss on extinguishment of debt</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2,252</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2,319</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Pro rata adjusted EBITDA</w:t>
            </w:r>
            <w:r>
              <w:rPr>
                <w:rFonts w:ascii="Times New Roman" w:cs="Times New Roman" w:eastAsia="Times New Roman" w:hAnsi="Times New Roman"/>
                <w:sz w:val="17"/>
                <w:szCs w:val="17"/>
                <w:i w:val="1"/>
                <w:iCs w:val="1"/>
                <w:color w:val="auto"/>
              </w:rPr>
              <w:t>re</w:t>
            </w:r>
            <w:r>
              <w:rPr>
                <w:rFonts w:ascii="Times New Roman" w:cs="Times New Roman" w:eastAsia="Times New Roman" w:hAnsi="Times New Roman"/>
                <w:sz w:val="17"/>
                <w:szCs w:val="17"/>
                <w:color w:val="auto"/>
              </w:rPr>
              <w:t xml:space="preserve"> from unconsolidated joint ventures</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(176)</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(197)</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6"/>
        </w:trPr>
        <w:tc>
          <w:tcPr>
            <w:tcW w:w="5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17"/>
                <w:szCs w:val="17"/>
                <w:i w:val="1"/>
                <w:iCs w:val="1"/>
                <w:color w:val="auto"/>
              </w:rPr>
              <w:t>re</w:t>
            </w: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233,195</w:t>
            </w: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174,702</w:t>
            </w:r>
          </w:p>
        </w:tc>
        <w:tc>
          <w:tcPr>
            <w:tcW w:w="140" w:type="dxa"/>
            <w:vAlign w:val="bottom"/>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394,260</w:t>
            </w:r>
          </w:p>
        </w:tc>
        <w:tc>
          <w:tcPr>
            <w:tcW w:w="180" w:type="dxa"/>
            <w:vAlign w:val="bottom"/>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332,377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120" w:type="dxa"/>
            <w:vAlign w:val="bottom"/>
            <w:shd w:val="clear" w:color="auto" w:fill="CCEEFF"/>
          </w:tcPr>
          <w:p>
            <w:pPr>
              <w:ind w:left="120"/>
              <w:spacing w:after="0" w:line="181" w:lineRule="exact"/>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17"/>
                <w:szCs w:val="17"/>
                <w:i w:val="1"/>
                <w:iCs w:val="1"/>
                <w:color w:val="auto"/>
              </w:rPr>
              <w:t>re</w:t>
            </w:r>
            <w:r>
              <w:rPr>
                <w:rFonts w:ascii="Times New Roman" w:cs="Times New Roman" w:eastAsia="Times New Roman" w:hAnsi="Times New Roman"/>
                <w:sz w:val="17"/>
                <w:szCs w:val="17"/>
                <w:color w:val="auto"/>
              </w:rPr>
              <w:t xml:space="preserve"> of noncontrolling interest in consolidated joint</w:t>
            </w: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venture</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(10,722)</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(8,819)</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(15,384)</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(13,115)</w:t>
            </w:r>
          </w:p>
        </w:tc>
        <w:tc>
          <w:tcPr>
            <w:tcW w:w="0" w:type="dxa"/>
            <w:vAlign w:val="bottom"/>
          </w:tcPr>
          <w:p>
            <w:pPr>
              <w:spacing w:after="0"/>
              <w:rPr>
                <w:sz w:val="1"/>
                <w:szCs w:val="1"/>
                <w:color w:val="auto"/>
              </w:rPr>
            </w:pPr>
          </w:p>
        </w:tc>
      </w:tr>
      <w:tr>
        <w:trPr>
          <w:trHeight w:val="161"/>
        </w:trPr>
        <w:tc>
          <w:tcPr>
            <w:tcW w:w="5120" w:type="dxa"/>
            <w:vAlign w:val="bottom"/>
          </w:tcPr>
          <w:p>
            <w:pPr>
              <w:ind w:left="20"/>
              <w:spacing w:after="0" w:line="161" w:lineRule="exact"/>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17"/>
                <w:szCs w:val="17"/>
                <w:i w:val="1"/>
                <w:iCs w:val="1"/>
                <w:color w:val="auto"/>
              </w:rPr>
              <w:t>re</w:t>
            </w:r>
            <w:r>
              <w:rPr>
                <w:rFonts w:ascii="Times New Roman" w:cs="Times New Roman" w:eastAsia="Times New Roman" w:hAnsi="Times New Roman"/>
                <w:sz w:val="17"/>
                <w:szCs w:val="17"/>
                <w:color w:val="auto"/>
              </w:rPr>
              <w:t>, excluding noncontrolling interest in consolidated</w:t>
            </w:r>
          </w:p>
        </w:tc>
        <w:tc>
          <w:tcPr>
            <w:tcW w:w="180" w:type="dxa"/>
            <w:vAlign w:val="bottom"/>
            <w:tcBorders>
              <w:top w:val="single" w:sz="8" w:color="auto"/>
            </w:tcBorders>
            <w:vMerge w:val="restart"/>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222,473</w:t>
            </w:r>
          </w:p>
        </w:tc>
        <w:tc>
          <w:tcPr>
            <w:tcW w:w="180" w:type="dxa"/>
            <w:vAlign w:val="bottom"/>
          </w:tcPr>
          <w:p>
            <w:pPr>
              <w:spacing w:after="0"/>
              <w:rPr>
                <w:sz w:val="13"/>
                <w:szCs w:val="13"/>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165,883</w:t>
            </w:r>
          </w:p>
        </w:tc>
        <w:tc>
          <w:tcPr>
            <w:tcW w:w="140" w:type="dxa"/>
            <w:vAlign w:val="bottom"/>
          </w:tcPr>
          <w:p>
            <w:pPr>
              <w:spacing w:after="0"/>
              <w:rPr>
                <w:sz w:val="13"/>
                <w:szCs w:val="13"/>
                <w:color w:val="auto"/>
              </w:rPr>
            </w:pP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$ 378,876</w:t>
            </w:r>
          </w:p>
        </w:tc>
        <w:tc>
          <w:tcPr>
            <w:tcW w:w="180" w:type="dxa"/>
            <w:vAlign w:val="bottom"/>
          </w:tcPr>
          <w:p>
            <w:pPr>
              <w:spacing w:after="0"/>
              <w:rPr>
                <w:sz w:val="13"/>
                <w:szCs w:val="13"/>
                <w:color w:val="auto"/>
              </w:rPr>
            </w:pPr>
          </w:p>
        </w:tc>
        <w:tc>
          <w:tcPr>
            <w:tcW w:w="7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$ 319,262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joint venture</w:t>
            </w:r>
          </w:p>
        </w:tc>
        <w:tc>
          <w:tcPr>
            <w:tcW w:w="180" w:type="dxa"/>
            <w:vAlign w:val="bottom"/>
            <w:tcBorders>
              <w:bottom w:val="single" w:sz="8" w:color="auto"/>
            </w:tcBorders>
            <w:vMerge w:val="continue"/>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399"/>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our consolidated GAAP net income to FFO and Adjusted FFO for the three and six months ended June 30, 2024 and 2023 (in thousands):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2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5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2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6"/>
        </w:trPr>
        <w:tc>
          <w:tcPr>
            <w:tcW w:w="5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CCEEFF"/>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CCEEFF"/>
            </w:tcBorders>
          </w:tcPr>
          <w:p>
            <w:pPr>
              <w:spacing w:after="0"/>
              <w:rPr>
                <w:sz w:val="17"/>
                <w:szCs w:val="17"/>
                <w:color w:val="auto"/>
              </w:rPr>
            </w:pPr>
          </w:p>
        </w:tc>
      </w:tr>
      <w:tr>
        <w:trPr>
          <w:trHeight w:val="20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104,740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70,143</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$ 147,501</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$ 131,137</w:t>
            </w:r>
          </w:p>
        </w:tc>
        <w:tc>
          <w:tcPr>
            <w:tcW w:w="60" w:type="dxa"/>
            <w:vAlign w:val="bottom"/>
            <w:shd w:val="clear" w:color="auto" w:fill="CCEEFF"/>
          </w:tcPr>
          <w:p>
            <w:pPr>
              <w:spacing w:after="0"/>
              <w:rPr>
                <w:sz w:val="18"/>
                <w:szCs w:val="18"/>
                <w:color w:val="auto"/>
              </w:rPr>
            </w:pPr>
          </w:p>
        </w:tc>
      </w:tr>
      <w:tr>
        <w:trPr>
          <w:trHeight w:val="216"/>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Noncontrolling interest in consolidated joint venture</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(3,270)</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(3,134)</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(2,691)</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(2,371)</w:t>
            </w:r>
          </w:p>
        </w:tc>
      </w:tr>
      <w:tr>
        <w:trPr>
          <w:trHeight w:val="210"/>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available to common stockholders and unit holders</w:t>
            </w: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101,470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67,009</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144,810</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128,766</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58,506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48,227</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115,660</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96,553</w:t>
            </w:r>
          </w:p>
        </w:tc>
        <w:tc>
          <w:tcPr>
            <w:tcW w:w="60" w:type="dxa"/>
            <w:vAlign w:val="bottom"/>
          </w:tcPr>
          <w:p>
            <w:pPr>
              <w:spacing w:after="0"/>
              <w:rPr>
                <w:sz w:val="18"/>
                <w:szCs w:val="18"/>
                <w:color w:val="auto"/>
              </w:rPr>
            </w:pPr>
          </w:p>
        </w:tc>
      </w:tr>
      <w:tr>
        <w:trPr>
          <w:trHeight w:val="216"/>
        </w:trPr>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Adjustments for noncontrolling interest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(2,331)</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(1,620)</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(4,352)</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(3,200)</w:t>
            </w:r>
          </w:p>
        </w:tc>
      </w:tr>
      <w:tr>
        <w:trPr>
          <w:trHeight w:val="216"/>
        </w:trPr>
        <w:tc>
          <w:tcPr>
            <w:tcW w:w="51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Pro rata adjustments from joint ventures</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60" w:type="dxa"/>
            <w:vAlign w:val="bottom"/>
            <w:tcBorders>
              <w:bottom w:val="single" w:sz="8" w:color="CCEEFF"/>
            </w:tcBorders>
          </w:tcPr>
          <w:p>
            <w:pPr>
              <w:spacing w:after="0"/>
              <w:rPr>
                <w:sz w:val="18"/>
                <w:szCs w:val="18"/>
                <w:color w:val="auto"/>
              </w:rPr>
            </w:pPr>
          </w:p>
        </w:tc>
      </w:tr>
      <w:tr>
        <w:trPr>
          <w:trHeight w:val="20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FFO available to common stockholders and unit holders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157,647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113,639</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256,120</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222,165</w:t>
            </w:r>
          </w:p>
        </w:tc>
        <w:tc>
          <w:tcPr>
            <w:tcW w:w="60" w:type="dxa"/>
            <w:vAlign w:val="bottom"/>
            <w:shd w:val="clear" w:color="auto" w:fill="CCEEFF"/>
          </w:tcPr>
          <w:p>
            <w:pPr>
              <w:spacing w:after="0"/>
              <w:rPr>
                <w:sz w:val="18"/>
                <w:szCs w:val="18"/>
                <w:color w:val="auto"/>
              </w:rPr>
            </w:pPr>
          </w:p>
        </w:tc>
      </w:tr>
      <w:tr>
        <w:trPr>
          <w:trHeight w:val="216"/>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Right-of-use asset amortization</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60" w:type="dxa"/>
            <w:vAlign w:val="bottom"/>
          </w:tcPr>
          <w:p>
            <w:pPr>
              <w:spacing w:after="0"/>
              <w:rPr>
                <w:sz w:val="18"/>
                <w:szCs w:val="18"/>
                <w:color w:val="auto"/>
              </w:rPr>
            </w:pPr>
          </w:p>
        </w:tc>
      </w:tr>
      <w:tr>
        <w:trPr>
          <w:trHeight w:val="216"/>
        </w:trPr>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Non-cash lease expense</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60" w:type="dxa"/>
            <w:vAlign w:val="bottom"/>
            <w:shd w:val="clear" w:color="auto" w:fill="CCEEFF"/>
          </w:tcPr>
          <w:p>
            <w:pPr>
              <w:spacing w:after="0"/>
              <w:rPr>
                <w:sz w:val="18"/>
                <w:szCs w:val="18"/>
                <w:color w:val="auto"/>
              </w:rPr>
            </w:pPr>
          </w:p>
        </w:tc>
      </w:tr>
      <w:tr>
        <w:trPr>
          <w:trHeight w:val="216"/>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 rata adjustments from joint ventures</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(197)</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Gain on other assets</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(270)</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2,633</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5,348</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5,307</w:t>
            </w:r>
          </w:p>
        </w:tc>
        <w:tc>
          <w:tcPr>
            <w:tcW w:w="60" w:type="dxa"/>
            <w:vAlign w:val="bottom"/>
          </w:tcPr>
          <w:p>
            <w:pPr>
              <w:spacing w:after="0"/>
              <w:rPr>
                <w:sz w:val="18"/>
                <w:szCs w:val="18"/>
                <w:color w:val="auto"/>
              </w:rPr>
            </w:pPr>
          </w:p>
        </w:tc>
      </w:tr>
      <w:tr>
        <w:trPr>
          <w:trHeight w:val="216"/>
        </w:trPr>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debt discounts and premiums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60" w:type="dxa"/>
            <w:vAlign w:val="bottom"/>
            <w:shd w:val="clear" w:color="auto" w:fill="CCEEFF"/>
          </w:tcPr>
          <w:p>
            <w:pPr>
              <w:spacing w:after="0"/>
              <w:rPr>
                <w:sz w:val="18"/>
                <w:szCs w:val="18"/>
                <w:color w:val="auto"/>
              </w:rPr>
            </w:pPr>
          </w:p>
        </w:tc>
      </w:tr>
      <w:tr>
        <w:trPr>
          <w:trHeight w:val="216"/>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2,319</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60" w:type="dxa"/>
            <w:vAlign w:val="bottom"/>
          </w:tcPr>
          <w:p>
            <w:pPr>
              <w:spacing w:after="0"/>
              <w:rPr>
                <w:sz w:val="18"/>
                <w:szCs w:val="18"/>
                <w:color w:val="auto"/>
              </w:rPr>
            </w:pPr>
          </w:p>
        </w:tc>
      </w:tr>
      <w:tr>
        <w:trPr>
          <w:trHeight w:val="216"/>
        </w:trPr>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Adjustments for noncontrolling interest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(1,253)</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(870)</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(1,118)</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(1,282)</w:t>
            </w:r>
          </w:p>
        </w:tc>
      </w:tr>
      <w:tr>
        <w:trPr>
          <w:trHeight w:val="216"/>
        </w:trPr>
        <w:tc>
          <w:tcPr>
            <w:tcW w:w="51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Deferred tax provision</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2,664</w:t>
            </w:r>
          </w:p>
        </w:tc>
        <w:tc>
          <w:tcPr>
            <w:tcW w:w="14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10,664</w:t>
            </w:r>
          </w:p>
        </w:tc>
        <w:tc>
          <w:tcPr>
            <w:tcW w:w="1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3,431</w:t>
            </w:r>
          </w:p>
        </w:tc>
        <w:tc>
          <w:tcPr>
            <w:tcW w:w="60" w:type="dxa"/>
            <w:vAlign w:val="bottom"/>
            <w:tcBorders>
              <w:bottom w:val="single" w:sz="8" w:color="CCEEFF"/>
            </w:tcBorders>
          </w:tcPr>
          <w:p>
            <w:pPr>
              <w:spacing w:after="0"/>
              <w:rPr>
                <w:sz w:val="18"/>
                <w:szCs w:val="18"/>
                <w:color w:val="auto"/>
              </w:rPr>
            </w:pPr>
          </w:p>
        </w:tc>
      </w:tr>
      <w:tr>
        <w:trPr>
          <w:trHeight w:val="209"/>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FFO available to common stockholders and unit holders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173,432</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122,392</w:t>
            </w: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$ 276,126</w:t>
            </w:r>
          </w:p>
        </w:tc>
        <w:tc>
          <w:tcPr>
            <w:tcW w:w="1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$ 235,985</w:t>
            </w:r>
          </w:p>
        </w:tc>
        <w:tc>
          <w:tcPr>
            <w:tcW w:w="60" w:type="dxa"/>
            <w:vAlign w:val="bottom"/>
            <w:tcBorders>
              <w:bottom w:val="single" w:sz="8" w:color="CCEEFF"/>
            </w:tcBorders>
            <w:shd w:val="clear" w:color="auto" w:fill="CCEEFF"/>
          </w:tcPr>
          <w:p>
            <w:pPr>
              <w:spacing w:after="0"/>
              <w:rPr>
                <w:sz w:val="18"/>
                <w:szCs w:val="18"/>
                <w:color w:val="auto"/>
              </w:rPr>
            </w:pPr>
          </w:p>
        </w:tc>
      </w:tr>
      <w:tr>
        <w:trPr>
          <w:trHeight w:val="20"/>
        </w:trPr>
        <w:tc>
          <w:tcPr>
            <w:tcW w:w="5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00"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i w:val="1"/>
          <w:iCs w:val="1"/>
          <w:color w:val="auto"/>
        </w:rPr>
        <w:t>Cash Flows Provided By Operating Activities</w:t>
      </w:r>
      <w:r>
        <w:rPr>
          <w:rFonts w:ascii="Times New Roman" w:cs="Times New Roman" w:eastAsia="Times New Roman" w:hAnsi="Times New Roman"/>
          <w:sz w:val="18"/>
          <w:szCs w:val="18"/>
          <w:color w:val="auto"/>
        </w:rPr>
        <w:t>. Cash flow from operating activities is the principal source of cash used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fund our operating expenses, interest payments on debt, maintenance capital expenditures, and dividends to stockholders. During the six months ended June 30, 2024, our net cash flows provided by operating activities were $191.8 million, primarily reflecting our net income before depreciation expense, amortization expense and other non-</w:t>
      </w:r>
    </w:p>
    <w:p>
      <w:pPr>
        <w:sectPr>
          <w:pgSz w:w="11900" w:h="16838" w:orient="portrait"/>
          <w:cols w:equalWidth="0" w:num="1">
            <w:col w:w="9019"/>
          </w:cols>
          <w:pgMar w:left="1440" w:top="513" w:right="1440"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81" w:lineRule="auto"/>
        <w:rPr>
          <w:sz w:val="20"/>
          <w:szCs w:val="20"/>
          <w:color w:val="auto"/>
        </w:rPr>
      </w:pPr>
      <w:r>
        <w:rPr>
          <w:rFonts w:ascii="Times New Roman" w:cs="Times New Roman" w:eastAsia="Times New Roman" w:hAnsi="Times New Roman"/>
          <w:sz w:val="17"/>
          <w:szCs w:val="17"/>
          <w:color w:val="auto"/>
        </w:rPr>
        <w:t>cash charges of $286.3 million, partially offset by unfavorable changes in working capital of $94.5 million. The unfavorable changes in working capital primarily resulted from a decrease in accounts payable and accrued liabilities primarily related to compensation, property tax accruals and the payment of liabilities associated with our seasonal holiday programs and an increase in accounts receivable due to a seasonal increase in group business at our hotel properties.</w:t>
      </w:r>
    </w:p>
    <w:p>
      <w:pPr>
        <w:spacing w:after="0" w:line="1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During the six months ended June 30, 2023, our net cash flows provided by operating activities were $215.5 million,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primarily reflecting our net income before depreciation expense, amortization expense and other non-cash charges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$249.0 million, partially offset by unfavorable changes in working capital of $33.5 million. The unfavorable changes in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working capital primarily resulted from a decrease in accounts payable and accrued liabilities primarily related to</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compensation and property tax accruals, partially offset by a decrease in accounts receivable due to the timing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collections, an increase in advanced ticket purchases at our OEG venues and an increase in advanced deposits on future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hotel room stays.</w:t>
      </w:r>
    </w:p>
    <w:p>
      <w:pPr>
        <w:spacing w:after="0" w:line="164" w:lineRule="exact"/>
        <w:rPr>
          <w:sz w:val="20"/>
          <w:szCs w:val="20"/>
          <w:color w:val="auto"/>
        </w:rPr>
      </w:pPr>
    </w:p>
    <w:p>
      <w:pPr>
        <w:ind w:left="60" w:right="7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Cash Flows Used In Investing Activities. </w:t>
      </w:r>
      <w:r>
        <w:rPr>
          <w:rFonts w:ascii="Times New Roman" w:cs="Times New Roman" w:eastAsia="Times New Roman" w:hAnsi="Times New Roman"/>
          <w:sz w:val="18"/>
          <w:szCs w:val="18"/>
          <w:color w:val="auto"/>
        </w:rPr>
        <w:t>During the six months ended June 30, 2024, our primary uses of funds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investing activities were purchases of property and equipment, which totaled $184.9 million, and consisted primarily of enhancements at Gaylord Rockies to construct a new events pavilion, enhance the grand lodge and reposition its food and beverage outlets; a rooms renovation at the W Austin Hotel and common area enhancements at Block 21; the conversion of the Wildhorse Saloon to Category 10; the completion of Ole Red Las Vegas; a rooms renovation at Gaylord Palms; and ongoing maintenance capital expenditures for each of our existing properties.</w:t>
      </w:r>
    </w:p>
    <w:p>
      <w:pPr>
        <w:spacing w:after="0" w:line="144" w:lineRule="exact"/>
        <w:rPr>
          <w:sz w:val="20"/>
          <w:szCs w:val="20"/>
          <w:color w:val="auto"/>
        </w:rPr>
      </w:pPr>
    </w:p>
    <w:p>
      <w:pPr>
        <w:jc w:val="both"/>
        <w:ind w:left="60" w:right="79"/>
        <w:spacing w:after="0" w:line="258" w:lineRule="auto"/>
        <w:rPr>
          <w:sz w:val="20"/>
          <w:szCs w:val="20"/>
          <w:color w:val="auto"/>
        </w:rPr>
      </w:pPr>
      <w:r>
        <w:rPr>
          <w:rFonts w:ascii="Times New Roman" w:cs="Times New Roman" w:eastAsia="Times New Roman" w:hAnsi="Times New Roman"/>
          <w:sz w:val="18"/>
          <w:szCs w:val="18"/>
          <w:color w:val="auto"/>
        </w:rPr>
        <w:t>During the six months ended June 30, 2023, our primary use of funds for investing activities were the use of $791.5 million to purchase JW Marriott Hill Country and purchases of property and equipment, which totaled $78.2 million. Purchases of property and equipment consisted primarily of enhancements to the offerings at Block 21, the construction of Ole Red Las Vegas, enhancements at Gaylord Rockies to better position the property for our group customers, and ongoing maintenance capital expenditures for each of our existing properties.</w:t>
      </w:r>
    </w:p>
    <w:p>
      <w:pPr>
        <w:spacing w:after="0" w:line="154" w:lineRule="exact"/>
        <w:rPr>
          <w:sz w:val="20"/>
          <w:szCs w:val="20"/>
          <w:color w:val="auto"/>
        </w:rPr>
      </w:pPr>
    </w:p>
    <w:p>
      <w:pPr>
        <w:ind w:left="60" w:right="199"/>
        <w:spacing w:after="0" w:line="257" w:lineRule="auto"/>
        <w:rPr>
          <w:sz w:val="20"/>
          <w:szCs w:val="20"/>
          <w:color w:val="auto"/>
        </w:rPr>
      </w:pPr>
      <w:r>
        <w:rPr>
          <w:rFonts w:ascii="Times New Roman" w:cs="Times New Roman" w:eastAsia="Times New Roman" w:hAnsi="Times New Roman"/>
          <w:sz w:val="18"/>
          <w:szCs w:val="18"/>
          <w:i w:val="1"/>
          <w:iCs w:val="1"/>
          <w:color w:val="auto"/>
        </w:rPr>
        <w:t>Cash Flows Provided By (Used In) Financing Activities</w:t>
      </w:r>
      <w:r>
        <w:rPr>
          <w:rFonts w:ascii="Times New Roman" w:cs="Times New Roman" w:eastAsia="Times New Roman" w:hAnsi="Times New Roman"/>
          <w:sz w:val="18"/>
          <w:szCs w:val="18"/>
          <w:color w:val="auto"/>
        </w:rPr>
        <w:t>. Our cash flows from financing activities primarily reflect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incurrence and repayment of long-term debt and the payment of cash dividends. During the six months ended June 30, 2024, our net cash flows used in financing activities were $157.1 million, primarily reflecting the issuance of $1 billion in 6.50% senior notes, offset by the prepayment of the Gaylord Rockies $800.0 million term loan, the repayment of $202.0 million under our term loan B, the payment of $133.4 million in cash dividends and the payment of $23.1 million in deferred financing costs.</w:t>
      </w:r>
    </w:p>
    <w:p>
      <w:pPr>
        <w:spacing w:after="0" w:line="144" w:lineRule="exact"/>
        <w:rPr>
          <w:sz w:val="20"/>
          <w:szCs w:val="20"/>
          <w:color w:val="auto"/>
        </w:rPr>
      </w:pPr>
    </w:p>
    <w:p>
      <w:pPr>
        <w:ind w:left="60" w:right="419"/>
        <w:spacing w:after="0" w:line="258" w:lineRule="auto"/>
        <w:rPr>
          <w:sz w:val="20"/>
          <w:szCs w:val="20"/>
          <w:color w:val="auto"/>
        </w:rPr>
      </w:pPr>
      <w:r>
        <w:rPr>
          <w:rFonts w:ascii="Times New Roman" w:cs="Times New Roman" w:eastAsia="Times New Roman" w:hAnsi="Times New Roman"/>
          <w:sz w:val="18"/>
          <w:szCs w:val="18"/>
          <w:color w:val="auto"/>
        </w:rPr>
        <w:t>During the six months ended June 30, 2023, our net cash flows provided by financing activities were $839.6 million, primarily reflecting the issuance of the $400 Million 7.25% Senior Notes (as defined below), $395.4 million in net proceeds from the issuance of approximately 4.4 million shares of our common stock, and the net borrowing of $123.8 million under our credit facility, partially offset by the payment of $55.7 million in cash dividends, and the payment of $23.7 million in deferred financing costs.</w:t>
      </w:r>
    </w:p>
    <w:p>
      <w:pPr>
        <w:spacing w:after="0" w:line="1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200"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At June 30, 2024, we had $498.4 million in unrestricted cash and $758.7 million available for borrowing in the aggregate under our revolving credit facility and the OEG revolving credit facility. During the six months ended June 30, 2024, we issued $1 billion in 6.50% senior notes, repaid the $800.0 million Gaylord Rockies term loan, repaid $202.0 million under our term loan B, incurred capital expenditures of $184.9 million and paid $133.4 million in cash dividends. These changes, partially offset by the cash flows provided by operations discussed above, were the primary factors in the decrease in our cash balance from December 31, 2023 to June 30, 2024.</w:t>
      </w:r>
    </w:p>
    <w:p>
      <w:pPr>
        <w:spacing w:after="0" w:line="147" w:lineRule="exact"/>
        <w:rPr>
          <w:sz w:val="20"/>
          <w:szCs w:val="20"/>
          <w:color w:val="auto"/>
        </w:rPr>
      </w:pPr>
    </w:p>
    <w:p>
      <w:pPr>
        <w:ind w:left="60" w:right="239"/>
        <w:spacing w:after="0" w:line="256" w:lineRule="auto"/>
        <w:rPr>
          <w:sz w:val="20"/>
          <w:szCs w:val="20"/>
          <w:color w:val="auto"/>
        </w:rPr>
      </w:pPr>
      <w:r>
        <w:rPr>
          <w:rFonts w:ascii="Times New Roman" w:cs="Times New Roman" w:eastAsia="Times New Roman" w:hAnsi="Times New Roman"/>
          <w:sz w:val="18"/>
          <w:szCs w:val="18"/>
          <w:color w:val="auto"/>
        </w:rPr>
        <w:t>We anticipate investing in our operations during the remainder of 2024 by spending between approximately $190 million and $240 million in capital expenditures, which includes projects at Gaylord Rockies to enhance the grand lodge and reposition its food and beverage outlets; enhancements to meeting spaces at Gaylord Opryland to further appeal to our target group customers; a rooms renovation at the W Austin Hotel and common area enhancements at Block 21; the conversion of the Wildhorse Saloon to Category 10; a rooms renovation at Gaylord Palms; and ongoing maintenance capital for each of our current facilities. Further, our dividend policy provides that we will make minimum dividends of</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79"/>
        <w:spacing w:after="0" w:line="266" w:lineRule="auto"/>
        <w:rPr>
          <w:sz w:val="20"/>
          <w:szCs w:val="20"/>
          <w:color w:val="auto"/>
        </w:rPr>
      </w:pPr>
      <w:r>
        <w:rPr>
          <w:rFonts w:ascii="Times New Roman" w:cs="Times New Roman" w:eastAsia="Times New Roman" w:hAnsi="Times New Roman"/>
          <w:sz w:val="18"/>
          <w:szCs w:val="18"/>
          <w:color w:val="auto"/>
        </w:rPr>
        <w:t>100% of REIT taxable income annually. Future dividends are subject to our board of directors’ future determinations as to amount and timing. We currently have no debt maturities until January 2026. We believe we will be able to refinance our debt agreements prior to their maturities.</w:t>
      </w:r>
    </w:p>
    <w:p>
      <w:pPr>
        <w:spacing w:after="0" w:line="149"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We believe that our cash on hand and cash flow from operations, together with amounts available for borrowing under each of our revolving credit facility and the OEG revolving credit facility, will be adequate to fund our general short-term commitments, as well as: (i) current operating expenses, (ii) interest expense on long-term debt obligations, (iii) financing lease and operating lease obligations, (iv) declared dividends and (v) the capital expenditures described above. Our ability to draw on our credit facility and the OEG revolving credit facility is subject to the satisfaction of provisions of the credit facility and the OEG revolving credit facility, as applicable.</w:t>
      </w:r>
    </w:p>
    <w:p>
      <w:pPr>
        <w:spacing w:after="0" w:line="147" w:lineRule="exact"/>
        <w:rPr>
          <w:sz w:val="20"/>
          <w:szCs w:val="20"/>
          <w:color w:val="auto"/>
        </w:rPr>
      </w:pPr>
    </w:p>
    <w:p>
      <w:pPr>
        <w:ind w:left="60" w:right="699"/>
        <w:spacing w:after="0" w:line="282" w:lineRule="auto"/>
        <w:rPr>
          <w:sz w:val="20"/>
          <w:szCs w:val="20"/>
          <w:color w:val="auto"/>
        </w:rPr>
      </w:pPr>
      <w:r>
        <w:rPr>
          <w:rFonts w:ascii="Times New Roman" w:cs="Times New Roman" w:eastAsia="Times New Roman" w:hAnsi="Times New Roman"/>
          <w:sz w:val="18"/>
          <w:szCs w:val="18"/>
          <w:color w:val="auto"/>
        </w:rPr>
        <w:t>Our outstanding principal debt agreements are described below. At June 30, 2024, there were no defaults under the covenants related to our outstanding debt.</w:t>
      </w:r>
    </w:p>
    <w:p>
      <w:pPr>
        <w:spacing w:after="0" w:line="1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Principal Debt Agreements</w:t>
      </w:r>
    </w:p>
    <w:p>
      <w:pPr>
        <w:spacing w:after="0" w:line="198"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i w:val="1"/>
          <w:iCs w:val="1"/>
          <w:color w:val="auto"/>
        </w:rPr>
        <w:t>Credit Facility</w:t>
      </w:r>
      <w:r>
        <w:rPr>
          <w:rFonts w:ascii="Times New Roman" w:cs="Times New Roman" w:eastAsia="Times New Roman" w:hAnsi="Times New Roman"/>
          <w:sz w:val="18"/>
          <w:szCs w:val="18"/>
          <w:color w:val="auto"/>
        </w:rPr>
        <w:t>. On May 18, 2023, we entered into a Credit Agreement (as supplemented, the “Credit Agreement”) among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as a guarantor, the Operating Partnership, as borrower, certain other subsidiaries of the Company party thereto, as guarantors, certain subsidiaries of the Company party thereto, as pledgors, the lenders party thereto and Wells Fargo Bank, National Association, as administrative agent, which replaced the Company’s previous credit facility.</w:t>
      </w:r>
    </w:p>
    <w:p>
      <w:pPr>
        <w:spacing w:after="0" w:line="141" w:lineRule="exact"/>
        <w:rPr>
          <w:sz w:val="20"/>
          <w:szCs w:val="20"/>
          <w:color w:val="auto"/>
        </w:rPr>
      </w:pPr>
    </w:p>
    <w:p>
      <w:pPr>
        <w:ind w:left="60" w:right="59"/>
        <w:spacing w:after="0" w:line="261" w:lineRule="auto"/>
        <w:rPr>
          <w:sz w:val="20"/>
          <w:szCs w:val="20"/>
          <w:color w:val="auto"/>
        </w:rPr>
      </w:pPr>
      <w:r>
        <w:rPr>
          <w:rFonts w:ascii="Times New Roman" w:cs="Times New Roman" w:eastAsia="Times New Roman" w:hAnsi="Times New Roman"/>
          <w:sz w:val="18"/>
          <w:szCs w:val="18"/>
          <w:color w:val="auto"/>
        </w:rPr>
        <w:t>The Credit Agreement provides for a $700.0 million revolving credit facility (the “Revolver”) and a senior secured term loan B (the “Term Loan B”) (in the original principal amount of $500.0 million, which was reduced to $295.0 million on March 28, 2024), as well as an accordion feature that will allow us to increase the facilities following the closing date by an aggregate total of up to $475 million, which may be allocated between the Revolver and the Term Loan B at our option.</w:t>
      </w:r>
    </w:p>
    <w:p>
      <w:pPr>
        <w:spacing w:after="0" w:line="139"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Each of the Revolver and the Term Loan B is guaranteed by us, each of our subsidiaries that own the Gaylord Hotels properties and certain of our other subsidiaries. Each of the Revolver and the Term Loan B is secured by equity pledges of our subsidiaries that are the fee owners of Gaylord Opryland and Gaylord Texan, their respective direct and indirect parent entities, and the equity of Ryman Hotel Operations Holdco, LLC, a wholly owned indirect subsidiary of the Company. Assets and equity of OEG are not subject to the liens of the Credit Agreement.</w:t>
      </w:r>
    </w:p>
    <w:p>
      <w:pPr>
        <w:spacing w:after="0" w:line="156"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In addition, each of the Revolver and Term Loan B contains certain covenants which, among other things, limit the incurrence of additional indebtedness, investments, dividends, transactions with affiliates, asset sales, acquisitions, mergers and consolidations, liens and encumbrances and other matters customarily restricted in such agreements. The material financial covenants, ratios or tests contained in the Credit Agreement are as follows:</w:t>
      </w:r>
    </w:p>
    <w:p>
      <w:pPr>
        <w:spacing w:after="0" w:line="139" w:lineRule="exact"/>
        <w:rPr>
          <w:sz w:val="20"/>
          <w:szCs w:val="20"/>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maintain a consolidated net leverage ratio of not greater than 6.50x.</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maintain a consolidated fixed charge coverage ratio of not less than 1.50x.</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secured indebtedness must not exceed 30% of consolidated total asset value.</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secured recourse indebtedness must not exceed 10% of consolidated total asset value.</w:t>
      </w:r>
    </w:p>
    <w:p>
      <w:pPr>
        <w:spacing w:after="0" w:line="184" w:lineRule="exact"/>
        <w:rPr>
          <w:rFonts w:ascii="Times New Roman" w:cs="Times New Roman" w:eastAsia="Times New Roman" w:hAnsi="Times New Roman"/>
          <w:sz w:val="18"/>
          <w:szCs w:val="18"/>
          <w:color w:val="auto"/>
        </w:rPr>
      </w:pPr>
    </w:p>
    <w:p>
      <w:pPr>
        <w:ind w:left="720" w:right="699" w:hanging="319"/>
        <w:spacing w:after="0" w:line="282"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Unencumbered leverage ratio must not exceed 55% (with the ability to surge to 60% in connection with a material acquisition).</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Unencumbered adjusted NOI to unsecured interest expense ratio not to be less than 2.0x.</w:t>
      </w:r>
    </w:p>
    <w:p>
      <w:pPr>
        <w:spacing w:after="0" w:line="185"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If an event of default shall occur and be continuing under the Credit Agreement, the commitments under the Credit Agreement may be terminated and the principal amount outstanding under the Credit Agreement, together with all accrued unpaid interest and other amounts owing in respect thereof, may be declared immediately due and payable.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i w:val="1"/>
          <w:iCs w:val="1"/>
          <w:color w:val="auto"/>
        </w:rPr>
        <w:t>Revolving Credit Facility</w:t>
      </w:r>
      <w:r>
        <w:rPr>
          <w:rFonts w:ascii="Times New Roman" w:cs="Times New Roman" w:eastAsia="Times New Roman" w:hAnsi="Times New Roman"/>
          <w:sz w:val="18"/>
          <w:szCs w:val="18"/>
          <w:color w:val="auto"/>
        </w:rPr>
        <w:t>. The maturity date of the Revolver is May 18, 2027, with the option to extend the maturity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 maximum of one additional year through either (i) a single 12-month extension option or (ii) two individual 6-month extensions. Borrowings under the Revolver bear interest at an annual rate equal to, at our option, either (i) Adjusted Term SOFR plus the applicable margin ranging from 1.40% to 2.00%, (ii) Adjusted Daily Simple SOFR plus the applicable margin ranging from 1.40% to 2.00% or (iii) a base rate as set forth in the Credit Agreement plus the applicable margin ranging from 0.40% to 1.00%, with each option dependent upon our funded debt to total asset value ratio (as defined in the Credit Agreement). Principal is payable in full at maturity, and the Revolver was undrawn at closing.</w:t>
      </w:r>
    </w:p>
    <w:p>
      <w:pPr>
        <w:spacing w:after="0" w:line="158" w:lineRule="exact"/>
        <w:rPr>
          <w:sz w:val="20"/>
          <w:szCs w:val="20"/>
          <w:color w:val="auto"/>
        </w:rPr>
      </w:pPr>
    </w:p>
    <w:p>
      <w:pPr>
        <w:jc w:val="both"/>
        <w:ind w:left="60" w:right="259"/>
        <w:spacing w:after="0" w:line="261" w:lineRule="auto"/>
        <w:rPr>
          <w:sz w:val="20"/>
          <w:szCs w:val="20"/>
          <w:color w:val="auto"/>
        </w:rPr>
      </w:pPr>
      <w:r>
        <w:rPr>
          <w:rFonts w:ascii="Times New Roman" w:cs="Times New Roman" w:eastAsia="Times New Roman" w:hAnsi="Times New Roman"/>
          <w:sz w:val="18"/>
          <w:szCs w:val="18"/>
          <w:color w:val="auto"/>
        </w:rPr>
        <w:t>For purposes of the Revolver, Adjusted Term SOFR is calculated as the sum of Term SOFR plus an adjustment of 0.10% (all as more specifically described in the Credit Agreement), subject to a floor of 0.00%. Adjusted Daily Simple SOFR is calculated as the sum of SOFR plus an adjustment of 0.10% (all as more specifically described in the Credit Agreement), subject to a floor of 0.00%.</w:t>
      </w:r>
    </w:p>
    <w:p>
      <w:pPr>
        <w:spacing w:after="0" w:line="139"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At June 30, 2024, no amounts were outstanding under the Revolver, and the lending banks had issued $4.3 million of letters of credit under the Credit Agreement, which left $695.7 million of availability under the Revolver (subject to the satisfaction of debt incurrence tests under the indentures governing our $1 Billion 6.50% Senior Notes, our $700 million in aggregate principal amount of senior notes due 2027 (the “$700 Million 4.75% Senior Notes”), our $600 million in aggregate principal amount of senior notes due 2029 (the “$600 Million 4.50% Senior Notes”) and our $400 million in aggregate principal amount of senior notes due 2028 (the “$400 Million 7.25% Senior Notes”), which we met at June 30, 2024).</w:t>
      </w:r>
    </w:p>
    <w:p>
      <w:pPr>
        <w:spacing w:after="0" w:line="146" w:lineRule="exact"/>
        <w:rPr>
          <w:sz w:val="20"/>
          <w:szCs w:val="20"/>
          <w:color w:val="auto"/>
        </w:rPr>
      </w:pPr>
    </w:p>
    <w:p>
      <w:pPr>
        <w:ind w:left="60" w:right="31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Term Loan B. </w:t>
      </w:r>
      <w:r>
        <w:rPr>
          <w:rFonts w:ascii="Times New Roman" w:cs="Times New Roman" w:eastAsia="Times New Roman" w:hAnsi="Times New Roman"/>
          <w:sz w:val="18"/>
          <w:szCs w:val="18"/>
          <w:color w:val="auto"/>
        </w:rPr>
        <w:t>The Term Loan B has a maturity date of May 18, 2030. Prior to the effectiveness of the Incremental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Agreements (as hereinafter defined), the applicable interest rate margins for borrowings under the Term Loan B were, at our option, either (i) Term SOFR plus 2.75%, (ii) Daily Simple SOFR plus 2.75% or (iii) a base rate as set forth in the Credit Agreement plus 1.75%. In addition, if for any fiscal year, there is Excess Cash Flow (as defined in the Credit Agreement), an additional principal amount is required. Amounts borrowed under the Term Loan B that are repaid or prepaid may not be reborrowed.</w:t>
      </w:r>
    </w:p>
    <w:p>
      <w:pPr>
        <w:spacing w:after="0" w:line="157"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On April 12, 2024, we entered into an Incremental Tranche B Term Loan Agreement (the “Incremental Agreement”), which supplements the Credit Agreement and includes the addition of certain new lenders and the removal of certain other lenders. The Incremental Agreement reduces the applicable interest rate margins for the loans advanced under the refinanced Term Loan B. The applicable interest rate margins for the refinanced Term Loan B under the Incremental Agreement are (i) 2.25% for SOFR Loans (as defined in the Credit Agreement) and (ii) 1.25% for base rate loans. At June 30, 2024, the interest rate on the Term Loan B was Term SOFR plus 2.25%. The Incremental Agreement did not change the maturity dates under the Credit Agreement or result in any increase in principal indebtedness. In addition, the Incremental Agreement confirms that the annual amortization under the Term Loan B is 1% of the refinanced $295.0 million outstanding principal amount, with the balance due at maturity. At June 30, 2024, $294.3 million in borrowings were outstanding under the Term Loan B.</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purposes of the Term Loan B, each of Term SOFR and Daily Simple SOFR are subject to a floor of 0.00%.</w:t>
      </w:r>
    </w:p>
    <w:p>
      <w:pPr>
        <w:spacing w:after="0" w:line="183" w:lineRule="exact"/>
        <w:rPr>
          <w:sz w:val="20"/>
          <w:szCs w:val="20"/>
          <w:color w:val="auto"/>
        </w:rPr>
      </w:pPr>
    </w:p>
    <w:p>
      <w:pPr>
        <w:ind w:left="60" w:right="179"/>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$1 Billion 6.50% Senior Notes. </w:t>
      </w:r>
      <w:r>
        <w:rPr>
          <w:rFonts w:ascii="Times New Roman" w:cs="Times New Roman" w:eastAsia="Times New Roman" w:hAnsi="Times New Roman"/>
          <w:sz w:val="17"/>
          <w:szCs w:val="17"/>
          <w:color w:val="auto"/>
        </w:rPr>
        <w:t>On March 28, 2024, the Operating Partnership and Finco (collectively, the “issuing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subsidiaries”) completed the private placement of $1.0 billion in aggregate principal amount of 6.50% senior notes due 2032 (the “$1 Billion 6.50% Senior Notes”), which are guaranteed by the Company and its subsidiaries that guarantee the Credit Agreement. The $1 Billion 6.50% Senior Notes and guarantees were issued pursuant to an indenture by and among the issuing subsidiaries, the guarantors and U.S. Bank Trust Company, National Association, as trustee. The $1 Billion</w:t>
      </w:r>
    </w:p>
    <w:p>
      <w:pPr>
        <w:spacing w:after="0" w:line="1" w:lineRule="exact"/>
        <w:rPr>
          <w:sz w:val="20"/>
          <w:szCs w:val="20"/>
          <w:color w:val="auto"/>
        </w:rPr>
      </w:pPr>
    </w:p>
    <w:p>
      <w:pPr>
        <w:ind w:left="60" w:right="179"/>
        <w:spacing w:after="0" w:line="251" w:lineRule="auto"/>
        <w:rPr>
          <w:sz w:val="20"/>
          <w:szCs w:val="20"/>
          <w:color w:val="auto"/>
        </w:rPr>
      </w:pPr>
      <w:r>
        <w:rPr>
          <w:rFonts w:ascii="Times New Roman" w:cs="Times New Roman" w:eastAsia="Times New Roman" w:hAnsi="Times New Roman"/>
          <w:sz w:val="18"/>
          <w:szCs w:val="18"/>
          <w:color w:val="auto"/>
        </w:rPr>
        <w:t>6.50% Senior Notes have a maturity date of April 1, 2032 and bear interest at 6.50% per annum, payable semi-annually in cash in arrears on April 1 and October 1 each year, beginning October 1, 2024. The $1 Billion 6.50% Senior Notes are general unsecured and unsubordinated obligations of the issuing subsidiaries and rank equal in right of payment with such subsidiaries’ existing and future senior unsecured indebtedness, including the $700 Million 4.75% Senior Notes, the $600 Million 4.50% Senior Notes and the $400 Million 7.25% Senior Notes, and senior in right of payment to future subordinated indebtedness, if any. The $1 Billion 6.50% Senior Notes are effectively subordinated to the issuing subsidiaries’ secured indebtedness to the extent of the value of the assets securing such indebtedness. The guarantees rank equally in right of payment with the applicable guarantor’s existing and future senior unsecured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indebtedness and senior in right of payment to any future subordinated indebtedness of such guarantor. The $1 Billion</w:t>
      </w:r>
    </w:p>
    <w:p>
      <w:pPr>
        <w:spacing w:after="0" w:line="27"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6.50%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$1 Billion 6.50% Senior Notes.</w:t>
      </w:r>
    </w:p>
    <w:p>
      <w:pPr>
        <w:spacing w:after="0" w:line="159"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The net proceeds from the issuance of the $1 Billion 6.50% Senior Notes totaled approximately $983 million, after deducting the initial purchasers’ discounts, commissions and offering expenses. We used a portion of these net proceeds to prepay the indebtedness outstanding under our previous $800.0 million Gaylord Rockies term loan and used the remaining proceeds, together with cash on hand, to repay $200.0 million under the Term Loan B.</w:t>
      </w:r>
    </w:p>
    <w:p>
      <w:pPr>
        <w:spacing w:after="0" w:line="139"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The $1 Billion 6.50% Senior Notes are redeemable before April 1, 2027, in whole or in part, at 100.00%, plus accrued and unpaid interest thereon to, but not including, the redemption date, plus a make-whole premium. The $1 Billion 6.50% Senior Notes will be redeemable, in whole or in part, at any time on or after April 1, 2027 at a redemption price expressed as a percentage of the principal amount thereof, which percentage is 103.250%, 101.625%, and 100.000% beginning on April 1 of 2027, 2028, and 2029, respectively, plus accrued and unpaid interest thereon to, but not including, the redemption date.</w:t>
      </w:r>
    </w:p>
    <w:p>
      <w:pPr>
        <w:spacing w:after="0" w:line="145" w:lineRule="exact"/>
        <w:rPr>
          <w:sz w:val="20"/>
          <w:szCs w:val="20"/>
          <w:color w:val="auto"/>
        </w:rPr>
      </w:pPr>
    </w:p>
    <w:p>
      <w:pPr>
        <w:ind w:left="60" w:right="119"/>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$700 Million 4.75% Senior Notes. </w:t>
      </w:r>
      <w:r>
        <w:rPr>
          <w:rFonts w:ascii="Times New Roman" w:cs="Times New Roman" w:eastAsia="Times New Roman" w:hAnsi="Times New Roman"/>
          <w:sz w:val="18"/>
          <w:szCs w:val="18"/>
          <w:color w:val="auto"/>
        </w:rPr>
        <w:t>In September 2019, the Operating Partnership and Finco completed the private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placement of $500.0 million in aggregate principal amount of senior notes due 2027 (the “$500 Million 4.75% Senior Notes”), which are guaranteed by the Company and its subsidiaries that guarantee the Credit Agreement. The $500 Million 4.75% Senior Notes and guarantees were issued pursuant to an indenture by and among the issuing subsidiaries and the guarantors and U.S. Bank Trust Company, National Association as trustee. The $500 Million 4.75% Senior Notes have a maturity date of October 15, 2027 and bear interest at 4.75% per annum, payable semi-annually in cash in arrears on April 15 and October 15 each year. The $500 Million 4.75% Senior Notes are general unsecured and unsubordinated obligations of the issuing subsidiaries and rank equal in right of payment with such subsidiaries’ existing and future senior unsecured indebtedness, including the $1 Billion 6.50% Senior Notes, the $600 Million 4.50% Senior Notes and the $400 Million 7.25% Senior Notes, and senior in right of payment to future subordinated indebtedness, if any. The $500 Million 4.75%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$500 Million 4.75%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$500 Million 4.75% Senior Notes.</w:t>
      </w:r>
    </w:p>
    <w:p>
      <w:pPr>
        <w:spacing w:after="0" w:line="168" w:lineRule="exact"/>
        <w:rPr>
          <w:sz w:val="20"/>
          <w:szCs w:val="20"/>
          <w:color w:val="auto"/>
        </w:rPr>
      </w:pPr>
    </w:p>
    <w:p>
      <w:pPr>
        <w:ind w:left="60" w:right="159"/>
        <w:spacing w:after="0" w:line="270" w:lineRule="auto"/>
        <w:rPr>
          <w:sz w:val="20"/>
          <w:szCs w:val="20"/>
          <w:color w:val="auto"/>
        </w:rPr>
      </w:pPr>
      <w:r>
        <w:rPr>
          <w:rFonts w:ascii="Times New Roman" w:cs="Times New Roman" w:eastAsia="Times New Roman" w:hAnsi="Times New Roman"/>
          <w:sz w:val="17"/>
          <w:szCs w:val="17"/>
          <w:color w:val="auto"/>
        </w:rPr>
        <w:t>In October 2019, we completed a tack-on private placement of $200.0 million in aggregate principal amount of 4.75% senior notes due 2027 (the “additional 2027 notes”) at an issue price of 101.250% of their aggregate principal amount plus accrued interest from the September 19, 2019 issue date for the $500 Million 4.75% Senior Notes. The additional 2027 notes and the $500 Million 4.75% Senior Notes constitute a single class of securities (collectively, the “$700 Million</w:t>
      </w:r>
    </w:p>
    <w:p>
      <w:pPr>
        <w:spacing w:after="0" w:line="3" w:lineRule="exact"/>
        <w:rPr>
          <w:sz w:val="20"/>
          <w:szCs w:val="20"/>
          <w:color w:val="auto"/>
        </w:rPr>
      </w:pPr>
    </w:p>
    <w:p>
      <w:pPr>
        <w:ind w:left="60" w:right="179"/>
        <w:spacing w:after="0" w:line="260" w:lineRule="auto"/>
        <w:rPr>
          <w:sz w:val="20"/>
          <w:szCs w:val="20"/>
          <w:color w:val="auto"/>
        </w:rPr>
      </w:pPr>
      <w:r>
        <w:rPr>
          <w:rFonts w:ascii="Times New Roman" w:cs="Times New Roman" w:eastAsia="Times New Roman" w:hAnsi="Times New Roman"/>
          <w:sz w:val="18"/>
          <w:szCs w:val="18"/>
          <w:color w:val="auto"/>
        </w:rPr>
        <w:t>4.75% Senior Notes”). All other terms and conditions of the additional 2027 notes are identical to the $500 Million 4.75% Senior Notes.</w:t>
      </w:r>
    </w:p>
    <w:p>
      <w:pPr>
        <w:spacing w:after="0" w:line="181" w:lineRule="exact"/>
        <w:rPr>
          <w:sz w:val="20"/>
          <w:szCs w:val="20"/>
          <w:color w:val="auto"/>
        </w:rPr>
      </w:pPr>
    </w:p>
    <w:p>
      <w:pPr>
        <w:ind w:left="60" w:right="399"/>
        <w:spacing w:after="0" w:line="261" w:lineRule="auto"/>
        <w:rPr>
          <w:sz w:val="20"/>
          <w:szCs w:val="20"/>
          <w:color w:val="auto"/>
        </w:rPr>
      </w:pPr>
      <w:r>
        <w:rPr>
          <w:rFonts w:ascii="Times New Roman" w:cs="Times New Roman" w:eastAsia="Times New Roman" w:hAnsi="Times New Roman"/>
          <w:sz w:val="18"/>
          <w:szCs w:val="18"/>
          <w:color w:val="auto"/>
        </w:rPr>
        <w:t>The $700 Million 4.75% Senior Notes are currently redeemable, in whole or in part, at a redemption price expressed as a percentage of the principal amount thereof, which percentage is 102.375%, 101.188%, and 100.000% beginning on October 15 of 2023, 2024, and 2025, respectively, plus accrued and unpaid interest thereon to, but not including, the redemption date.</w:t>
      </w:r>
    </w:p>
    <w:p>
      <w:pPr>
        <w:spacing w:after="0" w:line="139"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We completed a registered offer to exchange the $700 Million 4.75% Senior Notes for registered notes with substantially identical terms as the $700 Million 4.75% Senior Notes in July 2020.</w:t>
      </w:r>
    </w:p>
    <w:p>
      <w:pPr>
        <w:spacing w:after="0" w:line="119"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i w:val="1"/>
          <w:iCs w:val="1"/>
          <w:color w:val="auto"/>
        </w:rPr>
        <w:t>$600 Million 4.50% Senior Notes</w:t>
      </w:r>
      <w:r>
        <w:rPr>
          <w:rFonts w:ascii="Times New Roman" w:cs="Times New Roman" w:eastAsia="Times New Roman" w:hAnsi="Times New Roman"/>
          <w:sz w:val="18"/>
          <w:szCs w:val="18"/>
          <w:color w:val="auto"/>
        </w:rPr>
        <w:t>. In February 2021, the Operating Partnership and Finco completed the private placement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$600.0 million in aggregate principal amount of 4.50% senior notes due 2029, which are guaranteed by the Company and its subsidiaries that guarantee the Credit Agreement. The $600 Million 4.50% Senior Notes and guarantees were issued pursuant to an indenture by and among the issuing subsidiaries and the guarantors and U.S. Bank Trust Company, National Association as trustee. The $600 Million 4.50% Senior Notes have a maturity date of</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55" w:lineRule="auto"/>
        <w:rPr>
          <w:sz w:val="20"/>
          <w:szCs w:val="20"/>
          <w:color w:val="auto"/>
        </w:rPr>
      </w:pPr>
      <w:r>
        <w:rPr>
          <w:rFonts w:ascii="Times New Roman" w:cs="Times New Roman" w:eastAsia="Times New Roman" w:hAnsi="Times New Roman"/>
          <w:sz w:val="18"/>
          <w:szCs w:val="18"/>
          <w:color w:val="auto"/>
        </w:rPr>
        <w:t>February 15, 2029 and bear interest at 4.50% per annum, payable semi-annually in cash in arrears on February 15 and August 15 each year. The $600 Million 4.50% Senior Notes are general unsecured and unsubordinated obligations of the issuing subsidiaries and rank equal in right of payment with such subsidiaries’ existing and future senior unsecured indebtedness, including the $1 Billion 6.50% Senior Notes, the $700 Million 4.75% Senior Notes and the $400 Million</w:t>
      </w:r>
    </w:p>
    <w:p>
      <w:pPr>
        <w:spacing w:after="0" w:line="3" w:lineRule="exact"/>
        <w:rPr>
          <w:sz w:val="20"/>
          <w:szCs w:val="20"/>
          <w:color w:val="auto"/>
        </w:rPr>
      </w:pPr>
    </w:p>
    <w:p>
      <w:pPr>
        <w:ind w:left="60" w:right="99"/>
        <w:spacing w:after="0" w:line="269" w:lineRule="auto"/>
        <w:rPr>
          <w:sz w:val="20"/>
          <w:szCs w:val="20"/>
          <w:color w:val="auto"/>
        </w:rPr>
      </w:pPr>
      <w:r>
        <w:rPr>
          <w:rFonts w:ascii="Times New Roman" w:cs="Times New Roman" w:eastAsia="Times New Roman" w:hAnsi="Times New Roman"/>
          <w:sz w:val="17"/>
          <w:szCs w:val="17"/>
          <w:color w:val="auto"/>
        </w:rPr>
        <w:t>7.25% Senior Notes, and senior in right of payment to future subordinated indebtedness, if any. The $600 Million 4.50%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$600 Million 4.50%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$600 Million 4.50% Senior Notes.</w:t>
      </w:r>
    </w:p>
    <w:p>
      <w:pPr>
        <w:spacing w:after="0" w:line="149" w:lineRule="exact"/>
        <w:rPr>
          <w:sz w:val="20"/>
          <w:szCs w:val="20"/>
          <w:color w:val="auto"/>
        </w:rPr>
      </w:pPr>
    </w:p>
    <w:p>
      <w:pPr>
        <w:ind w:left="60" w:right="59"/>
        <w:spacing w:after="0" w:line="261" w:lineRule="auto"/>
        <w:rPr>
          <w:sz w:val="20"/>
          <w:szCs w:val="20"/>
          <w:color w:val="auto"/>
        </w:rPr>
      </w:pPr>
      <w:r>
        <w:rPr>
          <w:rFonts w:ascii="Times New Roman" w:cs="Times New Roman" w:eastAsia="Times New Roman" w:hAnsi="Times New Roman"/>
          <w:sz w:val="18"/>
          <w:szCs w:val="18"/>
          <w:color w:val="auto"/>
        </w:rPr>
        <w:t>The $600 Million 4.50% Senior Notes are currently redeemable, in whole or in part, at a redemption price expressed as a percentage of the principal amount thereof, which percentage is 102.250%, 101.500%, 100.750%, and 100.000% beginning on February 15 of 2024, 2025, 2026, and 2027, respectively, plus accrued and unpaid interest thereon to, but not including, the redemption date.</w:t>
      </w:r>
    </w:p>
    <w:p>
      <w:pPr>
        <w:spacing w:after="0" w:line="137" w:lineRule="exact"/>
        <w:rPr>
          <w:sz w:val="20"/>
          <w:szCs w:val="20"/>
          <w:color w:val="auto"/>
        </w:rPr>
      </w:pPr>
    </w:p>
    <w:p>
      <w:pPr>
        <w:ind w:left="60" w:right="79"/>
        <w:spacing w:after="0" w:line="270" w:lineRule="auto"/>
        <w:rPr>
          <w:sz w:val="20"/>
          <w:szCs w:val="20"/>
          <w:color w:val="auto"/>
        </w:rPr>
      </w:pPr>
      <w:r>
        <w:rPr>
          <w:rFonts w:ascii="Times New Roman" w:cs="Times New Roman" w:eastAsia="Times New Roman" w:hAnsi="Times New Roman"/>
          <w:sz w:val="17"/>
          <w:szCs w:val="17"/>
          <w:i w:val="1"/>
          <w:iCs w:val="1"/>
          <w:color w:val="auto"/>
        </w:rPr>
        <w:t>$400 Million 7.25% Senior Notes</w:t>
      </w:r>
      <w:r>
        <w:rPr>
          <w:rFonts w:ascii="Times New Roman" w:cs="Times New Roman" w:eastAsia="Times New Roman" w:hAnsi="Times New Roman"/>
          <w:sz w:val="17"/>
          <w:szCs w:val="17"/>
          <w:color w:val="auto"/>
        </w:rPr>
        <w:t>. On June 22, 2023, the Operating Partnership and Finco completed the private placement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$400.0 million in aggregate principal amount of 7.25% senior notes due 2028, which are guaranteed by the Company and its subsidiaries that guarantee the Credit Agreement. The $400 Million 7.25% Senior Notes and guarantees were issued pursuant to an indenture by and among the issuing subsidiaries, the guarantors and U.S. Bank Trust Company, National Association as trustee. The $400 Million 7.25% Senior Notes have a maturity date of July 15, 2028 and bear interest at</w:t>
      </w:r>
    </w:p>
    <w:p>
      <w:pPr>
        <w:spacing w:after="0" w:line="1" w:lineRule="exact"/>
        <w:rPr>
          <w:sz w:val="20"/>
          <w:szCs w:val="20"/>
          <w:color w:val="auto"/>
        </w:rPr>
      </w:pPr>
    </w:p>
    <w:p>
      <w:pPr>
        <w:ind w:left="60" w:right="79"/>
        <w:spacing w:after="0" w:line="267" w:lineRule="auto"/>
        <w:rPr>
          <w:sz w:val="20"/>
          <w:szCs w:val="20"/>
          <w:color w:val="auto"/>
        </w:rPr>
      </w:pPr>
      <w:r>
        <w:rPr>
          <w:rFonts w:ascii="Times New Roman" w:cs="Times New Roman" w:eastAsia="Times New Roman" w:hAnsi="Times New Roman"/>
          <w:sz w:val="17"/>
          <w:szCs w:val="17"/>
          <w:color w:val="auto"/>
        </w:rPr>
        <w:t>7.25% per annum, payable semi-annually in cash in arrears on January 15 and July 15 each year, beginning on January 15, 2024. The $400 Million 7.25% Senior Notes are general unsecured and unsubordinated obligations of the issuing subsidiaries and rank equal in right of payment with such subsidiaries’ existing and future senior unsecured indebtedness, including the $1 Billion 6.50% Senior Notes, the $700 Million 4.75% Senior Notes and the $600 Million 4.50% Senior Notes, and senior in right of payment to future subordinated indebtedness, if any. The $400 Million 7.25%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$400 Million 7.25%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$400 Million 7.25% Senior Notes.</w:t>
      </w:r>
    </w:p>
    <w:p>
      <w:pPr>
        <w:spacing w:after="0" w:line="141" w:lineRule="exact"/>
        <w:rPr>
          <w:sz w:val="20"/>
          <w:szCs w:val="20"/>
          <w:color w:val="auto"/>
        </w:rPr>
      </w:pPr>
    </w:p>
    <w:p>
      <w:pPr>
        <w:ind w:left="60" w:right="219"/>
        <w:spacing w:after="0" w:line="276" w:lineRule="auto"/>
        <w:rPr>
          <w:sz w:val="20"/>
          <w:szCs w:val="20"/>
          <w:color w:val="auto"/>
        </w:rPr>
      </w:pPr>
      <w:r>
        <w:rPr>
          <w:rFonts w:ascii="Times New Roman" w:cs="Times New Roman" w:eastAsia="Times New Roman" w:hAnsi="Times New Roman"/>
          <w:sz w:val="17"/>
          <w:szCs w:val="17"/>
          <w:color w:val="auto"/>
        </w:rPr>
        <w:t>The $400 Million 7.25% Senior Notes are redeemable before July 15, 2025, in whole or in part, at 100.00%, plus accrued and unpaid interest thereon to, but not including, the redemption date, plus a make-whole premium. The $400 Million</w:t>
      </w:r>
    </w:p>
    <w:p>
      <w:pPr>
        <w:spacing w:after="0" w:line="1"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color w:val="auto"/>
        </w:rPr>
        <w:t>7.25% Senior Notes will be redeemable, in whole or in part, at any time on or after July 15, 2025 at a redemption price expressed as a percentage of the principal amount thereof, which percentage is 103.625%, 101.813% and 100.000% beginning on July 15 of 2025, 2026, and 2027, respectively, plus accrued and unpaid interest thereon to, but not including, the redemption date.</w:t>
      </w:r>
    </w:p>
    <w:p>
      <w:pPr>
        <w:spacing w:after="0" w:line="162"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The net proceeds from the issuance of the $400 Million 7.25% Senior Notes totaled approximately $393 million, after deducting the initial purchasers’ discounts, commissions and offering expenses. We used these proceeds to pay a portion of the purchase price for JW Marriott Hill Country.</w:t>
      </w:r>
    </w:p>
    <w:p>
      <w:pPr>
        <w:spacing w:after="0" w:line="135"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Each of the indentures governing the $1 Billion 6.50% Senior Notes, the $700 Million 4.75% Senior Notes, the $600 Million 4.50% Senior Notes and the $400 Million 7.25% Senior Notes contain certain covenants which, among other things and subject to certain exceptions and qualifications, limit the incurrence of additional indebtedness, investments, dividends, transactions with affiliates, asset sales, acquisitions, mergers and consolidations, liens and encumbrances and other matters customarily restricted in such agreements. In addition, if the Company experiences specific kinds of changes of control, the Company must offer to repurchase some or all of the senior notes at 101% of their principal amount, plus accrued and unpaid interest, if any, up to, but excluding, the repurchase date.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i w:val="1"/>
          <w:iCs w:val="1"/>
          <w:color w:val="auto"/>
        </w:rPr>
        <w:t>Previous $800 Million Gaylord Rockies Term Loan</w:t>
      </w:r>
      <w:r>
        <w:rPr>
          <w:rFonts w:ascii="Times New Roman" w:cs="Times New Roman" w:eastAsia="Times New Roman" w:hAnsi="Times New Roman"/>
          <w:sz w:val="18"/>
          <w:szCs w:val="18"/>
          <w:color w:val="auto"/>
        </w:rPr>
        <w:t>. In July 2019, Aurora Convention Center Hotel, LLC and Aurora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Convention Center Hotel Lessee, LLC the entities that comprise Gaylord Rockies, entered into a Second Amended and Restated Loan Agreement (the “Gaylord Rockies Loan”) with Wells Fargo Bank, National Association, as administrative agent. The Gaylord Rockies Loan consisted of an $800.0 million secured term loan facility, with a maturity date of July 2, 2024 with two, one-year extension options remaining, subject to certain requirements in the Gaylord Rockies Loan, and bore interest at Adjusted Daily Simple SOFR plus 2.50%. We previously entered into an interest rate swap to fix the SOFR portion of the interest rate at 5.2105% for the fifth year of the loan. We designated this interest rate swap as an effective cash flow hedge.</w:t>
      </w:r>
    </w:p>
    <w:p>
      <w:pPr>
        <w:spacing w:after="0" w:line="187" w:lineRule="exact"/>
        <w:rPr>
          <w:sz w:val="20"/>
          <w:szCs w:val="20"/>
          <w:color w:val="auto"/>
        </w:rPr>
      </w:pPr>
    </w:p>
    <w:p>
      <w:pPr>
        <w:ind w:left="60" w:right="739"/>
        <w:spacing w:after="0" w:line="282" w:lineRule="auto"/>
        <w:rPr>
          <w:sz w:val="20"/>
          <w:szCs w:val="20"/>
          <w:color w:val="auto"/>
        </w:rPr>
      </w:pPr>
      <w:r>
        <w:rPr>
          <w:rFonts w:ascii="Times New Roman" w:cs="Times New Roman" w:eastAsia="Times New Roman" w:hAnsi="Times New Roman"/>
          <w:sz w:val="18"/>
          <w:szCs w:val="18"/>
          <w:color w:val="auto"/>
        </w:rPr>
        <w:t>On March 28, 2024, we paid off the Gaylord Rockies Loan with proceeds from the $1 Billion 6.50% Senior Notes discussed above and terminated the interest rate swap.</w:t>
      </w:r>
    </w:p>
    <w:p>
      <w:pPr>
        <w:spacing w:after="0" w:line="160"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i w:val="1"/>
          <w:iCs w:val="1"/>
          <w:color w:val="auto"/>
        </w:rPr>
        <w:t>OEG Credit Agreement</w:t>
      </w:r>
      <w:r>
        <w:rPr>
          <w:rFonts w:ascii="Times New Roman" w:cs="Times New Roman" w:eastAsia="Times New Roman" w:hAnsi="Times New Roman"/>
          <w:sz w:val="18"/>
          <w:szCs w:val="18"/>
          <w:color w:val="auto"/>
        </w:rPr>
        <w:t>. On June 28, 2024, OEG Borrower, LLC (“OEG Borrower”) and OEG Finance, LLC (“OEG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Finance”), each a wholly owned direct or indirect subsidiary of OEG, entered into a certain First Amendment, which amends the Credit Agreement dated as of June 16, 2022 among OEG Borrower, as borrower, OEG Finance, certain subsidiaries of OEG Borrower from time to time party thereto as guarantors, the lenders party thereto and JPMorgan Chase Bank, N.A., as administrative agent (the “Original OEG Credit Agreement”). As amended, the credit facility (the “Amended OEG Credit Agreement”) includes certain amended terms including lower interest rates, extended maturities and modifications to various covenants.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Amended OEG Credit Agreement provides for (i) a senior secured term loan facility in the aggregate amount of</w:t>
      </w:r>
    </w:p>
    <w:p>
      <w:pPr>
        <w:spacing w:after="0" w:line="27" w:lineRule="exact"/>
        <w:rPr>
          <w:sz w:val="20"/>
          <w:szCs w:val="20"/>
          <w:color w:val="auto"/>
        </w:rPr>
      </w:pPr>
    </w:p>
    <w:p>
      <w:pPr>
        <w:ind w:left="60" w:right="179"/>
        <w:spacing w:after="0" w:line="253" w:lineRule="auto"/>
        <w:rPr>
          <w:sz w:val="20"/>
          <w:szCs w:val="20"/>
          <w:color w:val="auto"/>
        </w:rPr>
      </w:pPr>
      <w:r>
        <w:rPr>
          <w:rFonts w:ascii="Times New Roman" w:cs="Times New Roman" w:eastAsia="Times New Roman" w:hAnsi="Times New Roman"/>
          <w:sz w:val="18"/>
          <w:szCs w:val="18"/>
          <w:color w:val="auto"/>
        </w:rPr>
        <w:t>$300.0 million (the “OEG Term Loan”) and (ii) a senior secured revolving credit facility in an aggregate principal amount not to exceed $80.0 million (the “OEG Revolver”). The OEG Term Loan refinances and replaces the former term loan in the outstanding principal amount of $294.8 million as of June 28, 2024 and the OEG Revolver refinances and replaces the senior secured revolving credit facility in an aggregate principal amount not to exceed $65.0 million, of which $17.0 million was outstanding as of June 30, 2024.</w:t>
      </w:r>
    </w:p>
    <w:p>
      <w:pPr>
        <w:spacing w:after="0" w:line="160"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The OEG Term Loan and the OEG Revolver are each secured by substantially all of the assets of OEG Finance and each of its subsidiaries (other than Block 21-related subsidiaries, as more specifically described in the Amended OEG Credit Agreement). The OEG Term Loan bears interest at a rate equal to either, at OEG Borrower’s election, as of the closing contemplated by the Amended OEG Credit Agreement: (a) the Alternate Base Rate plus 2.500% or (b) Adjusted Term SOFR plus 3.50% (all as more specifically described in the Amended OEG Credit Agreement). Borrowings under the OEG Revolver bear interest at a rate equal to either, at OEG Borrower’s election, as of the closing contemplated by the Amended OEG Credit Agreement: (a) the Alternate Base Rate plus the Applicable Rate (as defined in the Amended OEG Credit Agreement) or (b) Adjusted Term SOFR plus the Applicable Rate. Under the Amended OEG Credit Agreement, (i) the Applicable Rate for Alternative Base Rate loans will be between 2.75% and 2.25% and (ii) the Applicable Rate for Adjusted Term SOFR loans will be between 3.75% and 3.25%, in each of (i) and (ii) based upon the First Lien Leverage Ratio of OEG Finance and its consolidated subsidiaries (as more specifically described in the Amended OEG Credit Agreement). The Applicable Rate for borrowings as of June 30, 2024 is 2.50% for Alternative Base Rate Loans and 3.50% for Adjusted Term SOFR loans.</w:t>
      </w:r>
    </w:p>
    <w:p>
      <w:pPr>
        <w:spacing w:after="0" w:line="147"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The OEG Term Loan matures on June 28, 2031 and the OEG Revolver matures on June 28, 2029. OEG Borrower used the proceeds of the OEG Term Loan to refinance the original term loan under the Original OEG Credit Agreement.</w:t>
      </w:r>
    </w:p>
    <w:p>
      <w:pPr>
        <w:spacing w:after="0" w:line="119"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i w:val="1"/>
          <w:iCs w:val="1"/>
          <w:color w:val="auto"/>
        </w:rPr>
        <w:t>Block 21 CMBS Loan</w:t>
      </w:r>
      <w:r>
        <w:rPr>
          <w:rFonts w:ascii="Times New Roman" w:cs="Times New Roman" w:eastAsia="Times New Roman" w:hAnsi="Times New Roman"/>
          <w:sz w:val="18"/>
          <w:szCs w:val="18"/>
          <w:color w:val="auto"/>
        </w:rPr>
        <w:t>. At the closing of the purchase of Block 21 in May 2022, a subsidiary of the Company assumed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$136 million, ten-year, non-recourse term loan secured by a mortgage on Block 21 (the “Block 21 CMBS Loan”). The Block 21 CMBS Loan has a fixed interest rate of 5.58% per annum, payable monthly, matures January 5, 2026, and payments are due monthly based on a 30-year amortization. At June 30, 2024, $130.4 million was outstanding under the Block 21 CMBS Loan.</w:t>
      </w:r>
    </w:p>
    <w:p>
      <w:pPr>
        <w:spacing w:after="0" w:line="158"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The Block 21 CMBS Loan contains customary financial covenants and other restrictions, including sponsor net worth and liquidity requirements, and debt service coverage ratio targets that Block 21 must meet in order to avoid a “Trigger Period,” the occurrence of which does not constitute a default. During a Trigger Period, any cash generated in excess of amounts necessary to fund loan obligations, budgeted operating expenses and specified reserves will not be distributed to</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Block 21. Block 21 was in a Trigger Period as of our purchase date but exited the Trigger Period with first quarter 2023 results.</w:t>
      </w:r>
    </w:p>
    <w:p>
      <w:pPr>
        <w:spacing w:after="0" w:line="160" w:lineRule="exact"/>
        <w:rPr>
          <w:sz w:val="20"/>
          <w:szCs w:val="20"/>
          <w:color w:val="auto"/>
        </w:rPr>
      </w:pPr>
    </w:p>
    <w:p>
      <w:pPr>
        <w:ind w:left="60" w:right="79"/>
        <w:spacing w:after="0" w:line="284" w:lineRule="auto"/>
        <w:rPr>
          <w:sz w:val="20"/>
          <w:szCs w:val="20"/>
          <w:color w:val="auto"/>
        </w:rPr>
      </w:pPr>
      <w:r>
        <w:rPr>
          <w:rFonts w:ascii="Times New Roman" w:cs="Times New Roman" w:eastAsia="Times New Roman" w:hAnsi="Times New Roman"/>
          <w:sz w:val="18"/>
          <w:szCs w:val="18"/>
          <w:i w:val="1"/>
          <w:iCs w:val="1"/>
          <w:color w:val="auto"/>
        </w:rPr>
        <w:t>Additional Debt Limitations</w:t>
      </w:r>
      <w:r>
        <w:rPr>
          <w:rFonts w:ascii="Times New Roman" w:cs="Times New Roman" w:eastAsia="Times New Roman" w:hAnsi="Times New Roman"/>
          <w:sz w:val="18"/>
          <w:szCs w:val="18"/>
          <w:color w:val="auto"/>
        </w:rPr>
        <w:t>. Pursuant to the terms of the management agreements and pooling agreement with Marriott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Gaylord Hotels properties, excluding Gaylord Rockies, we are subject to certain debt limitations described below.</w:t>
      </w:r>
    </w:p>
    <w:p>
      <w:pPr>
        <w:spacing w:after="0" w:line="1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management agreements provide for the following limitations on indebtedness encumbering a hotel:</w:t>
      </w:r>
    </w:p>
    <w:p>
      <w:pPr>
        <w:spacing w:after="0" w:line="185" w:lineRule="exact"/>
        <w:rPr>
          <w:sz w:val="20"/>
          <w:szCs w:val="20"/>
          <w:color w:val="auto"/>
        </w:rPr>
      </w:pPr>
    </w:p>
    <w:p>
      <w:pPr>
        <w:ind w:left="720" w:right="359" w:hanging="319"/>
        <w:spacing w:after="0" w:line="282"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balance of all mortgage and mezzanine debt encumbering the hotel shall be no greater than 75% of the fair market value of the hotel; and</w:t>
      </w:r>
    </w:p>
    <w:p>
      <w:pPr>
        <w:spacing w:after="0" w:line="121" w:lineRule="exact"/>
        <w:rPr>
          <w:rFonts w:ascii="Times New Roman" w:cs="Times New Roman" w:eastAsia="Times New Roman" w:hAnsi="Times New Roman"/>
          <w:sz w:val="18"/>
          <w:szCs w:val="18"/>
          <w:color w:val="auto"/>
        </w:rPr>
      </w:pPr>
    </w:p>
    <w:p>
      <w:pPr>
        <w:ind w:left="720" w:right="119" w:hanging="319"/>
        <w:spacing w:after="0" w:line="266"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(a) aggregate Operating Profit (as defined in the management agreement) in the 12 months prior to the closing on the mortgage or mezzanine debt to (b) annual debt service for the hotel shall equal or exceed 1.2:1; but is subject to the pooling agreement described below.</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pooled limitations on Secured Debt (as defined in the pooling agreement) are as follows:</w:t>
      </w:r>
    </w:p>
    <w:p>
      <w:pPr>
        <w:spacing w:after="0" w:line="185" w:lineRule="exact"/>
        <w:rPr>
          <w:sz w:val="20"/>
          <w:szCs w:val="20"/>
          <w:color w:val="auto"/>
        </w:rPr>
      </w:pPr>
    </w:p>
    <w:p>
      <w:pPr>
        <w:ind w:left="720" w:right="199" w:hanging="319"/>
        <w:spacing w:after="0" w:line="282"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balance of all mortgage and mezzanine debt on Pooled Hotels (as defined in the pooling agreement), shall be no more than 75% of the fair market value of Pooled Hotels.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(a) aggregate Operating Profit (as defined in the pooling agreement) of Pooled Hotels in the</w:t>
      </w:r>
    </w:p>
    <w:p>
      <w:pPr>
        <w:spacing w:after="0" w:line="27" w:lineRule="exact"/>
        <w:rPr>
          <w:rFonts w:ascii="Times New Roman" w:cs="Times New Roman" w:eastAsia="Times New Roman" w:hAnsi="Times New Roman"/>
          <w:sz w:val="18"/>
          <w:szCs w:val="18"/>
          <w:color w:val="auto"/>
        </w:rPr>
      </w:pPr>
    </w:p>
    <w:p>
      <w:pPr>
        <w:ind w:left="720" w:right="27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months prior to closing on any mortgage or mezzanine debt to (b) annual debt service for the Pooled Hotels, shall equal or exceed 1.2:1.</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Gaylord Rockies is not a Pooled Hotel for this purpose.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Estimated Interest on Principal Debt Agreements</w:t>
      </w:r>
    </w:p>
    <w:p>
      <w:pPr>
        <w:spacing w:after="0" w:line="187"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Based on the stated interest rates on our fixed-rate debt and the rates in effect at June 30, 2024 for our variable-rate debt after considering interest rate swaps, our estimated interest obligations through 2028 are $868.0 million. These estimated obligations are $105.5 million for the remainder of 2024, $210.5 million in 2025, $203.5 million in 2026, $194.6 million in 2027, and $153.8 million in 2028. Variable rates, as well as outstanding principal balances, could change in future periods. See “Principal Debt Agreements” above for a discussion of our outstanding long-term debt. See “Supplemental Cash Flow Information” in Note 1 to the consolidated financial statements included in our Annual Report on Form 10-K for the year ended December 31, 2023 for a discussion of the interest we paid during 2023, 2022 and 2021.</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Inflation</w:t>
      </w:r>
    </w:p>
    <w:p>
      <w:pPr>
        <w:spacing w:after="0" w:line="187" w:lineRule="exact"/>
        <w:rPr>
          <w:sz w:val="20"/>
          <w:szCs w:val="20"/>
          <w:color w:val="auto"/>
        </w:rPr>
      </w:pPr>
    </w:p>
    <w:p>
      <w:pPr>
        <w:ind w:left="60" w:right="459"/>
        <w:spacing w:after="0" w:line="261" w:lineRule="auto"/>
        <w:rPr>
          <w:sz w:val="20"/>
          <w:szCs w:val="20"/>
          <w:color w:val="auto"/>
        </w:rPr>
      </w:pPr>
      <w:r>
        <w:rPr>
          <w:rFonts w:ascii="Times New Roman" w:cs="Times New Roman" w:eastAsia="Times New Roman" w:hAnsi="Times New Roman"/>
          <w:sz w:val="18"/>
          <w:szCs w:val="18"/>
          <w:color w:val="auto"/>
        </w:rPr>
        <w:t>Inflation has had a more meaningful impact on our business during recent periods than in historical periods. However, favorable occupancy, ADR and outside-the-room spend in our Hospitality segment and business levels in our Entertainment segment in recent periods have reduced the impact of increased operating costs, including increased insurance, utilities and other costs, on our financial position and results of operations.</w:t>
      </w:r>
    </w:p>
    <w:p>
      <w:pPr>
        <w:spacing w:after="0" w:line="139"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Additionally, increased interest rates have driven higher interest expense on our higher debt levels. In an effort to mitigate the impact of increased interest rates, at June 30, 2024, 85% of our outstanding debt is fixed-rate debt, after considering the impact of interest rate swaps.</w:t>
      </w:r>
    </w:p>
    <w:p>
      <w:pPr>
        <w:spacing w:after="0" w:line="149" w:lineRule="exact"/>
        <w:rPr>
          <w:sz w:val="20"/>
          <w:szCs w:val="20"/>
          <w:color w:val="auto"/>
        </w:rPr>
      </w:pPr>
    </w:p>
    <w:p>
      <w:pPr>
        <w:jc w:val="both"/>
        <w:ind w:left="60" w:right="259"/>
        <w:spacing w:after="0" w:line="266" w:lineRule="auto"/>
        <w:rPr>
          <w:sz w:val="20"/>
          <w:szCs w:val="20"/>
          <w:color w:val="auto"/>
        </w:rPr>
      </w:pPr>
      <w:r>
        <w:rPr>
          <w:rFonts w:ascii="Times New Roman" w:cs="Times New Roman" w:eastAsia="Times New Roman" w:hAnsi="Times New Roman"/>
          <w:sz w:val="18"/>
          <w:szCs w:val="18"/>
          <w:color w:val="auto"/>
        </w:rPr>
        <w:t>We continue to monitor inflationary pressures and may need to consider potential mitigation actions in future periods. A prolonged inflationary environment could adversely affect our operating costs, customer spending and bookings, and our financial results.</w:t>
      </w:r>
    </w:p>
    <w:p>
      <w:pPr>
        <w:spacing w:after="0" w:line="1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Supplemental Guarantor Financial Information</w:t>
      </w:r>
    </w:p>
    <w:p>
      <w:pPr>
        <w:spacing w:after="0" w:line="187" w:lineRule="exact"/>
        <w:rPr>
          <w:sz w:val="20"/>
          <w:szCs w:val="20"/>
          <w:color w:val="auto"/>
        </w:rPr>
      </w:pPr>
    </w:p>
    <w:p>
      <w:pPr>
        <w:jc w:val="both"/>
        <w:ind w:left="60" w:right="259"/>
        <w:spacing w:after="0" w:line="282" w:lineRule="auto"/>
        <w:rPr>
          <w:sz w:val="20"/>
          <w:szCs w:val="20"/>
          <w:color w:val="auto"/>
        </w:rPr>
      </w:pPr>
      <w:r>
        <w:rPr>
          <w:rFonts w:ascii="Times New Roman" w:cs="Times New Roman" w:eastAsia="Times New Roman" w:hAnsi="Times New Roman"/>
          <w:sz w:val="18"/>
          <w:szCs w:val="18"/>
          <w:color w:val="auto"/>
        </w:rPr>
        <w:t>The Company’s $1 Billion 6.50% Senior Notes, the $700 Million 4.75% Senior Notes, $600 Million 4.50% Senior Notes and $400 Million 7.25% Senior Notes were each issued by the Operating Partnership and Finco (collectively, the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“Issuers”), and are guaranteed on a senior unsecured basis by the Company (as the parent company), each of the Operating Partnership’s subsidiaries that own the Gaylord Hotels properties and certain other of the Company’s subsidiaries, each of which also guarantees the Credit Agreement, as amended (such subsidiary guarantors, together with the Company, the “Guarantors”). The Guarantors are 100% owned by the Operating Partnership or the Company, and the guarantees are full and unconditional and joint and several. The guarantees rank equally in right of payment with each Guarantor’s existing and future senior unsecured indebtedness and senior in right of payment to all future subordinated indebtedness, if any, of such Guarantor. Not all of the Company’s subsidiaries have guaranteed these senior notes, and the guarantees are structurally subordinated to all indebtedness and other obligations of such subsidiaries that have not guaranteed these senior notes.</w:t>
      </w:r>
    </w:p>
    <w:p>
      <w:pPr>
        <w:spacing w:after="0" w:line="161" w:lineRule="exact"/>
        <w:rPr>
          <w:sz w:val="20"/>
          <w:szCs w:val="20"/>
          <w:color w:val="auto"/>
        </w:rPr>
      </w:pPr>
    </w:p>
    <w:p>
      <w:pPr>
        <w:ind w:left="60" w:right="59"/>
        <w:spacing w:after="0" w:line="266" w:lineRule="auto"/>
        <w:rPr>
          <w:sz w:val="20"/>
          <w:szCs w:val="20"/>
          <w:color w:val="auto"/>
        </w:rPr>
      </w:pPr>
      <w:r>
        <w:rPr>
          <w:rFonts w:ascii="Times New Roman" w:cs="Times New Roman" w:eastAsia="Times New Roman" w:hAnsi="Times New Roman"/>
          <w:sz w:val="18"/>
          <w:szCs w:val="18"/>
          <w:color w:val="auto"/>
        </w:rPr>
        <w:t>The following tables present summarized financial information for the Issuers and the Guarantors on a combined basis. The intercompany balances and transactions between these parties, as well as any investments in or equity in earnings from non-guarantor subsidiaries, have been eliminated (amounts in thousands).</w:t>
      </w:r>
    </w:p>
    <w:p>
      <w:pPr>
        <w:spacing w:after="0" w:line="130"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0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080" w:type="dxa"/>
            <w:vAlign w:val="bottom"/>
            <w:tcBorders>
              <w:bottom w:val="single" w:sz="8" w:color="CCEEFF"/>
            </w:tcBorders>
          </w:tcPr>
          <w:p>
            <w:pPr>
              <w:spacing w:after="0"/>
              <w:rPr>
                <w:sz w:val="15"/>
                <w:szCs w:val="15"/>
                <w:color w:val="auto"/>
              </w:rPr>
            </w:pPr>
          </w:p>
        </w:tc>
        <w:tc>
          <w:tcPr>
            <w:tcW w:w="10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00" w:type="dxa"/>
            <w:vAlign w:val="bottom"/>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3,459,547</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0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Total assets</w:t>
            </w:r>
          </w:p>
        </w:tc>
        <w:tc>
          <w:tcPr>
            <w:tcW w:w="10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3,459,547</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0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Net payables due to non-guarantor subsidiaries</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0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3,201,861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Total liabilities</w:t>
            </w:r>
          </w:p>
        </w:tc>
        <w:tc>
          <w:tcPr>
            <w:tcW w:w="10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3,454,867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80" w:type="dxa"/>
            <w:vAlign w:val="bottom"/>
            <w:tcBorders>
              <w:bottom w:val="single" w:sz="8" w:color="CCEEFF"/>
            </w:tcBorders>
            <w:shd w:val="clear" w:color="auto" w:fill="CCEEFF"/>
          </w:tcPr>
          <w:p>
            <w:pPr>
              <w:ind w:left="80"/>
              <w:spacing w:after="0" w:line="196" w:lineRule="exact"/>
              <w:rPr>
                <w:sz w:val="20"/>
                <w:szCs w:val="20"/>
                <w:color w:val="auto"/>
              </w:rPr>
            </w:pPr>
            <w:r>
              <w:rPr>
                <w:rFonts w:ascii="Times New Roman" w:cs="Times New Roman" w:eastAsia="Times New Roman" w:hAnsi="Times New Roman"/>
                <w:sz w:val="18"/>
                <w:szCs w:val="18"/>
                <w:color w:val="auto"/>
              </w:rPr>
              <w:t>Total noncontrolling interest</w:t>
            </w:r>
          </w:p>
        </w:tc>
        <w:tc>
          <w:tcPr>
            <w:tcW w:w="10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3,704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080" w:type="dxa"/>
            <w:vAlign w:val="bottom"/>
            <w:tcBorders>
              <w:bottom w:val="single" w:sz="8" w:color="CCEEFF"/>
            </w:tcBorders>
          </w:tcPr>
          <w:p>
            <w:pPr>
              <w:spacing w:after="0"/>
              <w:rPr>
                <w:sz w:val="15"/>
                <w:szCs w:val="15"/>
                <w:color w:val="auto"/>
              </w:rPr>
            </w:pPr>
          </w:p>
        </w:tc>
        <w:tc>
          <w:tcPr>
            <w:tcW w:w="10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non-guarantor subsidiaries</w:t>
            </w:r>
          </w:p>
        </w:tc>
        <w:tc>
          <w:tcPr>
            <w:tcW w:w="10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 (excluding expenses to non-guarantor subsidiaries)</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to non-guarantor subsidiaries</w:t>
            </w: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from non-guarantor subsidiaries</w:t>
            </w: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available to common stockholders</w:t>
            </w: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94,828</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189"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We prepare our condensed consolidated financial statements in conformity with GAAP. Certain of our accounting policies, including those related to impairment of long-lived and other assets, credit losses on financial assets, income taxes, acquisitions and purchase price allocations, and legal contingencies, require that we apply significant judgment in defining the appropriate assumptions for calculating financial estimates. By their nature, these judgments are subject to an inherent degree of uncertainty. Our judgments are based on our historical experience, our observance of trends in the industry, and information available from other outside sources, as appropriate. There can be no assurance that actual results will not differ from our estimates. For a discussion of our critical accounting policies and estimates, please refer to Item 7, “Management’s Discussion and Analysis of Financial Condition and Results of Operations” and “Notes to Consolidated Financial Statements” presented in our Annual Report on Form 10-K for the year ended December 31, 2023. There were no newly identified critical accounting policies in the first six months of 2024, nor were there any material changes to the critical accounting policies and estimates discussed in our Annual Report on Form 10-K for the year ended December 31, 2023.</w:t>
      </w:r>
    </w:p>
    <w:p>
      <w:pPr>
        <w:spacing w:after="0" w:line="1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89" w:lineRule="exact"/>
        <w:rPr>
          <w:sz w:val="20"/>
          <w:szCs w:val="20"/>
          <w:color w:val="auto"/>
        </w:rPr>
      </w:pPr>
    </w:p>
    <w:p>
      <w:pPr>
        <w:ind w:left="60" w:right="259"/>
        <w:spacing w:after="0" w:line="261" w:lineRule="auto"/>
        <w:rPr>
          <w:sz w:val="20"/>
          <w:szCs w:val="20"/>
          <w:color w:val="auto"/>
        </w:rPr>
      </w:pPr>
      <w:r>
        <w:rPr>
          <w:rFonts w:ascii="Times New Roman" w:cs="Times New Roman" w:eastAsia="Times New Roman" w:hAnsi="Times New Roman"/>
          <w:sz w:val="18"/>
          <w:szCs w:val="18"/>
          <w:color w:val="auto"/>
        </w:rPr>
        <w:t>There have been no material changes in our quantitative and qualitative market risks since December 31, 2023. For a discussion of the Company’s exposure to market risk, refer to the Company’s market risk disclosures set forth in Part II, Item 7A. “Quantitative and Qualitative Disclosures About Market Risk” of the Company’s Annual Report on Form 10-K for the year ended December 31, 2023.</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02"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The Company maintains disclosure controls and procedures, as defined in Rule 13a-15(e) promulgated under the Exchange Act, that are designed to ensure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The Company carried out an evaluation under the supervision and with the participation of our management, including our Chief Executive Officer and Chief Financial Officer, of the effectiveness of the design and operation of our disclosure controls and procedures as of the end of the period covered by this report. Based on the evaluation of these disclosure controls and procedures, the Chief Executive Officer and Chief Financial Officer concluded that our disclosure controls and procedures were effective as of the end of the period covered by this report.</w:t>
      </w:r>
    </w:p>
    <w:p>
      <w:pPr>
        <w:spacing w:after="0" w:line="154" w:lineRule="exact"/>
        <w:rPr>
          <w:sz w:val="20"/>
          <w:szCs w:val="20"/>
          <w:color w:val="auto"/>
        </w:rPr>
      </w:pPr>
    </w:p>
    <w:p>
      <w:pPr>
        <w:ind w:left="60" w:right="319"/>
        <w:spacing w:after="0" w:line="312" w:lineRule="auto"/>
        <w:rPr>
          <w:sz w:val="20"/>
          <w:szCs w:val="20"/>
          <w:color w:val="auto"/>
        </w:rPr>
      </w:pPr>
      <w:r>
        <w:rPr>
          <w:rFonts w:ascii="Times New Roman" w:cs="Times New Roman" w:eastAsia="Times New Roman" w:hAnsi="Times New Roman"/>
          <w:sz w:val="17"/>
          <w:szCs w:val="17"/>
          <w:color w:val="auto"/>
        </w:rPr>
        <w:t>There has been no change in our internal control over financial reporting that occurred during the period covered by this report that materially affected, or is reasonably likely to materially affect, our internal control over financial reporting.</w:t>
      </w:r>
    </w:p>
    <w:p>
      <w:pPr>
        <w:spacing w:after="0" w:line="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89"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The Company is a party to certain litigation in the ordinary course, as described in Note 12, “Commitments and Contingencies,” to our condensed consolidated financial statements included herein and which our management deems will not have a material effect on our financial statements.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2" w:lineRule="exact"/>
        <w:rPr>
          <w:sz w:val="20"/>
          <w:szCs w:val="20"/>
          <w:color w:val="auto"/>
        </w:rPr>
      </w:pPr>
    </w:p>
    <w:p>
      <w:pPr>
        <w:ind w:left="60" w:right="51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the risk factors disclosed in Part I, Item 1A, “Risk Factors,” of our Annual Report on Form 10-K for the fiscal year ended December 31, 2023.</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Inapplicable.</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Inapplicable.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Inapplicable.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89" w:lineRule="exact"/>
        <w:rPr>
          <w:sz w:val="20"/>
          <w:szCs w:val="20"/>
          <w:color w:val="auto"/>
        </w:rPr>
      </w:pPr>
    </w:p>
    <w:p>
      <w:pPr>
        <w:ind w:left="60" w:right="279"/>
        <w:spacing w:after="0" w:line="312" w:lineRule="auto"/>
        <w:rPr>
          <w:sz w:val="20"/>
          <w:szCs w:val="20"/>
          <w:color w:val="auto"/>
        </w:rPr>
      </w:pPr>
      <w:r>
        <w:rPr>
          <w:rFonts w:ascii="Times New Roman" w:cs="Times New Roman" w:eastAsia="Times New Roman" w:hAnsi="Times New Roman"/>
          <w:sz w:val="17"/>
          <w:szCs w:val="17"/>
          <w:color w:val="auto"/>
        </w:rPr>
        <w:t>During the fiscal quarter ended June 30, 2024, no director or Section 16 officer adopted or terminated any Rule 10b5-1 trading arrangements or non-Rule 10b5-1 trading arrangements (in each case, as defined in Item 408 of Regulation S-K).</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43"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Exhibit Number</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4380" w:type="dxa"/>
            <w:vAlign w:val="bottom"/>
            <w:tcBorders>
              <w:bottom w:val="single" w:sz="8" w:color="auto"/>
            </w:tcBorders>
            <w:gridSpan w:val="18"/>
          </w:tcPr>
          <w:p>
            <w:pPr>
              <w:ind w:left="240"/>
              <w:spacing w:after="0"/>
              <w:rPr>
                <w:sz w:val="20"/>
                <w:szCs w:val="20"/>
                <w:color w:val="auto"/>
              </w:rPr>
            </w:pPr>
            <w:r>
              <w:rPr>
                <w:rFonts w:ascii="Times New Roman" w:cs="Times New Roman" w:eastAsia="Times New Roman" w:hAnsi="Times New Roman"/>
                <w:sz w:val="18"/>
                <w:szCs w:val="18"/>
                <w:color w:val="auto"/>
              </w:rPr>
              <w:t>Description</w:t>
            </w:r>
          </w:p>
        </w:tc>
      </w:tr>
      <w:tr>
        <w:trPr>
          <w:trHeight w:val="385"/>
        </w:trPr>
        <w:tc>
          <w:tcPr>
            <w:tcW w:w="1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24"/>
                <w:szCs w:val="24"/>
                <w:color w:val="auto"/>
              </w:rPr>
            </w:pPr>
          </w:p>
        </w:tc>
        <w:tc>
          <w:tcPr>
            <w:tcW w:w="64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55">
              <w:r>
                <w:rPr>
                  <w:rFonts w:ascii="Times New Roman" w:cs="Times New Roman" w:eastAsia="Times New Roman" w:hAnsi="Times New Roman"/>
                  <w:sz w:val="18"/>
                  <w:szCs w:val="18"/>
                  <w:color w:val="0000EE"/>
                  <w:w w:val="99"/>
                </w:rPr>
                <w:t>Amended and Restated Certificate of Incorporation of Ryman Hospitality Properties, Inc.</w:t>
              </w:r>
            </w:hyperlink>
          </w:p>
        </w:tc>
        <w:tc>
          <w:tcPr>
            <w:tcW w:w="1000" w:type="dxa"/>
            <w:vAlign w:val="bottom"/>
            <w:gridSpan w:val="13"/>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40" w:type="dxa"/>
            <w:vAlign w:val="bottom"/>
            <w:gridSpan w:val="23"/>
          </w:tcPr>
          <w:p>
            <w:pPr>
              <w:spacing w:after="0" w:line="196" w:lineRule="exact"/>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(incorporated by reference to Exhibit 3.1 to the Company’s Current Report on Form 8-K filed</w:t>
              </w:r>
            </w:hyperlink>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55">
              <w:r>
                <w:rPr>
                  <w:rFonts w:ascii="Times New Roman" w:cs="Times New Roman" w:eastAsia="Times New Roman" w:hAnsi="Times New Roman"/>
                  <w:sz w:val="18"/>
                  <w:szCs w:val="18"/>
                  <w:color w:val="0000EE"/>
                  <w:w w:val="99"/>
                </w:rPr>
                <w:t>October 1, 2012).</w:t>
              </w:r>
            </w:hyperlink>
          </w:p>
        </w:tc>
        <w:tc>
          <w:tcPr>
            <w:tcW w:w="5460" w:type="dxa"/>
            <w:vAlign w:val="bottom"/>
            <w:tcBorders>
              <w:top w:val="single" w:sz="8" w:color="0000EE"/>
            </w:tcBorders>
            <w:gridSpan w:val="11"/>
          </w:tcPr>
          <w:p>
            <w:pPr>
              <w:spacing w:after="0"/>
              <w:rPr>
                <w:sz w:val="17"/>
                <w:szCs w:val="17"/>
                <w:color w:val="auto"/>
              </w:rPr>
            </w:pPr>
          </w:p>
        </w:tc>
        <w:tc>
          <w:tcPr>
            <w:tcW w:w="700" w:type="dxa"/>
            <w:vAlign w:val="bottom"/>
            <w:gridSpan w:val="10"/>
          </w:tcPr>
          <w:p>
            <w:pPr>
              <w:spacing w:after="0"/>
              <w:rPr>
                <w:sz w:val="17"/>
                <w:szCs w:val="17"/>
                <w:color w:val="auto"/>
              </w:rPr>
            </w:pPr>
          </w:p>
        </w:tc>
      </w:tr>
      <w:tr>
        <w:trPr>
          <w:trHeight w:val="196"/>
        </w:trPr>
        <w:tc>
          <w:tcPr>
            <w:tcW w:w="1240" w:type="dxa"/>
            <w:vAlign w:val="bottom"/>
          </w:tcPr>
          <w:p>
            <w:pPr>
              <w:ind w:left="48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17"/>
                <w:szCs w:val="17"/>
                <w:color w:val="auto"/>
              </w:rPr>
            </w:pPr>
          </w:p>
        </w:tc>
        <w:tc>
          <w:tcPr>
            <w:tcW w:w="68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56">
              <w:r>
                <w:rPr>
                  <w:rFonts w:ascii="Times New Roman" w:cs="Times New Roman" w:eastAsia="Times New Roman" w:hAnsi="Times New Roman"/>
                  <w:sz w:val="18"/>
                  <w:szCs w:val="18"/>
                  <w:color w:val="0000EE"/>
                  <w:w w:val="99"/>
                </w:rPr>
                <w:t>Second Amended and Restated Bylaws of Ryman Hospitality Properties, Inc. (incorporated by</w:t>
              </w:r>
            </w:hyperlink>
          </w:p>
        </w:tc>
        <w:tc>
          <w:tcPr>
            <w:tcW w:w="620" w:type="dxa"/>
            <w:vAlign w:val="bottom"/>
            <w:gridSpan w:val="9"/>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6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56">
              <w:r>
                <w:rPr>
                  <w:rFonts w:ascii="Times New Roman" w:cs="Times New Roman" w:eastAsia="Times New Roman" w:hAnsi="Times New Roman"/>
                  <w:sz w:val="18"/>
                  <w:szCs w:val="18"/>
                  <w:color w:val="0000EE"/>
                  <w:w w:val="99"/>
                </w:rPr>
                <w:t>reference to Exhibit 3.2 to the Company’s Annual Report on Form 10-K filed February 24, 2023).</w:t>
              </w:r>
            </w:hyperlink>
          </w:p>
        </w:tc>
        <w:tc>
          <w:tcPr>
            <w:tcW w:w="380" w:type="dxa"/>
            <w:vAlign w:val="bottom"/>
            <w:gridSpan w:val="4"/>
          </w:tcPr>
          <w:p>
            <w:pPr>
              <w:spacing w:after="0"/>
              <w:rPr>
                <w:sz w:val="17"/>
                <w:szCs w:val="17"/>
                <w:color w:val="auto"/>
              </w:rPr>
            </w:pPr>
          </w:p>
        </w:tc>
      </w:tr>
      <w:tr>
        <w:trPr>
          <w:trHeight w:val="196"/>
        </w:trPr>
        <w:tc>
          <w:tcPr>
            <w:tcW w:w="1240" w:type="dxa"/>
            <w:vAlign w:val="bottom"/>
          </w:tcPr>
          <w:p>
            <w:pPr>
              <w:ind w:left="48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17"/>
                <w:szCs w:val="17"/>
                <w:color w:val="auto"/>
              </w:rPr>
            </w:pPr>
          </w:p>
        </w:tc>
        <w:tc>
          <w:tcPr>
            <w:tcW w:w="7440" w:type="dxa"/>
            <w:vAlign w:val="bottom"/>
            <w:gridSpan w:val="23"/>
          </w:tcPr>
          <w:p>
            <w:pPr>
              <w:spacing w:after="0" w:line="19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Incremental Tranche B Term Loan Agreement (incorporated by reference to Exhibit 10.1 to the</w:t>
              </w:r>
            </w:hyperlink>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52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57">
              <w:r>
                <w:rPr>
                  <w:rFonts w:ascii="Times New Roman" w:cs="Times New Roman" w:eastAsia="Times New Roman" w:hAnsi="Times New Roman"/>
                  <w:sz w:val="18"/>
                  <w:szCs w:val="18"/>
                  <w:color w:val="0000EE"/>
                  <w:w w:val="99"/>
                </w:rPr>
                <w:t>Company’s Current Report on Form 8-K filed April 12, 2024).</w:t>
              </w:r>
            </w:hyperlink>
          </w:p>
        </w:tc>
        <w:tc>
          <w:tcPr>
            <w:tcW w:w="2340" w:type="dxa"/>
            <w:vAlign w:val="bottom"/>
            <w:tcBorders>
              <w:top w:val="single" w:sz="8" w:color="0000EE"/>
            </w:tcBorders>
            <w:gridSpan w:val="10"/>
          </w:tcPr>
          <w:p>
            <w:pPr>
              <w:spacing w:after="0"/>
              <w:rPr>
                <w:sz w:val="17"/>
                <w:szCs w:val="17"/>
                <w:color w:val="auto"/>
              </w:rPr>
            </w:pPr>
          </w:p>
        </w:tc>
        <w:tc>
          <w:tcPr>
            <w:tcW w:w="580" w:type="dxa"/>
            <w:vAlign w:val="bottom"/>
            <w:gridSpan w:val="7"/>
          </w:tcPr>
          <w:p>
            <w:pPr>
              <w:spacing w:after="0"/>
              <w:rPr>
                <w:sz w:val="17"/>
                <w:szCs w:val="17"/>
                <w:color w:val="auto"/>
              </w:rPr>
            </w:pPr>
          </w:p>
        </w:tc>
      </w:tr>
      <w:tr>
        <w:trPr>
          <w:trHeight w:val="196"/>
        </w:trPr>
        <w:tc>
          <w:tcPr>
            <w:tcW w:w="1240" w:type="dxa"/>
            <w:vAlign w:val="bottom"/>
          </w:tcPr>
          <w:p>
            <w:pPr>
              <w:ind w:left="48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220" w:type="dxa"/>
            <w:vAlign w:val="bottom"/>
          </w:tcPr>
          <w:p>
            <w:pPr>
              <w:spacing w:after="0"/>
              <w:rPr>
                <w:sz w:val="17"/>
                <w:szCs w:val="17"/>
                <w:color w:val="auto"/>
              </w:rPr>
            </w:pPr>
          </w:p>
        </w:tc>
        <w:tc>
          <w:tcPr>
            <w:tcW w:w="68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58">
              <w:r>
                <w:rPr>
                  <w:rFonts w:ascii="Times New Roman" w:cs="Times New Roman" w:eastAsia="Times New Roman" w:hAnsi="Times New Roman"/>
                  <w:sz w:val="18"/>
                  <w:szCs w:val="18"/>
                  <w:color w:val="0000EE"/>
                  <w:w w:val="99"/>
                </w:rPr>
                <w:t>Ryman Hospitality Properties, Inc. 2024 Omnibus Incentive Plan (incorporated by reference to</w:t>
              </w:r>
            </w:hyperlink>
          </w:p>
        </w:tc>
        <w:tc>
          <w:tcPr>
            <w:tcW w:w="600" w:type="dxa"/>
            <w:vAlign w:val="bottom"/>
            <w:gridSpan w:val="8"/>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40" w:type="dxa"/>
            <w:vAlign w:val="bottom"/>
            <w:gridSpan w:val="23"/>
          </w:tcPr>
          <w:p>
            <w:pPr>
              <w:spacing w:after="0" w:line="19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Exhibit 10.1 to the Company’s Current Report on Form 8-K filed May 9, 2024).</w:t>
              </w:r>
            </w:hyperlink>
          </w:p>
        </w:tc>
      </w:tr>
      <w:tr>
        <w:trPr>
          <w:trHeight w:val="20"/>
        </w:trPr>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60" w:type="dxa"/>
            <w:vAlign w:val="bottom"/>
            <w:tcBorders>
              <w:right w:val="single" w:sz="8" w:color="0000EE"/>
            </w:tcBorders>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40" w:type="dxa"/>
            <w:vAlign w:val="bottom"/>
          </w:tcPr>
          <w:p>
            <w:pPr>
              <w:ind w:left="480"/>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220" w:type="dxa"/>
            <w:vAlign w:val="bottom"/>
          </w:tcPr>
          <w:p>
            <w:pPr>
              <w:spacing w:after="0"/>
              <w:rPr>
                <w:sz w:val="17"/>
                <w:szCs w:val="17"/>
                <w:color w:val="auto"/>
              </w:rPr>
            </w:pPr>
          </w:p>
        </w:tc>
        <w:tc>
          <w:tcPr>
            <w:tcW w:w="672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Form of Performance-Based Restricted Stock Unit Award Agreement granted pursuant to the</w:t>
            </w:r>
          </w:p>
        </w:tc>
        <w:tc>
          <w:tcPr>
            <w:tcW w:w="720" w:type="dxa"/>
            <w:vAlign w:val="bottom"/>
            <w:gridSpan w:val="11"/>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Company’s 2024 Omnibus Incentive Plan.</w:t>
            </w:r>
          </w:p>
        </w:tc>
      </w:tr>
      <w:tr>
        <w:trPr>
          <w:trHeight w:val="20"/>
        </w:trPr>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60" w:type="dxa"/>
            <w:vAlign w:val="bottom"/>
            <w:tcBorders>
              <w:right w:val="single" w:sz="8" w:color="0000EE"/>
            </w:tcBorders>
            <w:shd w:val="clear" w:color="auto" w:fill="0000EE"/>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40" w:type="dxa"/>
            <w:vAlign w:val="bottom"/>
          </w:tcPr>
          <w:p>
            <w:pPr>
              <w:ind w:left="480"/>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17"/>
                <w:szCs w:val="17"/>
                <w:color w:val="auto"/>
              </w:rPr>
            </w:pPr>
          </w:p>
        </w:tc>
        <w:tc>
          <w:tcPr>
            <w:tcW w:w="74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Form of Time-Based Restricted Stock Unit Award Agreement granted pursuant to the Company’s</w:t>
            </w: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2024 Omnibus Incentive Plan.</w:t>
            </w:r>
          </w:p>
        </w:tc>
        <w:tc>
          <w:tcPr>
            <w:tcW w:w="4820" w:type="dxa"/>
            <w:vAlign w:val="bottom"/>
            <w:tcBorders>
              <w:top w:val="single" w:sz="8" w:color="0000EE"/>
            </w:tcBorders>
            <w:gridSpan w:val="14"/>
          </w:tcPr>
          <w:p>
            <w:pPr>
              <w:spacing w:after="0"/>
              <w:rPr>
                <w:sz w:val="17"/>
                <w:szCs w:val="17"/>
                <w:color w:val="auto"/>
              </w:rPr>
            </w:pPr>
          </w:p>
        </w:tc>
        <w:tc>
          <w:tcPr>
            <w:tcW w:w="420" w:type="dxa"/>
            <w:vAlign w:val="bottom"/>
            <w:gridSpan w:val="5"/>
          </w:tcPr>
          <w:p>
            <w:pPr>
              <w:spacing w:after="0"/>
              <w:rPr>
                <w:sz w:val="17"/>
                <w:szCs w:val="17"/>
                <w:color w:val="auto"/>
              </w:rPr>
            </w:pPr>
          </w:p>
        </w:tc>
      </w:tr>
      <w:tr>
        <w:trPr>
          <w:trHeight w:val="196"/>
        </w:trPr>
        <w:tc>
          <w:tcPr>
            <w:tcW w:w="1240" w:type="dxa"/>
            <w:vAlign w:val="bottom"/>
          </w:tcPr>
          <w:p>
            <w:pPr>
              <w:ind w:left="48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17"/>
                <w:szCs w:val="17"/>
                <w:color w:val="auto"/>
              </w:rPr>
            </w:pPr>
          </w:p>
        </w:tc>
        <w:tc>
          <w:tcPr>
            <w:tcW w:w="30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List of Parent and Subsidiary Guarantors.</w:t>
            </w:r>
          </w:p>
        </w:tc>
        <w:tc>
          <w:tcPr>
            <w:tcW w:w="4380" w:type="dxa"/>
            <w:vAlign w:val="bottom"/>
            <w:gridSpan w:val="18"/>
          </w:tcPr>
          <w:p>
            <w:pPr>
              <w:spacing w:after="0"/>
              <w:rPr>
                <w:sz w:val="17"/>
                <w:szCs w:val="17"/>
                <w:color w:val="auto"/>
              </w:rPr>
            </w:pPr>
          </w:p>
        </w:tc>
      </w:tr>
      <w:tr>
        <w:trPr>
          <w:trHeight w:val="196"/>
        </w:trPr>
        <w:tc>
          <w:tcPr>
            <w:tcW w:w="1240" w:type="dxa"/>
            <w:vAlign w:val="bottom"/>
          </w:tcPr>
          <w:p>
            <w:pPr>
              <w:ind w:left="480"/>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220" w:type="dxa"/>
            <w:vAlign w:val="bottom"/>
          </w:tcPr>
          <w:p>
            <w:pPr>
              <w:spacing w:after="0"/>
              <w:rPr>
                <w:sz w:val="17"/>
                <w:szCs w:val="17"/>
                <w:color w:val="auto"/>
              </w:rPr>
            </w:pPr>
          </w:p>
        </w:tc>
        <w:tc>
          <w:tcPr>
            <w:tcW w:w="642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Mark Fioravanti pursuant to Section 302 of Sarbanes-Oxley Act of 2002.</w:t>
            </w:r>
          </w:p>
        </w:tc>
        <w:tc>
          <w:tcPr>
            <w:tcW w:w="1020" w:type="dxa"/>
            <w:vAlign w:val="bottom"/>
            <w:gridSpan w:val="14"/>
          </w:tcPr>
          <w:p>
            <w:pPr>
              <w:spacing w:after="0"/>
              <w:rPr>
                <w:sz w:val="17"/>
                <w:szCs w:val="17"/>
                <w:color w:val="auto"/>
              </w:rPr>
            </w:pPr>
          </w:p>
        </w:tc>
      </w:tr>
      <w:tr>
        <w:trPr>
          <w:trHeight w:val="196"/>
        </w:trPr>
        <w:tc>
          <w:tcPr>
            <w:tcW w:w="1240" w:type="dxa"/>
            <w:vAlign w:val="bottom"/>
          </w:tcPr>
          <w:p>
            <w:pPr>
              <w:ind w:left="480"/>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220" w:type="dxa"/>
            <w:vAlign w:val="bottom"/>
          </w:tcPr>
          <w:p>
            <w:pPr>
              <w:spacing w:after="0"/>
              <w:rPr>
                <w:sz w:val="17"/>
                <w:szCs w:val="17"/>
                <w:color w:val="auto"/>
              </w:rPr>
            </w:pPr>
          </w:p>
        </w:tc>
        <w:tc>
          <w:tcPr>
            <w:tcW w:w="664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Jennifer Hutcheson pursuant to Section 302 of Sarbanes-Oxley Act of 2002.</w:t>
            </w:r>
          </w:p>
        </w:tc>
        <w:tc>
          <w:tcPr>
            <w:tcW w:w="800" w:type="dxa"/>
            <w:vAlign w:val="bottom"/>
            <w:gridSpan w:val="12"/>
          </w:tcPr>
          <w:p>
            <w:pPr>
              <w:spacing w:after="0"/>
              <w:rPr>
                <w:sz w:val="17"/>
                <w:szCs w:val="17"/>
                <w:color w:val="auto"/>
              </w:rPr>
            </w:pPr>
          </w:p>
        </w:tc>
      </w:tr>
      <w:tr>
        <w:trPr>
          <w:trHeight w:val="196"/>
        </w:trPr>
        <w:tc>
          <w:tcPr>
            <w:tcW w:w="1240" w:type="dxa"/>
            <w:vAlign w:val="bottom"/>
          </w:tcPr>
          <w:p>
            <w:pPr>
              <w:ind w:left="480"/>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220" w:type="dxa"/>
            <w:vAlign w:val="bottom"/>
          </w:tcPr>
          <w:p>
            <w:pPr>
              <w:spacing w:after="0"/>
              <w:rPr>
                <w:sz w:val="17"/>
                <w:szCs w:val="17"/>
                <w:color w:val="auto"/>
              </w:rPr>
            </w:pPr>
          </w:p>
        </w:tc>
        <w:tc>
          <w:tcPr>
            <w:tcW w:w="74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Mark Fioravanti and Jennifer Hutcheson pursuant to 18 U.S.C. Section 1350, as</w:t>
            </w: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90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adopted pursuant to Section 906 of Sarbanes-Oxley Act of 2002.</w:t>
            </w:r>
          </w:p>
        </w:tc>
        <w:tc>
          <w:tcPr>
            <w:tcW w:w="540" w:type="dxa"/>
            <w:vAlign w:val="bottom"/>
            <w:gridSpan w:val="6"/>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40" w:type="dxa"/>
            <w:vAlign w:val="bottom"/>
            <w:gridSpan w:val="3"/>
            <w:shd w:val="clear" w:color="auto" w:fill="0000EE"/>
          </w:tcPr>
          <w:p>
            <w:pPr>
              <w:spacing w:after="0" w:line="20" w:lineRule="exact"/>
              <w:rPr>
                <w:sz w:val="1"/>
                <w:szCs w:val="1"/>
                <w:color w:val="auto"/>
              </w:rPr>
            </w:pPr>
          </w:p>
        </w:tc>
        <w:tc>
          <w:tcPr>
            <w:tcW w:w="2520" w:type="dxa"/>
            <w:vAlign w:val="bottom"/>
            <w:gridSpan w:val="4"/>
            <w:shd w:val="clear" w:color="auto" w:fill="0000EE"/>
          </w:tcPr>
          <w:p>
            <w:pPr>
              <w:spacing w:after="0" w:line="20" w:lineRule="exact"/>
              <w:rPr>
                <w:sz w:val="1"/>
                <w:szCs w:val="1"/>
                <w:color w:val="auto"/>
              </w:rPr>
            </w:pPr>
          </w:p>
        </w:tc>
        <w:tc>
          <w:tcPr>
            <w:tcW w:w="254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40" w:type="dxa"/>
            <w:vAlign w:val="bottom"/>
          </w:tcPr>
          <w:p>
            <w:pPr>
              <w:ind w:left="480"/>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220" w:type="dxa"/>
            <w:vAlign w:val="bottom"/>
          </w:tcPr>
          <w:p>
            <w:pPr>
              <w:spacing w:after="0"/>
              <w:rPr>
                <w:sz w:val="17"/>
                <w:szCs w:val="17"/>
                <w:color w:val="auto"/>
              </w:rPr>
            </w:pPr>
          </w:p>
        </w:tc>
        <w:tc>
          <w:tcPr>
            <w:tcW w:w="720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59">
              <w:r>
                <w:rPr>
                  <w:rFonts w:ascii="Times New Roman" w:cs="Times New Roman" w:eastAsia="Times New Roman" w:hAnsi="Times New Roman"/>
                  <w:sz w:val="18"/>
                  <w:szCs w:val="18"/>
                  <w:color w:val="0000EE"/>
                  <w:w w:val="99"/>
                </w:rPr>
                <w:t>First Amendment dated June 28, 2024 to Credit Agreement, dated as of June 16, 2022, among OEG</w:t>
              </w:r>
            </w:hyperlink>
          </w:p>
        </w:tc>
        <w:tc>
          <w:tcPr>
            <w:tcW w:w="240" w:type="dxa"/>
            <w:vAlign w:val="bottom"/>
            <w:gridSpan w:val="3"/>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59">
              <w:r>
                <w:rPr>
                  <w:rFonts w:ascii="Times New Roman" w:cs="Times New Roman" w:eastAsia="Times New Roman" w:hAnsi="Times New Roman"/>
                  <w:sz w:val="18"/>
                  <w:szCs w:val="18"/>
                  <w:color w:val="0000EE"/>
                  <w:w w:val="99"/>
                </w:rPr>
                <w:t>Borrower, LLC, as borrower, OEG Finance, LLC, certain subsidiaries of OEG Borrower, LLC from</w:t>
              </w:r>
            </w:hyperlink>
          </w:p>
        </w:tc>
        <w:tc>
          <w:tcPr>
            <w:tcW w:w="240" w:type="dxa"/>
            <w:vAlign w:val="bottom"/>
            <w:gridSpan w:val="3"/>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40" w:type="dxa"/>
            <w:vAlign w:val="bottom"/>
            <w:gridSpan w:val="23"/>
          </w:tcPr>
          <w:p>
            <w:pPr>
              <w:spacing w:after="0" w:line="19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time to time party thereto as guarantors, the lenders party thereto and JPMorgan Chase Bank, N.A., as</w:t>
              </w:r>
            </w:hyperlink>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20" w:type="dxa"/>
            <w:vAlign w:val="bottom"/>
            <w:tcBorders>
              <w:top w:val="single" w:sz="8" w:color="0000EE"/>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59">
              <w:r>
                <w:rPr>
                  <w:rFonts w:ascii="Times New Roman" w:cs="Times New Roman" w:eastAsia="Times New Roman" w:hAnsi="Times New Roman"/>
                  <w:sz w:val="18"/>
                  <w:szCs w:val="18"/>
                  <w:color w:val="0000EE"/>
                  <w:w w:val="99"/>
                </w:rPr>
                <w:t>administrative agent (incorporated by reference to Exhibit 99.1 to the Company’s Current Report on</w:t>
              </w:r>
            </w:hyperlink>
          </w:p>
        </w:tc>
        <w:tc>
          <w:tcPr>
            <w:tcW w:w="1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59">
              <w:r>
                <w:rPr>
                  <w:rFonts w:ascii="Times New Roman" w:cs="Times New Roman" w:eastAsia="Times New Roman" w:hAnsi="Times New Roman"/>
                  <w:sz w:val="18"/>
                  <w:szCs w:val="18"/>
                  <w:color w:val="0000EE"/>
                  <w:w w:val="99"/>
                </w:rPr>
                <w:t>Form 8-K filed July 1, 2024).</w:t>
              </w:r>
            </w:hyperlink>
          </w:p>
        </w:tc>
        <w:tc>
          <w:tcPr>
            <w:tcW w:w="5300" w:type="dxa"/>
            <w:vAlign w:val="bottom"/>
            <w:gridSpan w:val="20"/>
          </w:tcPr>
          <w:p>
            <w:pPr>
              <w:spacing w:after="0"/>
              <w:rPr>
                <w:sz w:val="17"/>
                <w:szCs w:val="17"/>
                <w:color w:val="auto"/>
              </w:rPr>
            </w:pPr>
          </w:p>
        </w:tc>
      </w:tr>
      <w:tr>
        <w:trPr>
          <w:trHeight w:val="218"/>
        </w:trPr>
        <w:tc>
          <w:tcPr>
            <w:tcW w:w="1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18"/>
                <w:szCs w:val="18"/>
                <w:color w:val="auto"/>
              </w:rPr>
            </w:pPr>
          </w:p>
        </w:tc>
        <w:tc>
          <w:tcPr>
            <w:tcW w:w="744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The following materials from Ryman Hospitality Properties, Inc.’s Quarterly Report on Form 10-Q for</w:t>
            </w:r>
          </w:p>
        </w:tc>
      </w:tr>
      <w:tr>
        <w:trPr>
          <w:trHeight w:val="216"/>
        </w:trPr>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4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the quarterly period ended June 30, 2024, formatted in Inline XBRL (eXtensible Business Reporting</w:t>
            </w:r>
          </w:p>
        </w:tc>
      </w:tr>
      <w:tr>
        <w:trPr>
          <w:trHeight w:val="216"/>
        </w:trPr>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4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Language): (i) Condensed Consolidated Balance Sheets (unaudited) at June 30, 2024 and</w:t>
            </w:r>
          </w:p>
        </w:tc>
      </w:tr>
      <w:tr>
        <w:trPr>
          <w:trHeight w:val="216"/>
        </w:trPr>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4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December 31, 2023, (ii) Condensed Consolidated Statements of Operations and Comprehensive</w:t>
            </w:r>
          </w:p>
        </w:tc>
      </w:tr>
      <w:tr>
        <w:trPr>
          <w:trHeight w:val="216"/>
        </w:trPr>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4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Income (unaudited) for the three and six months ended June 30, 2024 and 2023, (iii) Condensed</w:t>
            </w:r>
          </w:p>
        </w:tc>
      </w:tr>
      <w:tr>
        <w:trPr>
          <w:trHeight w:val="216"/>
        </w:trPr>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4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Consolidated Statements of Cash Flows (unaudited) for the six months ended June 30, 2024 and 2023,</w:t>
            </w:r>
          </w:p>
        </w:tc>
      </w:tr>
      <w:tr>
        <w:trPr>
          <w:trHeight w:val="216"/>
        </w:trPr>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4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(iv) Condensed Consolidated Statements of Equity (unaudited) for the three and six months ended</w:t>
            </w:r>
          </w:p>
        </w:tc>
      </w:tr>
      <w:tr>
        <w:trPr>
          <w:trHeight w:val="216"/>
        </w:trPr>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4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June 30, 2024 and 2023, and (v) Notes to Condensed Consolidated Financial Statements (unaudited).</w:t>
            </w:r>
          </w:p>
        </w:tc>
      </w:tr>
      <w:tr>
        <w:trPr>
          <w:trHeight w:val="234"/>
        </w:trPr>
        <w:tc>
          <w:tcPr>
            <w:tcW w:w="1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0"/>
                <w:szCs w:val="20"/>
                <w:color w:val="auto"/>
              </w:rPr>
            </w:pPr>
          </w:p>
        </w:tc>
        <w:tc>
          <w:tcPr>
            <w:tcW w:w="744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78" w:lineRule="exact"/>
        <w:rPr>
          <w:sz w:val="20"/>
          <w:szCs w:val="20"/>
          <w:color w:val="auto"/>
        </w:rPr>
      </w:pPr>
    </w:p>
    <w:p>
      <w:pPr>
        <w:ind w:left="360" w:hanging="310"/>
        <w:spacing w:after="0"/>
        <w:tabs>
          <w:tab w:leader="none" w:pos="3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9" w:lineRule="exact"/>
        <w:rPr>
          <w:sz w:val="20"/>
          <w:szCs w:val="20"/>
          <w:color w:val="auto"/>
        </w:rPr>
      </w:pPr>
    </w:p>
    <w:p>
      <w:pPr>
        <w:jc w:val="both"/>
        <w:ind w:left="380" w:right="359" w:hanging="330"/>
        <w:spacing w:after="0" w:line="290" w:lineRule="auto"/>
        <w:tabs>
          <w:tab w:leader="none" w:pos="3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schedules and similar attachments have been omitted in reliance on Item 601(a)(5) of Regulation S-K. The Company will provide, on a supplemental basis, a copy of any omitted schedule or attachment to the Securities and</w:t>
      </w:r>
    </w:p>
    <w:p>
      <w:pPr>
        <w:spacing w:after="0" w:line="157" w:lineRule="exact"/>
        <w:rPr>
          <w:sz w:val="20"/>
          <w:szCs w:val="20"/>
          <w:color w:val="auto"/>
        </w:rPr>
      </w:pPr>
    </w:p>
    <w:p>
      <w:pPr>
        <w:ind w:left="380" w:hanging="330"/>
        <w:spacing w:after="0"/>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4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3040" w:type="dxa"/>
            <w:vAlign w:val="bottom"/>
          </w:tcPr>
          <w:p>
            <w:pPr>
              <w:spacing w:after="0"/>
              <w:rPr>
                <w:sz w:val="20"/>
                <w:szCs w:val="20"/>
                <w:color w:val="auto"/>
              </w:rPr>
            </w:pPr>
          </w:p>
        </w:tc>
        <w:tc>
          <w:tcPr>
            <w:tcW w:w="5860" w:type="dxa"/>
            <w:vAlign w:val="bottom"/>
            <w:gridSpan w:val="2"/>
          </w:tcPr>
          <w:p>
            <w:pPr>
              <w:ind w:left="1500"/>
              <w:spacing w:after="0"/>
              <w:rPr>
                <w:sz w:val="20"/>
                <w:szCs w:val="20"/>
                <w:color w:val="auto"/>
              </w:rPr>
            </w:pPr>
            <w:r>
              <w:rPr>
                <w:rFonts w:ascii="Times New Roman" w:cs="Times New Roman" w:eastAsia="Times New Roman" w:hAnsi="Times New Roman"/>
                <w:sz w:val="18"/>
                <w:szCs w:val="18"/>
                <w:b w:val="1"/>
                <w:bCs w:val="1"/>
                <w:color w:val="auto"/>
              </w:rPr>
              <w:t>RYMAN HOSPITALITY PROPERTIES, INC.</w:t>
            </w:r>
          </w:p>
        </w:tc>
      </w:tr>
      <w:tr>
        <w:trPr>
          <w:trHeight w:val="432"/>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 2024</w:t>
            </w:r>
          </w:p>
        </w:tc>
        <w:tc>
          <w:tcPr>
            <w:tcW w:w="586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By:/s/ Mark Fioravanti</w:t>
            </w:r>
          </w:p>
        </w:tc>
      </w:tr>
      <w:tr>
        <w:trPr>
          <w:trHeight w:val="191"/>
        </w:trPr>
        <w:tc>
          <w:tcPr>
            <w:tcW w:w="30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4100" w:type="dxa"/>
            <w:vAlign w:val="bottom"/>
            <w:tcBorders>
              <w:top w:val="single" w:sz="8" w:color="auto"/>
            </w:tcBorders>
          </w:tcPr>
          <w:p>
            <w:pPr>
              <w:ind w:left="240"/>
              <w:spacing w:after="0" w:line="191" w:lineRule="exact"/>
              <w:rPr>
                <w:sz w:val="20"/>
                <w:szCs w:val="20"/>
                <w:color w:val="auto"/>
              </w:rPr>
            </w:pPr>
            <w:r>
              <w:rPr>
                <w:rFonts w:ascii="Times New Roman" w:cs="Times New Roman" w:eastAsia="Times New Roman" w:hAnsi="Times New Roman"/>
                <w:sz w:val="18"/>
                <w:szCs w:val="18"/>
                <w:color w:val="auto"/>
              </w:rPr>
              <w:t>Mark Fioravanti</w:t>
            </w:r>
          </w:p>
        </w:tc>
      </w:tr>
      <w:tr>
        <w:trPr>
          <w:trHeight w:val="234"/>
        </w:trPr>
        <w:tc>
          <w:tcPr>
            <w:tcW w:w="30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32"/>
        </w:trPr>
        <w:tc>
          <w:tcPr>
            <w:tcW w:w="3040" w:type="dxa"/>
            <w:vAlign w:val="bottom"/>
          </w:tcPr>
          <w:p>
            <w:pPr>
              <w:spacing w:after="0"/>
              <w:rPr>
                <w:sz w:val="24"/>
                <w:szCs w:val="24"/>
                <w:color w:val="auto"/>
              </w:rPr>
            </w:pPr>
          </w:p>
        </w:tc>
        <w:tc>
          <w:tcPr>
            <w:tcW w:w="586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By:/s/ Jennifer Hutcheson</w:t>
            </w:r>
          </w:p>
        </w:tc>
      </w:tr>
      <w:tr>
        <w:trPr>
          <w:trHeight w:val="191"/>
        </w:trPr>
        <w:tc>
          <w:tcPr>
            <w:tcW w:w="30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4100" w:type="dxa"/>
            <w:vAlign w:val="bottom"/>
            <w:tcBorders>
              <w:top w:val="single" w:sz="8" w:color="auto"/>
            </w:tcBorders>
          </w:tcPr>
          <w:p>
            <w:pPr>
              <w:ind w:left="240"/>
              <w:spacing w:after="0" w:line="191" w:lineRule="exact"/>
              <w:rPr>
                <w:sz w:val="20"/>
                <w:szCs w:val="20"/>
                <w:color w:val="auto"/>
              </w:rPr>
            </w:pPr>
            <w:r>
              <w:rPr>
                <w:rFonts w:ascii="Times New Roman" w:cs="Times New Roman" w:eastAsia="Times New Roman" w:hAnsi="Times New Roman"/>
                <w:sz w:val="18"/>
                <w:szCs w:val="18"/>
                <w:color w:val="auto"/>
              </w:rPr>
              <w:t>Jennifer Hutcheson</w:t>
            </w:r>
          </w:p>
        </w:tc>
      </w:tr>
      <w:tr>
        <w:trPr>
          <w:trHeight w:val="216"/>
        </w:trPr>
        <w:tc>
          <w:tcPr>
            <w:tcW w:w="30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Executive Vice President, Chief Financial</w:t>
            </w:r>
          </w:p>
        </w:tc>
      </w:tr>
      <w:tr>
        <w:trPr>
          <w:trHeight w:val="234"/>
        </w:trPr>
        <w:tc>
          <w:tcPr>
            <w:tcW w:w="30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Officer and 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9" w:name="page50"/>
    <w:bookmarkEnd w:id="49"/>
    <w:p>
      <w:pPr>
        <w:jc w:val="right"/>
        <w:ind w:right="219"/>
        <w:spacing w:after="0"/>
        <w:rPr>
          <w:sz w:val="20"/>
          <w:szCs w:val="20"/>
          <w:color w:val="auto"/>
        </w:rPr>
      </w:pPr>
      <w:r>
        <w:rPr>
          <w:rFonts w:ascii="Times New Roman" w:cs="Times New Roman" w:eastAsia="Times New Roman" w:hAnsi="Times New Roman"/>
          <w:sz w:val="20"/>
          <w:szCs w:val="20"/>
          <w:b w:val="1"/>
          <w:bCs w:val="1"/>
          <w:color w:val="auto"/>
        </w:rPr>
        <w:t>Exhibit 10.3</w:t>
      </w:r>
    </w:p>
    <w:p>
      <w:pPr>
        <w:spacing w:after="0" w:line="200" w:lineRule="exact"/>
        <w:rPr>
          <w:sz w:val="20"/>
          <w:szCs w:val="20"/>
          <w:color w:val="auto"/>
        </w:rPr>
      </w:pPr>
    </w:p>
    <w:p>
      <w:pPr>
        <w:spacing w:after="0" w:line="229" w:lineRule="exact"/>
        <w:rPr>
          <w:sz w:val="20"/>
          <w:szCs w:val="20"/>
          <w:color w:val="auto"/>
        </w:rPr>
      </w:pPr>
    </w:p>
    <w:p>
      <w:pPr>
        <w:jc w:val="center"/>
        <w:ind w:left="1660" w:right="660"/>
        <w:spacing w:after="0" w:line="298" w:lineRule="auto"/>
        <w:rPr>
          <w:sz w:val="20"/>
          <w:szCs w:val="20"/>
          <w:color w:val="auto"/>
        </w:rPr>
      </w:pPr>
      <w:r>
        <w:rPr>
          <w:rFonts w:ascii="Arial" w:cs="Arial" w:eastAsia="Arial" w:hAnsi="Arial"/>
          <w:sz w:val="22"/>
          <w:szCs w:val="22"/>
          <w:b w:val="1"/>
          <w:bCs w:val="1"/>
          <w:color w:val="auto"/>
        </w:rPr>
        <w:t>FORM OF PERFORMANCE-BASED RESTRICTED STOCK UNIT AWARD AGREEMENT</w:t>
      </w:r>
    </w:p>
    <w:p>
      <w:pPr>
        <w:spacing w:after="0" w:line="74" w:lineRule="exact"/>
        <w:rPr>
          <w:sz w:val="20"/>
          <w:szCs w:val="20"/>
          <w:color w:val="auto"/>
        </w:rPr>
      </w:pPr>
    </w:p>
    <w:p>
      <w:pPr>
        <w:ind w:left="780"/>
        <w:spacing w:after="0"/>
        <w:rPr>
          <w:sz w:val="20"/>
          <w:szCs w:val="20"/>
          <w:color w:val="auto"/>
        </w:rPr>
      </w:pPr>
      <w:r>
        <w:rPr>
          <w:rFonts w:ascii="Arial" w:cs="Arial" w:eastAsia="Arial" w:hAnsi="Arial"/>
          <w:sz w:val="22"/>
          <w:szCs w:val="22"/>
          <w:b w:val="1"/>
          <w:bCs w:val="1"/>
          <w:color w:val="auto"/>
        </w:rPr>
        <w:t>NOTICE OF PERFORMANCE-BASED RESTRICTED STOCK UNIT AWARD</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Participant Name: ###PARTICIPANT_NAME###</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Grant Name: ###GRANT_NAME###</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Grant Date: ###GRANT_DATE###</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Grant Type: ###DICTIONARY_AWARD_NAME###</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Quantity: ###TOTAL_AWARDS###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Vest Schedule: ###VEST_SCHEDULE_TABLE###</w:t>
      </w:r>
    </w:p>
    <w:p>
      <w:pPr>
        <w:spacing w:after="0" w:line="227" w:lineRule="exact"/>
        <w:rPr>
          <w:sz w:val="20"/>
          <w:szCs w:val="20"/>
          <w:color w:val="auto"/>
        </w:rPr>
      </w:pPr>
    </w:p>
    <w:p>
      <w:pPr>
        <w:ind w:left="200" w:right="819"/>
        <w:spacing w:after="0" w:line="325" w:lineRule="auto"/>
        <w:rPr>
          <w:sz w:val="20"/>
          <w:szCs w:val="20"/>
          <w:color w:val="auto"/>
        </w:rPr>
      </w:pPr>
      <w:r>
        <w:rPr>
          <w:rFonts w:ascii="Arial" w:cs="Arial" w:eastAsia="Arial" w:hAnsi="Arial"/>
          <w:sz w:val="17"/>
          <w:szCs w:val="17"/>
          <w:b w:val="1"/>
          <w:bCs w:val="1"/>
          <w:i w:val="1"/>
          <w:iCs w:val="1"/>
          <w:color w:val="auto"/>
        </w:rPr>
        <w:t>By accepting this Restricted Stock Unit Award, by means of execution and delivery of the accompanying Restricted Stock Unit Award Agreement (the “Award Agreement”) you hereby:</w:t>
      </w:r>
    </w:p>
    <w:p>
      <w:pPr>
        <w:spacing w:after="0" w:line="119" w:lineRule="exact"/>
        <w:rPr>
          <w:sz w:val="20"/>
          <w:szCs w:val="20"/>
          <w:color w:val="auto"/>
        </w:rPr>
      </w:pPr>
    </w:p>
    <w:p>
      <w:pPr>
        <w:ind w:left="200" w:right="279" w:firstLine="9"/>
        <w:spacing w:after="0" w:line="280" w:lineRule="auto"/>
        <w:tabs>
          <w:tab w:leader="none" w:pos="848"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Acknowledge that you have received a copy of (1) Ryman Hospitality Properties, Inc.’s Code of Business Conduct and Ethics (attached as </w:t>
      </w:r>
      <w:r>
        <w:rPr>
          <w:rFonts w:ascii="Arial" w:cs="Arial" w:eastAsia="Arial" w:hAnsi="Arial"/>
          <w:sz w:val="18"/>
          <w:szCs w:val="18"/>
          <w:b w:val="1"/>
          <w:bCs w:val="1"/>
          <w:i w:val="1"/>
          <w:iCs w:val="1"/>
          <w:u w:val="single" w:color="auto"/>
          <w:color w:val="auto"/>
        </w:rPr>
        <w:t>Exhibit A</w:t>
      </w:r>
      <w:r>
        <w:rPr>
          <w:rFonts w:ascii="Arial" w:cs="Arial" w:eastAsia="Arial" w:hAnsi="Arial"/>
          <w:sz w:val="18"/>
          <w:szCs w:val="18"/>
          <w:b w:val="1"/>
          <w:bCs w:val="1"/>
          <w:i w:val="1"/>
          <w:iCs w:val="1"/>
          <w:color w:val="auto"/>
        </w:rPr>
        <w:t xml:space="preserve"> to the Award Agreement), (2) Ryman’s Statement of Company Policy Regarding Insider Trading (attached as </w:t>
      </w:r>
      <w:r>
        <w:rPr>
          <w:rFonts w:ascii="Arial" w:cs="Arial" w:eastAsia="Arial" w:hAnsi="Arial"/>
          <w:sz w:val="18"/>
          <w:szCs w:val="18"/>
          <w:b w:val="1"/>
          <w:bCs w:val="1"/>
          <w:i w:val="1"/>
          <w:iCs w:val="1"/>
          <w:u w:val="single" w:color="auto"/>
          <w:color w:val="auto"/>
        </w:rPr>
        <w:t>Exhibit B</w:t>
      </w:r>
      <w:r>
        <w:rPr>
          <w:rFonts w:ascii="Arial" w:cs="Arial" w:eastAsia="Arial" w:hAnsi="Arial"/>
          <w:sz w:val="18"/>
          <w:szCs w:val="18"/>
          <w:b w:val="1"/>
          <w:bCs w:val="1"/>
          <w:i w:val="1"/>
          <w:iCs w:val="1"/>
          <w:color w:val="auto"/>
        </w:rPr>
        <w:t xml:space="preserve"> to the Award Agreement), and (3) if applicable to you, Ryman’s Statement of Company Policy Regarding Special Trading Procedures (attached as </w:t>
      </w:r>
      <w:r>
        <w:rPr>
          <w:rFonts w:ascii="Arial" w:cs="Arial" w:eastAsia="Arial" w:hAnsi="Arial"/>
          <w:sz w:val="18"/>
          <w:szCs w:val="18"/>
          <w:b w:val="1"/>
          <w:bCs w:val="1"/>
          <w:i w:val="1"/>
          <w:iCs w:val="1"/>
          <w:u w:val="single" w:color="auto"/>
          <w:color w:val="auto"/>
        </w:rPr>
        <w:t>Exhibit C</w:t>
      </w:r>
      <w:r>
        <w:rPr>
          <w:rFonts w:ascii="Arial" w:cs="Arial" w:eastAsia="Arial" w:hAnsi="Arial"/>
          <w:sz w:val="18"/>
          <w:szCs w:val="18"/>
          <w:b w:val="1"/>
          <w:bCs w:val="1"/>
          <w:i w:val="1"/>
          <w:iCs w:val="1"/>
          <w:color w:val="auto"/>
        </w:rPr>
        <w:t xml:space="preserve"> to the Award Agreement); and</w:t>
      </w:r>
    </w:p>
    <w:p>
      <w:pPr>
        <w:spacing w:after="0" w:line="169" w:lineRule="exact"/>
        <w:rPr>
          <w:rFonts w:ascii="Arial" w:cs="Arial" w:eastAsia="Arial" w:hAnsi="Arial"/>
          <w:sz w:val="18"/>
          <w:szCs w:val="18"/>
          <w:b w:val="1"/>
          <w:bCs w:val="1"/>
          <w:i w:val="1"/>
          <w:iCs w:val="1"/>
          <w:color w:val="auto"/>
        </w:rPr>
      </w:pPr>
    </w:p>
    <w:p>
      <w:pPr>
        <w:ind w:left="200" w:right="319" w:firstLine="9"/>
        <w:spacing w:after="0" w:line="288" w:lineRule="auto"/>
        <w:tabs>
          <w:tab w:leader="none" w:pos="848"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Certify that you have read, understand and will comply with the policies and procedures set forth in such documents, and acknowledge your understanding that your failure to comply with these policies can be a basis for termination of your employment with Ryman.</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[Award Agreement follows]</w:t>
      </w:r>
    </w:p>
    <w:p>
      <w:pPr>
        <w:spacing w:after="0" w:line="217" w:lineRule="exact"/>
        <w:rPr>
          <w:sz w:val="20"/>
          <w:szCs w:val="20"/>
          <w:color w:val="auto"/>
        </w:rPr>
      </w:pPr>
    </w:p>
    <w:p>
      <w:pPr>
        <w:ind w:left="600"/>
        <w:spacing w:after="0"/>
        <w:rPr>
          <w:sz w:val="20"/>
          <w:szCs w:val="20"/>
          <w:color w:val="auto"/>
        </w:rPr>
      </w:pPr>
      <w:r>
        <w:rPr>
          <w:rFonts w:ascii="Arial" w:cs="Arial" w:eastAsia="Arial" w:hAnsi="Arial"/>
          <w:sz w:val="25"/>
          <w:szCs w:val="25"/>
          <w:b w:val="1"/>
          <w:bCs w:val="1"/>
          <w:color w:val="auto"/>
        </w:rPr>
        <w:t>Ryman Hospitality Properties, Inc. - 2024 Omnibus Incentive Plan</w:t>
      </w:r>
    </w:p>
    <w:p>
      <w:pPr>
        <w:spacing w:after="0" w:line="226" w:lineRule="exact"/>
        <w:rPr>
          <w:sz w:val="20"/>
          <w:szCs w:val="20"/>
          <w:color w:val="auto"/>
        </w:rPr>
      </w:pPr>
    </w:p>
    <w:p>
      <w:pPr>
        <w:ind w:left="880"/>
        <w:spacing w:after="0"/>
        <w:rPr>
          <w:sz w:val="20"/>
          <w:szCs w:val="20"/>
          <w:color w:val="auto"/>
        </w:rPr>
      </w:pPr>
      <w:r>
        <w:rPr>
          <w:rFonts w:ascii="Arial" w:cs="Arial" w:eastAsia="Arial" w:hAnsi="Arial"/>
          <w:sz w:val="25"/>
          <w:szCs w:val="25"/>
          <w:b w:val="1"/>
          <w:bCs w:val="1"/>
          <w:color w:val="auto"/>
        </w:rPr>
        <w:t>PERFORMANCE-BASED RESTRICTED STOCK UNIT AWARD</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AGREEMENT</w:t>
      </w:r>
    </w:p>
    <w:p>
      <w:pPr>
        <w:spacing w:after="0" w:line="210" w:lineRule="exact"/>
        <w:rPr>
          <w:sz w:val="20"/>
          <w:szCs w:val="20"/>
          <w:color w:val="auto"/>
        </w:rPr>
      </w:pPr>
    </w:p>
    <w:p>
      <w:pPr>
        <w:ind w:left="200" w:right="1139"/>
        <w:spacing w:after="0" w:line="263" w:lineRule="auto"/>
        <w:rPr>
          <w:sz w:val="20"/>
          <w:szCs w:val="20"/>
          <w:color w:val="auto"/>
        </w:rPr>
      </w:pPr>
      <w:r>
        <w:rPr>
          <w:rFonts w:ascii="Arial" w:cs="Arial" w:eastAsia="Arial" w:hAnsi="Arial"/>
          <w:sz w:val="16"/>
          <w:szCs w:val="16"/>
          <w:color w:val="auto"/>
        </w:rPr>
        <w:t>This Performance-Based Restricted Stock Unit Award Agreement (the “Agreement”) is made as of ###GRANT_DATE### (the “Grant Date”), between Ryman Hospitality Properties, Inc. (the “Company”) and</w:t>
      </w:r>
    </w:p>
    <w:p>
      <w:pPr>
        <w:ind w:left="200" w:right="419"/>
        <w:spacing w:after="0" w:line="270" w:lineRule="auto"/>
        <w:rPr>
          <w:sz w:val="20"/>
          <w:szCs w:val="20"/>
          <w:color w:val="auto"/>
        </w:rPr>
      </w:pPr>
      <w:r>
        <w:rPr>
          <w:rFonts w:ascii="Arial" w:cs="Arial" w:eastAsia="Arial" w:hAnsi="Arial"/>
          <w:sz w:val="16"/>
          <w:szCs w:val="16"/>
          <w:color w:val="auto"/>
        </w:rPr>
        <w:t xml:space="preserve">###PARTICIPANT_NAME### (“Grantee”), pursuant to the Company’s 2024 Omnibus Incentive Plan (the “Plan”). The Plan Prospectus is attached as </w:t>
      </w:r>
      <w:r>
        <w:rPr>
          <w:rFonts w:ascii="Arial" w:cs="Arial" w:eastAsia="Arial" w:hAnsi="Arial"/>
          <w:sz w:val="16"/>
          <w:szCs w:val="16"/>
          <w:u w:val="single" w:color="auto"/>
          <w:color w:val="auto"/>
        </w:rPr>
        <w:t>Appendix 1</w:t>
      </w:r>
      <w:r>
        <w:rPr>
          <w:rFonts w:ascii="Arial" w:cs="Arial" w:eastAsia="Arial" w:hAnsi="Arial"/>
          <w:sz w:val="16"/>
          <w:szCs w:val="16"/>
          <w:color w:val="auto"/>
        </w:rPr>
        <w:t xml:space="preserve"> to this Agreement, and the Plan Prospectus contains a copy of the Plan.</w:t>
      </w:r>
    </w:p>
    <w:p>
      <w:pPr>
        <w:spacing w:after="0" w:line="141" w:lineRule="exact"/>
        <w:rPr>
          <w:sz w:val="20"/>
          <w:szCs w:val="20"/>
          <w:color w:val="auto"/>
        </w:rPr>
      </w:pPr>
    </w:p>
    <w:p>
      <w:pPr>
        <w:ind w:left="840" w:hanging="631"/>
        <w:spacing w:after="0"/>
        <w:tabs>
          <w:tab w:leader="none" w:pos="840" w:val="left"/>
        </w:tabs>
        <w:numPr>
          <w:ilvl w:val="0"/>
          <w:numId w:val="29"/>
        </w:numPr>
        <w:rPr>
          <w:rFonts w:ascii="Arial" w:cs="Arial" w:eastAsia="Arial" w:hAnsi="Arial"/>
          <w:sz w:val="16"/>
          <w:szCs w:val="16"/>
          <w:color w:val="auto"/>
        </w:rPr>
      </w:pPr>
      <w:r>
        <w:rPr>
          <w:rFonts w:ascii="Arial" w:cs="Arial" w:eastAsia="Arial" w:hAnsi="Arial"/>
          <w:sz w:val="16"/>
          <w:szCs w:val="16"/>
          <w:b w:val="1"/>
          <w:bCs w:val="1"/>
          <w:u w:val="single" w:color="auto"/>
          <w:color w:val="auto"/>
        </w:rPr>
        <w:t>Award</w:t>
      </w:r>
      <w:r>
        <w:rPr>
          <w:rFonts w:ascii="Arial" w:cs="Arial" w:eastAsia="Arial" w:hAnsi="Arial"/>
          <w:sz w:val="16"/>
          <w:szCs w:val="16"/>
          <w:color w:val="auto"/>
        </w:rPr>
        <w:t>.</w:t>
      </w:r>
    </w:p>
    <w:p>
      <w:pPr>
        <w:spacing w:after="0" w:line="208" w:lineRule="exact"/>
        <w:rPr>
          <w:sz w:val="20"/>
          <w:szCs w:val="20"/>
          <w:color w:val="auto"/>
        </w:rPr>
      </w:pPr>
    </w:p>
    <w:p>
      <w:pPr>
        <w:ind w:left="200" w:right="359" w:firstLine="9"/>
        <w:spacing w:after="0" w:line="265" w:lineRule="auto"/>
        <w:tabs>
          <w:tab w:leader="none" w:pos="803" w:val="left"/>
        </w:tabs>
        <w:numPr>
          <w:ilvl w:val="0"/>
          <w:numId w:val="30"/>
        </w:numPr>
        <w:rPr>
          <w:rFonts w:ascii="Arial" w:cs="Arial" w:eastAsia="Arial" w:hAnsi="Arial"/>
          <w:sz w:val="16"/>
          <w:szCs w:val="16"/>
          <w:color w:val="auto"/>
        </w:rPr>
      </w:pPr>
      <w:r>
        <w:rPr>
          <w:rFonts w:ascii="Arial" w:cs="Arial" w:eastAsia="Arial" w:hAnsi="Arial"/>
          <w:sz w:val="16"/>
          <w:szCs w:val="16"/>
          <w:b w:val="1"/>
          <w:bCs w:val="1"/>
          <w:color w:val="auto"/>
        </w:rPr>
        <w:t>Shares</w:t>
      </w:r>
      <w:r>
        <w:rPr>
          <w:rFonts w:ascii="Arial" w:cs="Arial" w:eastAsia="Arial" w:hAnsi="Arial"/>
          <w:sz w:val="16"/>
          <w:szCs w:val="16"/>
          <w:color w:val="auto"/>
        </w:rPr>
        <w:t>. Pursuant to the Company’s 2016 Omnibus Incentive Plan (the “Plan”), upon acceptance by Grantee,</w:t>
      </w:r>
      <w:r>
        <w:rPr>
          <w:rFonts w:ascii="Arial" w:cs="Arial" w:eastAsia="Arial" w:hAnsi="Arial"/>
          <w:sz w:val="16"/>
          <w:szCs w:val="16"/>
          <w:b w:val="1"/>
          <w:bCs w:val="1"/>
          <w:color w:val="auto"/>
        </w:rPr>
        <w:t xml:space="preserve"> </w:t>
      </w:r>
      <w:r>
        <w:rPr>
          <w:rFonts w:ascii="Arial" w:cs="Arial" w:eastAsia="Arial" w:hAnsi="Arial"/>
          <w:sz w:val="16"/>
          <w:szCs w:val="16"/>
          <w:color w:val="auto"/>
        </w:rPr>
        <w:t>Grantee will receive an award (the “Award”) of ###TOTAL_AWARDS### Restricted Stock Units, subject to the terms and conditions set forth in this Agreement and the Plan. A bookkeeping account will be maintained by the Company to keep track of the Restricted Stock Units and any dividend equivalent rights that may accrue as provided in Section 4.</w:t>
      </w:r>
    </w:p>
    <w:p>
      <w:pPr>
        <w:spacing w:after="0" w:line="145" w:lineRule="exact"/>
        <w:rPr>
          <w:rFonts w:ascii="Arial" w:cs="Arial" w:eastAsia="Arial" w:hAnsi="Arial"/>
          <w:sz w:val="16"/>
          <w:szCs w:val="16"/>
          <w:color w:val="auto"/>
        </w:rPr>
      </w:pPr>
    </w:p>
    <w:p>
      <w:pPr>
        <w:jc w:val="both"/>
        <w:ind w:left="200" w:right="699" w:firstLine="9"/>
        <w:spacing w:after="0" w:line="275" w:lineRule="auto"/>
        <w:tabs>
          <w:tab w:leader="none" w:pos="893" w:val="left"/>
        </w:tabs>
        <w:numPr>
          <w:ilvl w:val="0"/>
          <w:numId w:val="30"/>
        </w:numPr>
        <w:rPr>
          <w:rFonts w:ascii="Arial" w:cs="Arial" w:eastAsia="Arial" w:hAnsi="Arial"/>
          <w:sz w:val="16"/>
          <w:szCs w:val="16"/>
          <w:color w:val="auto"/>
        </w:rPr>
      </w:pPr>
      <w:r>
        <w:rPr>
          <w:rFonts w:ascii="Arial" w:cs="Arial" w:eastAsia="Arial" w:hAnsi="Arial"/>
          <w:sz w:val="16"/>
          <w:szCs w:val="16"/>
          <w:b w:val="1"/>
          <w:bCs w:val="1"/>
          <w:color w:val="auto"/>
        </w:rPr>
        <w:t>Acceptance of Award</w:t>
      </w:r>
      <w:r>
        <w:rPr>
          <w:rFonts w:ascii="Arial" w:cs="Arial" w:eastAsia="Arial" w:hAnsi="Arial"/>
          <w:sz w:val="16"/>
          <w:szCs w:val="16"/>
          <w:color w:val="auto"/>
        </w:rPr>
        <w:t>. Grantee shall execute and deliver to the Company a copy of this Agreement to</w:t>
      </w:r>
      <w:r>
        <w:rPr>
          <w:rFonts w:ascii="Arial" w:cs="Arial" w:eastAsia="Arial" w:hAnsi="Arial"/>
          <w:sz w:val="16"/>
          <w:szCs w:val="16"/>
          <w:b w:val="1"/>
          <w:bCs w:val="1"/>
          <w:color w:val="auto"/>
        </w:rPr>
        <w:t xml:space="preserve"> </w:t>
      </w:r>
      <w:r>
        <w:rPr>
          <w:rFonts w:ascii="Arial" w:cs="Arial" w:eastAsia="Arial" w:hAnsi="Arial"/>
          <w:sz w:val="16"/>
          <w:szCs w:val="16"/>
          <w:color w:val="auto"/>
        </w:rPr>
        <w:t>accept the Award, which may be by means of electronic signature or by means of the Company’s equity incentive management plan software portal.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473075</wp:posOffset>
            </wp:positionV>
            <wp:extent cx="545211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0" w:name="page51"/>
    <w:bookmarkEnd w:id="50"/>
    <w:p>
      <w:pPr>
        <w:jc w:val="both"/>
        <w:ind w:left="200" w:right="339" w:firstLine="9"/>
        <w:spacing w:after="0" w:line="259" w:lineRule="auto"/>
        <w:tabs>
          <w:tab w:leader="none" w:pos="884" w:val="left"/>
        </w:tabs>
        <w:numPr>
          <w:ilvl w:val="0"/>
          <w:numId w:val="31"/>
        </w:numPr>
        <w:rPr>
          <w:rFonts w:ascii="Arial" w:cs="Arial" w:eastAsia="Arial" w:hAnsi="Arial"/>
          <w:sz w:val="16"/>
          <w:szCs w:val="16"/>
          <w:color w:val="auto"/>
        </w:rPr>
      </w:pPr>
      <w:r>
        <w:rPr>
          <w:rFonts w:ascii="Arial" w:cs="Arial" w:eastAsia="Arial" w:hAnsi="Arial"/>
          <w:sz w:val="16"/>
          <w:szCs w:val="16"/>
          <w:b w:val="1"/>
          <w:bCs w:val="1"/>
          <w:color w:val="auto"/>
        </w:rPr>
        <w:t>Plan Incorporated</w:t>
      </w:r>
      <w:r>
        <w:rPr>
          <w:rFonts w:ascii="Arial" w:cs="Arial" w:eastAsia="Arial" w:hAnsi="Arial"/>
          <w:sz w:val="16"/>
          <w:szCs w:val="16"/>
          <w:color w:val="auto"/>
        </w:rPr>
        <w:t>. Grantee acknowledges receipt of a copy of the Plan and agrees that this Award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and governed by all of the terms and conditions set forth in the Plan, including future amendments thereto, if any, pursuant to the terms thereof, which Plan is incorporated herein by reference as a part of this Agreement.</w:t>
      </w:r>
    </w:p>
    <w:p>
      <w:pPr>
        <w:ind w:left="200" w:right="899"/>
        <w:spacing w:after="0" w:line="265" w:lineRule="auto"/>
        <w:rPr>
          <w:rFonts w:ascii="Arial" w:cs="Arial" w:eastAsia="Arial" w:hAnsi="Arial"/>
          <w:sz w:val="16"/>
          <w:szCs w:val="16"/>
          <w:color w:val="auto"/>
        </w:rPr>
      </w:pPr>
      <w:r>
        <w:rPr>
          <w:rFonts w:ascii="Arial" w:cs="Arial" w:eastAsia="Arial" w:hAnsi="Arial"/>
          <w:sz w:val="16"/>
          <w:szCs w:val="16"/>
          <w:color w:val="auto"/>
        </w:rPr>
        <w:t>Capitalized terms in this Agreement shall have the meaning specified in the Plan, unless a different meaning is specified herein.</w:t>
      </w:r>
    </w:p>
    <w:p>
      <w:pPr>
        <w:spacing w:after="0" w:line="158" w:lineRule="exact"/>
        <w:rPr>
          <w:rFonts w:ascii="Arial" w:cs="Arial" w:eastAsia="Arial" w:hAnsi="Arial"/>
          <w:sz w:val="16"/>
          <w:szCs w:val="16"/>
          <w:color w:val="auto"/>
        </w:rPr>
      </w:pPr>
    </w:p>
    <w:p>
      <w:pPr>
        <w:ind w:left="200" w:right="399" w:firstLine="9"/>
        <w:spacing w:after="0" w:line="260" w:lineRule="auto"/>
        <w:tabs>
          <w:tab w:leader="none" w:pos="848" w:val="left"/>
        </w:tabs>
        <w:numPr>
          <w:ilvl w:val="0"/>
          <w:numId w:val="31"/>
        </w:numPr>
        <w:rPr>
          <w:rFonts w:ascii="Arial" w:cs="Arial" w:eastAsia="Arial" w:hAnsi="Arial"/>
          <w:sz w:val="16"/>
          <w:szCs w:val="16"/>
          <w:color w:val="auto"/>
        </w:rPr>
      </w:pPr>
      <w:r>
        <w:rPr>
          <w:rFonts w:ascii="Arial" w:cs="Arial" w:eastAsia="Arial" w:hAnsi="Arial"/>
          <w:sz w:val="16"/>
          <w:szCs w:val="16"/>
          <w:b w:val="1"/>
          <w:bCs w:val="1"/>
          <w:color w:val="auto"/>
        </w:rPr>
        <w:t>Forfeiture; Transferability</w:t>
      </w:r>
      <w:r>
        <w:rPr>
          <w:rFonts w:ascii="Arial" w:cs="Arial" w:eastAsia="Arial" w:hAnsi="Arial"/>
          <w:sz w:val="16"/>
          <w:szCs w:val="16"/>
          <w:color w:val="auto"/>
        </w:rPr>
        <w:t>. Grantee’s rights with respect to any unvested portion of the Award shall remain</w:t>
      </w:r>
      <w:r>
        <w:rPr>
          <w:rFonts w:ascii="Arial" w:cs="Arial" w:eastAsia="Arial" w:hAnsi="Arial"/>
          <w:sz w:val="16"/>
          <w:szCs w:val="16"/>
          <w:b w:val="1"/>
          <w:bCs w:val="1"/>
          <w:color w:val="auto"/>
        </w:rPr>
        <w:t xml:space="preserve"> </w:t>
      </w:r>
      <w:r>
        <w:rPr>
          <w:rFonts w:ascii="Arial" w:cs="Arial" w:eastAsia="Arial" w:hAnsi="Arial"/>
          <w:sz w:val="16"/>
          <w:szCs w:val="16"/>
          <w:color w:val="auto"/>
        </w:rPr>
        <w:t>forfeitable at all times prior to the date(s) on which the Restricted Period (as defined below) of all or such portion of the Award shall expire or terminate in accordance with Section 2. This Award may not be assigned, alienated, pledged, attached, sold or otherwise transferred or encumbered by Grantee other than by will or the laws of descent and distribution or as otherwise permitted by the Plan.</w:t>
      </w:r>
    </w:p>
    <w:p>
      <w:pPr>
        <w:spacing w:after="0" w:line="151" w:lineRule="exact"/>
        <w:rPr>
          <w:sz w:val="20"/>
          <w:szCs w:val="20"/>
          <w:color w:val="auto"/>
        </w:rPr>
      </w:pPr>
    </w:p>
    <w:p>
      <w:pPr>
        <w:ind w:left="860" w:hanging="651"/>
        <w:spacing w:after="0"/>
        <w:tabs>
          <w:tab w:leader="none" w:pos="860"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Vesting of the Award</w:t>
      </w:r>
      <w:r>
        <w:rPr>
          <w:rFonts w:ascii="Arial" w:cs="Arial" w:eastAsia="Arial" w:hAnsi="Arial"/>
          <w:sz w:val="16"/>
          <w:szCs w:val="16"/>
          <w:b w:val="1"/>
          <w:bCs w:val="1"/>
          <w:color w:val="auto"/>
        </w:rPr>
        <w:t>.</w:t>
      </w:r>
    </w:p>
    <w:p>
      <w:pPr>
        <w:spacing w:after="0" w:line="221" w:lineRule="exact"/>
        <w:rPr>
          <w:sz w:val="20"/>
          <w:szCs w:val="20"/>
          <w:color w:val="auto"/>
        </w:rPr>
      </w:pPr>
    </w:p>
    <w:p>
      <w:pPr>
        <w:ind w:left="200" w:right="319" w:firstLine="9"/>
        <w:spacing w:after="0" w:line="260" w:lineRule="auto"/>
        <w:tabs>
          <w:tab w:leader="none" w:pos="848" w:val="left"/>
        </w:tabs>
        <w:numPr>
          <w:ilvl w:val="0"/>
          <w:numId w:val="33"/>
        </w:numPr>
        <w:rPr>
          <w:rFonts w:ascii="Arial" w:cs="Arial" w:eastAsia="Arial" w:hAnsi="Arial"/>
          <w:sz w:val="16"/>
          <w:szCs w:val="16"/>
          <w:color w:val="auto"/>
        </w:rPr>
      </w:pPr>
      <w:r>
        <w:rPr>
          <w:rFonts w:ascii="Arial" w:cs="Arial" w:eastAsia="Arial" w:hAnsi="Arial"/>
          <w:sz w:val="16"/>
          <w:szCs w:val="16"/>
          <w:b w:val="1"/>
          <w:bCs w:val="1"/>
          <w:color w:val="auto"/>
        </w:rPr>
        <w:t xml:space="preserve">Vesting Schedule and Performance Targets. </w:t>
      </w:r>
      <w:r>
        <w:rPr>
          <w:rFonts w:ascii="Arial" w:cs="Arial" w:eastAsia="Arial" w:hAnsi="Arial"/>
          <w:sz w:val="16"/>
          <w:szCs w:val="16"/>
          <w:color w:val="auto"/>
        </w:rPr>
        <w:t>Except as provided herein and subject to such other</w:t>
      </w:r>
      <w:r>
        <w:rPr>
          <w:rFonts w:ascii="Arial" w:cs="Arial" w:eastAsia="Arial" w:hAnsi="Arial"/>
          <w:sz w:val="16"/>
          <w:szCs w:val="16"/>
          <w:b w:val="1"/>
          <w:bCs w:val="1"/>
          <w:color w:val="auto"/>
        </w:rPr>
        <w:t xml:space="preserve"> </w:t>
      </w:r>
      <w:r>
        <w:rPr>
          <w:rFonts w:ascii="Arial" w:cs="Arial" w:eastAsia="Arial" w:hAnsi="Arial"/>
          <w:sz w:val="16"/>
          <w:szCs w:val="16"/>
          <w:color w:val="auto"/>
        </w:rPr>
        <w:t>exceptions as may be determined by the Committee in its sole discretion (subject to Section 7.4 of the Plan), up to one hundred fifty percent (150%) of the Restricted Stock Units listed below will vest, based on and to the extent of the satisfaction of the performance targets set forth below, at the conclusion of the “Restricted Period”, which means the period beginning on the Grant Date and expiring with respect to each such Restricted Stock Unit as follows:</w:t>
      </w:r>
    </w:p>
    <w:p>
      <w:pPr>
        <w:spacing w:after="0" w:line="164" w:lineRule="exact"/>
        <w:rPr>
          <w:sz w:val="20"/>
          <w:szCs w:val="20"/>
          <w:color w:val="auto"/>
        </w:rPr>
      </w:pPr>
    </w:p>
    <w:p>
      <w:pPr>
        <w:ind w:left="200"/>
        <w:spacing w:after="0"/>
        <w:rPr>
          <w:sz w:val="20"/>
          <w:szCs w:val="20"/>
          <w:color w:val="auto"/>
        </w:rPr>
      </w:pPr>
      <w:r>
        <w:rPr>
          <w:rFonts w:ascii="Arial" w:cs="Arial" w:eastAsia="Arial" w:hAnsi="Arial"/>
          <w:sz w:val="16"/>
          <w:szCs w:val="16"/>
          <w:color w:val="4D4F53"/>
        </w:rPr>
        <w:t>###VEST_SCHEDULE_TABLE###</w:t>
      </w:r>
    </w:p>
    <w:p>
      <w:pPr>
        <w:spacing w:after="0" w:line="275" w:lineRule="exact"/>
        <w:rPr>
          <w:sz w:val="20"/>
          <w:szCs w:val="20"/>
          <w:color w:val="auto"/>
        </w:rPr>
      </w:pPr>
    </w:p>
    <w:p>
      <w:pPr>
        <w:ind w:left="200" w:right="239"/>
        <w:spacing w:after="0" w:line="266" w:lineRule="auto"/>
        <w:rPr>
          <w:sz w:val="20"/>
          <w:szCs w:val="20"/>
          <w:color w:val="auto"/>
        </w:rPr>
      </w:pPr>
      <w:r>
        <w:rPr>
          <w:rFonts w:ascii="Arial" w:cs="Arial" w:eastAsia="Arial" w:hAnsi="Arial"/>
          <w:sz w:val="16"/>
          <w:szCs w:val="16"/>
          <w:color w:val="auto"/>
        </w:rPr>
        <w:t>Any Restricted Stock Units that do not vest at the end of the Restricted Period (the “Vested Date”), due to the failure to satisfy the applicable portion of the performance targets set forth below, shall be cancelled immediately as of the Vested Date.</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[Performance Target Omitted]</w:t>
      </w:r>
    </w:p>
    <w:p>
      <w:pPr>
        <w:spacing w:after="0" w:line="208" w:lineRule="exact"/>
        <w:rPr>
          <w:sz w:val="20"/>
          <w:szCs w:val="20"/>
          <w:color w:val="auto"/>
        </w:rPr>
      </w:pPr>
    </w:p>
    <w:p>
      <w:pPr>
        <w:ind w:left="200" w:right="419" w:firstLine="9"/>
        <w:spacing w:after="0" w:line="257" w:lineRule="auto"/>
        <w:tabs>
          <w:tab w:leader="none" w:pos="848" w:val="left"/>
        </w:tabs>
        <w:numPr>
          <w:ilvl w:val="0"/>
          <w:numId w:val="34"/>
        </w:numPr>
        <w:rPr>
          <w:rFonts w:ascii="Arial" w:cs="Arial" w:eastAsia="Arial" w:hAnsi="Arial"/>
          <w:sz w:val="16"/>
          <w:szCs w:val="16"/>
          <w:color w:val="auto"/>
        </w:rPr>
      </w:pPr>
      <w:r>
        <w:rPr>
          <w:rFonts w:ascii="Arial" w:cs="Arial" w:eastAsia="Arial" w:hAnsi="Arial"/>
          <w:sz w:val="16"/>
          <w:szCs w:val="16"/>
          <w:b w:val="1"/>
          <w:bCs w:val="1"/>
          <w:color w:val="auto"/>
        </w:rPr>
        <w:t xml:space="preserve">Effect of Termination of Employment. </w:t>
      </w:r>
      <w:r>
        <w:rPr>
          <w:rFonts w:ascii="Arial" w:cs="Arial" w:eastAsia="Arial" w:hAnsi="Arial"/>
          <w:sz w:val="16"/>
          <w:szCs w:val="16"/>
          <w:color w:val="auto"/>
        </w:rPr>
        <w:t>Except as otherwise determined by the Committee at or after the</w:t>
      </w:r>
      <w:r>
        <w:rPr>
          <w:rFonts w:ascii="Arial" w:cs="Arial" w:eastAsia="Arial" w:hAnsi="Arial"/>
          <w:sz w:val="16"/>
          <w:szCs w:val="16"/>
          <w:b w:val="1"/>
          <w:bCs w:val="1"/>
          <w:color w:val="auto"/>
        </w:rPr>
        <w:t xml:space="preserve"> </w:t>
      </w:r>
      <w:r>
        <w:rPr>
          <w:rFonts w:ascii="Arial" w:cs="Arial" w:eastAsia="Arial" w:hAnsi="Arial"/>
          <w:sz w:val="16"/>
          <w:szCs w:val="16"/>
          <w:color w:val="auto"/>
        </w:rPr>
        <w:t>grant of the Award hereunder (subject to Sections 7.4 and 8.2 of the Plan), in the event that Grantee’s employment with the Company or its Subsidiaries or Affiliates is terminated (other than by reason of death, Disability or an approved retirement of such Grantee (as determined by the Committee in its sole discretion)) prior to the Vested Date and prior to the occurrence of a Change in Control, Grantee shall forfeit such Restricted Stock Units (including Dividend Equivalent Units and other dividend equivalent rights related thereto that have accrued pursuant to Section 4), and all of Grantee’s rights with respect thereto shall cease. For the avoidance of doubt, Restricted Stock Units forfeited pursuant to this Section 2(b) shall no longer be eligible to vest pursuant to Section 2(a).</w:t>
      </w:r>
    </w:p>
    <w:p>
      <w:pPr>
        <w:spacing w:after="0" w:line="178" w:lineRule="exact"/>
        <w:rPr>
          <w:rFonts w:ascii="Arial" w:cs="Arial" w:eastAsia="Arial" w:hAnsi="Arial"/>
          <w:sz w:val="16"/>
          <w:szCs w:val="16"/>
          <w:color w:val="auto"/>
        </w:rPr>
      </w:pPr>
    </w:p>
    <w:p>
      <w:pPr>
        <w:ind w:left="200" w:right="339" w:firstLine="9"/>
        <w:spacing w:after="0" w:line="253" w:lineRule="auto"/>
        <w:tabs>
          <w:tab w:leader="none" w:pos="848" w:val="left"/>
        </w:tabs>
        <w:numPr>
          <w:ilvl w:val="0"/>
          <w:numId w:val="34"/>
        </w:numPr>
        <w:rPr>
          <w:rFonts w:ascii="Arial" w:cs="Arial" w:eastAsia="Arial" w:hAnsi="Arial"/>
          <w:sz w:val="16"/>
          <w:szCs w:val="16"/>
          <w:color w:val="auto"/>
        </w:rPr>
      </w:pPr>
      <w:r>
        <w:rPr>
          <w:rFonts w:ascii="Arial" w:cs="Arial" w:eastAsia="Arial" w:hAnsi="Arial"/>
          <w:sz w:val="16"/>
          <w:szCs w:val="16"/>
          <w:b w:val="1"/>
          <w:bCs w:val="1"/>
          <w:color w:val="auto"/>
        </w:rPr>
        <w:t xml:space="preserve">Effect of Termination Due to Death, Disability or Approved Retirement. </w:t>
      </w:r>
      <w:r>
        <w:rPr>
          <w:rFonts w:ascii="Arial" w:cs="Arial" w:eastAsia="Arial" w:hAnsi="Arial"/>
          <w:sz w:val="16"/>
          <w:szCs w:val="16"/>
          <w:color w:val="auto"/>
        </w:rPr>
        <w:t>If Grantee’s employment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or its Subsidiaries or Affiliates is terminated because of death, Disability or an approved retirement of such Grantee (as determined by the Committee in its sole discretion) prior to the Vested Date and prior to the occurrence of a Change in Control, then Grantee will be entitled to a pro rata vesting of the Restricted Stock Units (including Dividend Equivalent Units and other dividend equivalent rights related thereto) awarded hereunder at the Vested Date (or any earlier date of vesting as a result of a Change in Control) (the proration of the Award that would have been earned had Grantee remained employed through the Vested Date or the Change in Control will be based on Grantee’s active service during the three-year period ending on the Vested Date in relation to the length of the total three-year period). In the event of a Change in Control prior to or on the Vested Date, such pro-rated number of Restricted Stock Units (including Dividend Equivalent Units and other dividend equivalent rights related thereto) will be paid as set forth in Section 2(d) below). Otherwise, such pro-rated number of Restricted Stock Units (including Dividend Equivalent Units and other dividend equivalent rights related thereto), as adjusted based on the extent to which the performance targets set forth in Section 2(a) have been satisfied, shall be paid at the time such Award would have been settled if Grantee had remained employed until the Vested Date.</w:t>
      </w:r>
    </w:p>
    <w:p>
      <w:pPr>
        <w:spacing w:after="0" w:line="187" w:lineRule="exact"/>
        <w:rPr>
          <w:rFonts w:ascii="Arial" w:cs="Arial" w:eastAsia="Arial" w:hAnsi="Arial"/>
          <w:sz w:val="16"/>
          <w:szCs w:val="16"/>
          <w:color w:val="auto"/>
        </w:rPr>
      </w:pPr>
    </w:p>
    <w:p>
      <w:pPr>
        <w:ind w:left="200" w:right="379" w:firstLine="9"/>
        <w:spacing w:after="0" w:line="255" w:lineRule="auto"/>
        <w:tabs>
          <w:tab w:leader="none" w:pos="848" w:val="left"/>
        </w:tabs>
        <w:numPr>
          <w:ilvl w:val="0"/>
          <w:numId w:val="34"/>
        </w:numPr>
        <w:rPr>
          <w:rFonts w:ascii="Arial" w:cs="Arial" w:eastAsia="Arial" w:hAnsi="Arial"/>
          <w:sz w:val="16"/>
          <w:szCs w:val="16"/>
          <w:color w:val="auto"/>
        </w:rPr>
      </w:pPr>
      <w:r>
        <w:rPr>
          <w:rFonts w:ascii="Arial" w:cs="Arial" w:eastAsia="Arial" w:hAnsi="Arial"/>
          <w:sz w:val="16"/>
          <w:szCs w:val="16"/>
          <w:b w:val="1"/>
          <w:bCs w:val="1"/>
          <w:color w:val="auto"/>
        </w:rPr>
        <w:t xml:space="preserve">Vesting on Change of Control. </w:t>
      </w:r>
      <w:r>
        <w:rPr>
          <w:rFonts w:ascii="Arial" w:cs="Arial" w:eastAsia="Arial" w:hAnsi="Arial"/>
          <w:sz w:val="16"/>
          <w:szCs w:val="16"/>
          <w:color w:val="auto"/>
        </w:rPr>
        <w:t>Assuming that Grantee remains employed by the Company or any</w:t>
      </w:r>
      <w:r>
        <w:rPr>
          <w:rFonts w:ascii="Arial" w:cs="Arial" w:eastAsia="Arial" w:hAnsi="Arial"/>
          <w:sz w:val="16"/>
          <w:szCs w:val="16"/>
          <w:b w:val="1"/>
          <w:bCs w:val="1"/>
          <w:color w:val="auto"/>
        </w:rPr>
        <w:t xml:space="preserve"> </w:t>
      </w:r>
      <w:r>
        <w:rPr>
          <w:rFonts w:ascii="Arial" w:cs="Arial" w:eastAsia="Arial" w:hAnsi="Arial"/>
          <w:sz w:val="16"/>
          <w:szCs w:val="16"/>
          <w:color w:val="auto"/>
        </w:rPr>
        <w:t>Subsidiary or Affiliate thereof (or has previously terminated such employment as a result of Grantee’s approved retirement (determined by the Committee in its sole discretion) or his or her death or disability) upon the occurrence of a Change in Control (as defined in the Plan) occurring prior to or on the Vested Date, upon such a Change in Control, the Award shall vest (subject to any applicable proration pursuant to Section 2(c) above in the event of any previous termination of employment resulting from Grantee’s approved retirement or Grantee’s death or disability at the Target Amount (as defined in Section 2(a)), become immediately payable and all restrictions shall be lifted. Notwithstanding the foregoing, if a Change in Control is anticipated to occur, then immediately prior to such Change in Control, the Committee may review the relevant performance and the performance criteria for any completed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486410</wp:posOffset>
            </wp:positionV>
            <wp:extent cx="545211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327" w:right="1440" w:bottom="1440" w:gutter="0" w:footer="0" w:header="0"/>
        </w:sectPr>
      </w:pPr>
    </w:p>
    <w:bookmarkStart w:id="51" w:name="page52"/>
    <w:bookmarkEnd w:id="51"/>
    <w:p>
      <w:pPr>
        <w:ind w:left="200" w:right="419"/>
        <w:spacing w:after="0" w:line="265" w:lineRule="auto"/>
        <w:rPr>
          <w:sz w:val="20"/>
          <w:szCs w:val="20"/>
          <w:color w:val="auto"/>
        </w:rPr>
      </w:pPr>
      <w:r>
        <w:rPr>
          <w:rFonts w:ascii="Arial" w:cs="Arial" w:eastAsia="Arial" w:hAnsi="Arial"/>
          <w:sz w:val="16"/>
          <w:szCs w:val="16"/>
          <w:color w:val="auto"/>
        </w:rPr>
        <w:t>and/or in process performance periods (the “Elapsed Period”) to determine whether in its reasonable belief the Award (or portion thereof) for such Elapsed Period would have vested at the end of the applicable performance period in the absence of a Change in Control and the Committee may vest such number of Restricted Stock Units (and cause the remainder to be forfeited) effective upon the Change in Control as it determines would have so vested.</w:t>
      </w:r>
    </w:p>
    <w:p>
      <w:pPr>
        <w:spacing w:after="0" w:line="159" w:lineRule="exact"/>
        <w:rPr>
          <w:sz w:val="20"/>
          <w:szCs w:val="20"/>
          <w:color w:val="auto"/>
        </w:rPr>
      </w:pPr>
    </w:p>
    <w:p>
      <w:pPr>
        <w:ind w:left="200" w:right="359" w:firstLine="9"/>
        <w:spacing w:after="0" w:line="259" w:lineRule="auto"/>
        <w:tabs>
          <w:tab w:leader="none" w:pos="848" w:val="left"/>
        </w:tabs>
        <w:numPr>
          <w:ilvl w:val="0"/>
          <w:numId w:val="3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Payment of Vested Restricted Stock Units</w:t>
      </w:r>
      <w:r>
        <w:rPr>
          <w:rFonts w:ascii="Arial" w:cs="Arial" w:eastAsia="Arial" w:hAnsi="Arial"/>
          <w:sz w:val="16"/>
          <w:szCs w:val="16"/>
          <w:b w:val="1"/>
          <w:bCs w:val="1"/>
          <w:color w:val="auto"/>
        </w:rPr>
        <w:t xml:space="preserve">. </w:t>
      </w:r>
      <w:r>
        <w:rPr>
          <w:rFonts w:ascii="Arial" w:cs="Arial" w:eastAsia="Arial" w:hAnsi="Arial"/>
          <w:sz w:val="16"/>
          <w:szCs w:val="16"/>
          <w:color w:val="auto"/>
        </w:rPr>
        <w:t>Grantee shall be entitled to receive one Share for each</w:t>
      </w:r>
      <w:r>
        <w:rPr>
          <w:rFonts w:ascii="Arial" w:cs="Arial" w:eastAsia="Arial" w:hAnsi="Arial"/>
          <w:sz w:val="16"/>
          <w:szCs w:val="16"/>
          <w:b w:val="1"/>
          <w:bCs w:val="1"/>
          <w:color w:val="auto"/>
        </w:rPr>
        <w:t xml:space="preserve"> </w:t>
      </w:r>
      <w:r>
        <w:rPr>
          <w:rFonts w:ascii="Arial" w:cs="Arial" w:eastAsia="Arial" w:hAnsi="Arial"/>
          <w:sz w:val="16"/>
          <w:szCs w:val="16"/>
          <w:color w:val="auto"/>
        </w:rPr>
        <w:t>Restricted Stock Unit with respect to which the Restricted Period expires pursuant to Section 2 or otherwise terminates. Subject to the provisions of the Plan and Section 8(a) hereof, such payment shall be made through the issuance to Grantee, as promptly as practicable thereafter (or to the executors or administrators of Grantee’s estate, as promptly as practicable after the Company’s receipt of notification of Grantee’s death, as the case may be), of a number of Shares equal to the number of such Restricted Stock Units with respect to which the Restricted Period shall have expired or terminated.</w:t>
      </w:r>
    </w:p>
    <w:p>
      <w:pPr>
        <w:spacing w:after="0" w:line="176" w:lineRule="exact"/>
        <w:rPr>
          <w:rFonts w:ascii="Arial" w:cs="Arial" w:eastAsia="Arial" w:hAnsi="Arial"/>
          <w:sz w:val="16"/>
          <w:szCs w:val="16"/>
          <w:b w:val="1"/>
          <w:bCs w:val="1"/>
          <w:color w:val="auto"/>
        </w:rPr>
      </w:pPr>
    </w:p>
    <w:p>
      <w:pPr>
        <w:ind w:left="200" w:right="319" w:firstLine="9"/>
        <w:spacing w:after="0" w:line="254" w:lineRule="auto"/>
        <w:tabs>
          <w:tab w:leader="none" w:pos="848" w:val="left"/>
        </w:tabs>
        <w:numPr>
          <w:ilvl w:val="0"/>
          <w:numId w:val="3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Dividend Equivalent Rights</w:t>
      </w:r>
      <w:r>
        <w:rPr>
          <w:rFonts w:ascii="Arial" w:cs="Arial" w:eastAsia="Arial" w:hAnsi="Arial"/>
          <w:sz w:val="16"/>
          <w:szCs w:val="16"/>
          <w:b w:val="1"/>
          <w:bCs w:val="1"/>
          <w:color w:val="auto"/>
        </w:rPr>
        <w:t xml:space="preserve">. </w:t>
      </w:r>
      <w:r>
        <w:rPr>
          <w:rFonts w:ascii="Arial" w:cs="Arial" w:eastAsia="Arial" w:hAnsi="Arial"/>
          <w:sz w:val="16"/>
          <w:szCs w:val="16"/>
          <w:color w:val="auto"/>
        </w:rPr>
        <w:t>Grantee shall receive dividend equivalent rights in respect of the Restricted</w:t>
      </w:r>
      <w:r>
        <w:rPr>
          <w:rFonts w:ascii="Arial" w:cs="Arial" w:eastAsia="Arial" w:hAnsi="Arial"/>
          <w:sz w:val="16"/>
          <w:szCs w:val="16"/>
          <w:b w:val="1"/>
          <w:bCs w:val="1"/>
          <w:color w:val="auto"/>
        </w:rPr>
        <w:t xml:space="preserve"> </w:t>
      </w:r>
      <w:r>
        <w:rPr>
          <w:rFonts w:ascii="Arial" w:cs="Arial" w:eastAsia="Arial" w:hAnsi="Arial"/>
          <w:sz w:val="16"/>
          <w:szCs w:val="16"/>
          <w:color w:val="auto"/>
        </w:rPr>
        <w:t>Stock Units covered by this Agreement at the time of any payment of dividends to stockholders on Shares. The Restricted Stock Units will be credited with a cash amount equal to the cash dividend amount that would be payable to Grantee as a stockholder in respect of a number of Shares equal to the number of Restricted Stock Units outstanding and unpaid as of the dividend record date (rounded down to the nearest one cent (or such other convention as may be determined by the Committee in its sole discretion)). The Restricted Stock Units will be credited with additional Restricted Stock Units (“Dividend Equivalent Units”) for stock dividends paid on Shares by multiplying the stock dividend paid per Share by the number of Restricted Stock Units (and, if any, previously credited Dividend Equivalent Units) outstanding and unpaid on the dividend record date (rounded down to the nearest whole share (or such other convention as may be determined by the Committee in its sole discretion)). Each cash dividend equivalent right (and, if applicable, any Dividend Equivalent Unit) will vest and be settled or payable at the same time as, and to the extent of the vesting of, the Restricted Stock Units to which such dividend equivalent right (and, if applicable, any Dividend Equivalent Unit) relates.</w:t>
      </w:r>
    </w:p>
    <w:p>
      <w:pPr>
        <w:spacing w:after="0" w:line="168" w:lineRule="exact"/>
        <w:rPr>
          <w:rFonts w:ascii="Arial" w:cs="Arial" w:eastAsia="Arial" w:hAnsi="Arial"/>
          <w:sz w:val="16"/>
          <w:szCs w:val="16"/>
          <w:b w:val="1"/>
          <w:bCs w:val="1"/>
          <w:color w:val="auto"/>
        </w:rPr>
      </w:pPr>
    </w:p>
    <w:p>
      <w:pPr>
        <w:ind w:left="200" w:right="419" w:firstLine="9"/>
        <w:spacing w:after="0" w:line="275" w:lineRule="auto"/>
        <w:tabs>
          <w:tab w:leader="none" w:pos="848" w:val="left"/>
        </w:tabs>
        <w:numPr>
          <w:ilvl w:val="0"/>
          <w:numId w:val="3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Rights as a Stockholder</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provided above, Grantee shall not have voting or any other rights as a</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 of the Company with respect to Restricted Stock Units. Grantee will obtain full voting and other rights as a stockholder of the Company upon the settlement of Restricted Stock Units in Shares.</w:t>
      </w:r>
    </w:p>
    <w:p>
      <w:pPr>
        <w:spacing w:after="0" w:line="150" w:lineRule="exact"/>
        <w:rPr>
          <w:rFonts w:ascii="Arial" w:cs="Arial" w:eastAsia="Arial" w:hAnsi="Arial"/>
          <w:sz w:val="16"/>
          <w:szCs w:val="16"/>
          <w:b w:val="1"/>
          <w:bCs w:val="1"/>
          <w:color w:val="auto"/>
        </w:rPr>
      </w:pPr>
    </w:p>
    <w:p>
      <w:pPr>
        <w:ind w:left="200" w:right="439" w:firstLine="9"/>
        <w:spacing w:after="0" w:line="258" w:lineRule="auto"/>
        <w:tabs>
          <w:tab w:leader="none" w:pos="848" w:val="left"/>
        </w:tabs>
        <w:numPr>
          <w:ilvl w:val="0"/>
          <w:numId w:val="3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Adjustments</w:t>
      </w:r>
      <w:r>
        <w:rPr>
          <w:rFonts w:ascii="Arial" w:cs="Arial" w:eastAsia="Arial" w:hAnsi="Arial"/>
          <w:sz w:val="16"/>
          <w:szCs w:val="16"/>
          <w:b w:val="1"/>
          <w:bCs w:val="1"/>
          <w:color w:val="auto"/>
        </w:rPr>
        <w:t xml:space="preserve">. </w:t>
      </w:r>
      <w:r>
        <w:rPr>
          <w:rFonts w:ascii="Arial" w:cs="Arial" w:eastAsia="Arial" w:hAnsi="Arial"/>
          <w:sz w:val="16"/>
          <w:szCs w:val="16"/>
          <w:color w:val="auto"/>
        </w:rPr>
        <w:t>The Committee shall make appropriate adjustments in the terms and conditions of,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criteria included in, this Award in recognition of unusual or nonrecurring events affecting the Company or any Subsidiary or Affiliate, or the financial statements of the Company or any Subsidiary or Affiliate, or of changes in applicable laws, regulations, or accounting principles, whenever the Committee determines that such adjustments are appropriate in order to prevent dilution or enlargement of the benefits or potential benefits intended to be made available under the Plan. Upon the occurrence of any of the events described in Section 4.2 of the Plan, the Committee shall make the adjustments described in this Section 6. Any such adjustments shall be made in a manner provided in Section 4.2 of the Plan and in a manner that does not result in a discretionary increase in the amounts payable under the Award.</w:t>
      </w:r>
    </w:p>
    <w:p>
      <w:pPr>
        <w:spacing w:after="0" w:line="163" w:lineRule="exact"/>
        <w:rPr>
          <w:rFonts w:ascii="Arial" w:cs="Arial" w:eastAsia="Arial" w:hAnsi="Arial"/>
          <w:sz w:val="16"/>
          <w:szCs w:val="16"/>
          <w:b w:val="1"/>
          <w:bCs w:val="1"/>
          <w:color w:val="auto"/>
        </w:rPr>
      </w:pPr>
    </w:p>
    <w:p>
      <w:pPr>
        <w:ind w:left="200" w:right="379" w:firstLine="9"/>
        <w:spacing w:after="0" w:line="260" w:lineRule="auto"/>
        <w:tabs>
          <w:tab w:leader="none" w:pos="848" w:val="left"/>
        </w:tabs>
        <w:numPr>
          <w:ilvl w:val="0"/>
          <w:numId w:val="3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Amendment to Award</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restrictions contained in the Plan, the Committee may waive any</w:t>
      </w:r>
      <w:r>
        <w:rPr>
          <w:rFonts w:ascii="Arial" w:cs="Arial" w:eastAsia="Arial" w:hAnsi="Arial"/>
          <w:sz w:val="16"/>
          <w:szCs w:val="16"/>
          <w:b w:val="1"/>
          <w:bCs w:val="1"/>
          <w:color w:val="auto"/>
        </w:rPr>
        <w:t xml:space="preserve"> </w:t>
      </w:r>
      <w:r>
        <w:rPr>
          <w:rFonts w:ascii="Arial" w:cs="Arial" w:eastAsia="Arial" w:hAnsi="Arial"/>
          <w:sz w:val="16"/>
          <w:szCs w:val="16"/>
          <w:color w:val="auto"/>
        </w:rPr>
        <w:t>conditions or rights under, amend any terms of, or alter, suspend, discontinue, cancel or terminate the Award, prospectively or retroactively; provided that any such waiver, amendment, alteration, suspension, discontinuance, cancellation or termination that would materially and adversely affect the rights of Grantee or any holder or beneficiary of the Award shall not to that extent be effective without the consent of Grantee, holder or beneficiary affected.</w:t>
      </w:r>
    </w:p>
    <w:p>
      <w:pPr>
        <w:spacing w:after="0" w:line="177" w:lineRule="exact"/>
        <w:rPr>
          <w:rFonts w:ascii="Arial" w:cs="Arial" w:eastAsia="Arial" w:hAnsi="Arial"/>
          <w:sz w:val="16"/>
          <w:szCs w:val="16"/>
          <w:b w:val="1"/>
          <w:bCs w:val="1"/>
          <w:color w:val="auto"/>
        </w:rPr>
      </w:pPr>
    </w:p>
    <w:p>
      <w:pPr>
        <w:ind w:left="860" w:hanging="651"/>
        <w:spacing w:after="0"/>
        <w:tabs>
          <w:tab w:leader="none" w:pos="860" w:val="left"/>
        </w:tabs>
        <w:numPr>
          <w:ilvl w:val="0"/>
          <w:numId w:val="3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Taxes; Section 409A</w:t>
      </w:r>
      <w:r>
        <w:rPr>
          <w:rFonts w:ascii="Arial" w:cs="Arial" w:eastAsia="Arial" w:hAnsi="Arial"/>
          <w:sz w:val="16"/>
          <w:szCs w:val="16"/>
          <w:b w:val="1"/>
          <w:bCs w:val="1"/>
          <w:color w:val="auto"/>
        </w:rPr>
        <w:t>.</w:t>
      </w:r>
    </w:p>
    <w:p>
      <w:pPr>
        <w:spacing w:after="0" w:line="221" w:lineRule="exact"/>
        <w:rPr>
          <w:rFonts w:ascii="Arial" w:cs="Arial" w:eastAsia="Arial" w:hAnsi="Arial"/>
          <w:sz w:val="16"/>
          <w:szCs w:val="16"/>
          <w:b w:val="1"/>
          <w:bCs w:val="1"/>
          <w:color w:val="auto"/>
        </w:rPr>
      </w:pPr>
    </w:p>
    <w:p>
      <w:pPr>
        <w:ind w:left="200" w:right="319" w:firstLine="657"/>
        <w:spacing w:after="0" w:line="254" w:lineRule="auto"/>
        <w:tabs>
          <w:tab w:leader="none" w:pos="1496" w:val="left"/>
        </w:tabs>
        <w:numPr>
          <w:ilvl w:val="1"/>
          <w:numId w:val="35"/>
        </w:numPr>
        <w:rPr>
          <w:rFonts w:ascii="Arial" w:cs="Arial" w:eastAsia="Arial" w:hAnsi="Arial"/>
          <w:sz w:val="16"/>
          <w:szCs w:val="16"/>
          <w:color w:val="auto"/>
        </w:rPr>
      </w:pPr>
      <w:r>
        <w:rPr>
          <w:rFonts w:ascii="Arial" w:cs="Arial" w:eastAsia="Arial" w:hAnsi="Arial"/>
          <w:sz w:val="16"/>
          <w:szCs w:val="16"/>
          <w:b w:val="1"/>
          <w:bCs w:val="1"/>
          <w:color w:val="auto"/>
        </w:rPr>
        <w:t xml:space="preserve">Tax Withholding. </w:t>
      </w:r>
      <w:r>
        <w:rPr>
          <w:rFonts w:ascii="Arial" w:cs="Arial" w:eastAsia="Arial" w:hAnsi="Arial"/>
          <w:sz w:val="16"/>
          <w:szCs w:val="16"/>
          <w:color w:val="auto"/>
        </w:rPr>
        <w:t>As a condition to the Company’s issuance of any Shares or any other</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consideration in settlement of this Award, Grantee shall pay to the Company the minimum amount necessary to satisfy any Withholding Tax Obligations (as defined below) applicable with respect to the grant, vesting or settlement of this Award or any portion thereof at such times as are required by law. The payment shall be in cash or at the election of Grantee by means of: (i) the delivery of Shares previously owned by Grantee, subject to applicable legal requirements, and held for the requisite period of time as may be required to avoid the Company incurring any adverse accounting charge; (ii) a reduction in the number of Shares otherwise deliverable upon vesting or other amounts otherwise payable to Grantee pursuant to this Agreement; or (iii) a combination of (i) and/or (ii). The value of any Shares delivered or withheld as payment in respect of the Withholding Tax Obligation shall be determined by reference to the Fair Market Value of such Shares as of the date of such withholding or delivery. For purposes hereof, the “Withholding Tax Obligation” means the minimum amount necessary to satisfy U.S. federal, state, local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483235</wp:posOffset>
            </wp:positionV>
            <wp:extent cx="545211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38" w:right="1440" w:bottom="1440" w:gutter="0" w:footer="0" w:header="0"/>
        </w:sectPr>
      </w:pPr>
    </w:p>
    <w:bookmarkStart w:id="52" w:name="page53"/>
    <w:bookmarkEnd w:id="52"/>
    <w:p>
      <w:pPr>
        <w:ind w:left="200" w:right="399"/>
        <w:spacing w:after="0" w:line="258" w:lineRule="auto"/>
        <w:rPr>
          <w:sz w:val="20"/>
          <w:szCs w:val="20"/>
          <w:color w:val="auto"/>
        </w:rPr>
      </w:pPr>
      <w:r>
        <w:rPr>
          <w:rFonts w:ascii="Arial" w:cs="Arial" w:eastAsia="Arial" w:hAnsi="Arial"/>
          <w:sz w:val="16"/>
          <w:szCs w:val="16"/>
          <w:color w:val="auto"/>
        </w:rPr>
        <w:t>or non-U.S. withholding employment tax and similar requirements, if any, in connection with the vesting or settlement of all or a portion of the Award; provided, however, that, in the sole discretion of the Company, the Company may allow Grantee to have an additional amount or additional number of Shares withheld to satisfy an additional amount of withholding taxes up to the maximum individual statutory rate in the applicable jurisdiction, but only if such additional withholding, or the discretion to elect such additional withholding, does not result in adverse accounting treatment of this Award to the Company.</w:t>
      </w:r>
    </w:p>
    <w:p>
      <w:pPr>
        <w:spacing w:after="0" w:line="177" w:lineRule="exact"/>
        <w:rPr>
          <w:sz w:val="20"/>
          <w:szCs w:val="20"/>
          <w:color w:val="auto"/>
        </w:rPr>
      </w:pPr>
    </w:p>
    <w:p>
      <w:pPr>
        <w:ind w:left="200" w:right="319" w:firstLine="657"/>
        <w:spacing w:after="0" w:line="254" w:lineRule="auto"/>
        <w:tabs>
          <w:tab w:leader="none" w:pos="1415" w:val="left"/>
        </w:tabs>
        <w:numPr>
          <w:ilvl w:val="1"/>
          <w:numId w:val="36"/>
        </w:numPr>
        <w:rPr>
          <w:rFonts w:ascii="Arial" w:cs="Arial" w:eastAsia="Arial" w:hAnsi="Arial"/>
          <w:sz w:val="16"/>
          <w:szCs w:val="16"/>
          <w:color w:val="auto"/>
        </w:rPr>
      </w:pPr>
      <w:r>
        <w:rPr>
          <w:rFonts w:ascii="Arial" w:cs="Arial" w:eastAsia="Arial" w:hAnsi="Arial"/>
          <w:sz w:val="16"/>
          <w:szCs w:val="16"/>
          <w:b w:val="1"/>
          <w:bCs w:val="1"/>
          <w:color w:val="auto"/>
        </w:rPr>
        <w:t xml:space="preserve">Tax Treatment of Settlement. </w:t>
      </w:r>
      <w:r>
        <w:rPr>
          <w:rFonts w:ascii="Arial" w:cs="Arial" w:eastAsia="Arial" w:hAnsi="Arial"/>
          <w:sz w:val="16"/>
          <w:szCs w:val="16"/>
          <w:color w:val="auto"/>
        </w:rPr>
        <w:t>Notwithstanding anything herein to the contrary, to the maximum</w:t>
      </w:r>
      <w:r>
        <w:rPr>
          <w:rFonts w:ascii="Arial" w:cs="Arial" w:eastAsia="Arial" w:hAnsi="Arial"/>
          <w:sz w:val="16"/>
          <w:szCs w:val="16"/>
          <w:b w:val="1"/>
          <w:bCs w:val="1"/>
          <w:color w:val="auto"/>
        </w:rPr>
        <w:t xml:space="preserve"> </w:t>
      </w:r>
      <w:r>
        <w:rPr>
          <w:rFonts w:ascii="Arial" w:cs="Arial" w:eastAsia="Arial" w:hAnsi="Arial"/>
          <w:sz w:val="16"/>
          <w:szCs w:val="16"/>
          <w:color w:val="auto"/>
        </w:rPr>
        <w:t>extent permitted by applicable law, the settlement of the Restricted Stock Units (including any dividend equivalent rights) to be made to Grantee pursuant to this agreement is intended of quality as a “short-term deferral” pursuant to Section 1.409A-1(b)(4) of the Regulations, and this Agreement shall be interpreted consistently therewith. However, under certain circumstances, including where Grantee has elected to defer settlement of this Award, settlement of the Restricted Stock Units or any dividend equivalent rights may not so qualify, and in that case, the Committee shall administer the grant and settlement of such Restricted Stock Units and any dividend equivalent rights in strict compliance with Section 409A of the Code, including but not limited to delaying, if required, the issuance of Shares contemplated hereunder. Each payment of Restricted Stock Units (and dividend equivalent rights related thereto that have accrued pursuant to Section 4) constitutes a “separate payment” for purposes of Section 409A of the Code.</w:t>
      </w:r>
    </w:p>
    <w:p>
      <w:pPr>
        <w:spacing w:after="0" w:line="185" w:lineRule="exact"/>
        <w:rPr>
          <w:rFonts w:ascii="Arial" w:cs="Arial" w:eastAsia="Arial" w:hAnsi="Arial"/>
          <w:sz w:val="16"/>
          <w:szCs w:val="16"/>
          <w:color w:val="auto"/>
        </w:rPr>
      </w:pPr>
    </w:p>
    <w:p>
      <w:pPr>
        <w:ind w:left="200" w:right="619" w:firstLine="9"/>
        <w:spacing w:after="0" w:line="260" w:lineRule="auto"/>
        <w:tabs>
          <w:tab w:leader="none" w:pos="848"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 Right to Continued Employment</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Nothing in this Agreement or the Plan shall be interpreted or</w:t>
      </w:r>
      <w:r>
        <w:rPr>
          <w:rFonts w:ascii="Arial" w:cs="Arial" w:eastAsia="Arial" w:hAnsi="Arial"/>
          <w:sz w:val="16"/>
          <w:szCs w:val="16"/>
          <w:b w:val="1"/>
          <w:bCs w:val="1"/>
          <w:color w:val="auto"/>
        </w:rPr>
        <w:t xml:space="preserve"> </w:t>
      </w:r>
      <w:r>
        <w:rPr>
          <w:rFonts w:ascii="Arial" w:cs="Arial" w:eastAsia="Arial" w:hAnsi="Arial"/>
          <w:sz w:val="16"/>
          <w:szCs w:val="16"/>
          <w:color w:val="auto"/>
        </w:rPr>
        <w:t>construed to confer upon Grantee any right to continued employment by the Company or any of its Subsidiaries or Affiliates, nor shall this Agreement or the Plan interfere in any way with the right of the Company or any of its Subsidiaries or Affiliates to terminate Grantee’s employment at any time for any reason whatsoever, whether or not with cause.</w:t>
      </w:r>
    </w:p>
    <w:p>
      <w:pPr>
        <w:spacing w:after="0" w:line="177" w:lineRule="exact"/>
        <w:rPr>
          <w:rFonts w:ascii="Arial" w:cs="Arial" w:eastAsia="Arial" w:hAnsi="Arial"/>
          <w:sz w:val="16"/>
          <w:szCs w:val="16"/>
          <w:b w:val="1"/>
          <w:bCs w:val="1"/>
          <w:color w:val="auto"/>
        </w:rPr>
      </w:pPr>
    </w:p>
    <w:p>
      <w:pPr>
        <w:ind w:left="200" w:right="399" w:firstLine="9"/>
        <w:spacing w:after="0" w:line="266" w:lineRule="auto"/>
        <w:tabs>
          <w:tab w:leader="none" w:pos="848"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Plan Governs</w:t>
      </w:r>
      <w:r>
        <w:rPr>
          <w:rFonts w:ascii="Arial" w:cs="Arial" w:eastAsia="Arial" w:hAnsi="Arial"/>
          <w:sz w:val="16"/>
          <w:szCs w:val="16"/>
          <w:b w:val="1"/>
          <w:bCs w:val="1"/>
          <w:color w:val="auto"/>
        </w:rPr>
        <w:t xml:space="preserve">. </w:t>
      </w:r>
      <w:r>
        <w:rPr>
          <w:rFonts w:ascii="Arial" w:cs="Arial" w:eastAsia="Arial" w:hAnsi="Arial"/>
          <w:sz w:val="16"/>
          <w:szCs w:val="16"/>
          <w:color w:val="auto"/>
        </w:rPr>
        <w:t>Grantee hereby acknowledges receipt of a copy of the Plan and agrees to be bound by all the</w:t>
      </w:r>
      <w:r>
        <w:rPr>
          <w:rFonts w:ascii="Arial" w:cs="Arial" w:eastAsia="Arial" w:hAnsi="Arial"/>
          <w:sz w:val="16"/>
          <w:szCs w:val="16"/>
          <w:b w:val="1"/>
          <w:bCs w:val="1"/>
          <w:color w:val="auto"/>
        </w:rPr>
        <w:t xml:space="preserve"> </w:t>
      </w:r>
      <w:r>
        <w:rPr>
          <w:rFonts w:ascii="Arial" w:cs="Arial" w:eastAsia="Arial" w:hAnsi="Arial"/>
          <w:sz w:val="16"/>
          <w:szCs w:val="16"/>
          <w:color w:val="auto"/>
        </w:rPr>
        <w:t>terms and provisions thereof. The terms of this Agreement are governed by the terms of the Plan, and in the case of any inconsistency between the terms of this Agreement and the terms of the Plan, the terms of the Plan shall govern.</w:t>
      </w:r>
    </w:p>
    <w:p>
      <w:pPr>
        <w:spacing w:after="0" w:line="171" w:lineRule="exact"/>
        <w:rPr>
          <w:rFonts w:ascii="Arial" w:cs="Arial" w:eastAsia="Arial" w:hAnsi="Arial"/>
          <w:sz w:val="16"/>
          <w:szCs w:val="16"/>
          <w:b w:val="1"/>
          <w:bCs w:val="1"/>
          <w:color w:val="auto"/>
        </w:rPr>
      </w:pPr>
    </w:p>
    <w:p>
      <w:pPr>
        <w:ind w:left="200" w:right="419" w:firstLine="9"/>
        <w:spacing w:after="0" w:line="258" w:lineRule="auto"/>
        <w:tabs>
          <w:tab w:leader="none" w:pos="848"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Severability</w:t>
      </w:r>
      <w:r>
        <w:rPr>
          <w:rFonts w:ascii="Arial" w:cs="Arial" w:eastAsia="Arial" w:hAnsi="Arial"/>
          <w:sz w:val="16"/>
          <w:szCs w:val="16"/>
          <w:b w:val="1"/>
          <w:bCs w:val="1"/>
          <w:color w:val="auto"/>
        </w:rPr>
        <w:t xml:space="preserve">. </w:t>
      </w:r>
      <w:r>
        <w:rPr>
          <w:rFonts w:ascii="Arial" w:cs="Arial" w:eastAsia="Arial" w:hAnsi="Arial"/>
          <w:sz w:val="16"/>
          <w:szCs w:val="16"/>
          <w:color w:val="auto"/>
        </w:rPr>
        <w:t>If any provision of this Agreement is, or becomes, or is deemed to be invalid, illegal, or</w:t>
      </w:r>
      <w:r>
        <w:rPr>
          <w:rFonts w:ascii="Arial" w:cs="Arial" w:eastAsia="Arial" w:hAnsi="Arial"/>
          <w:sz w:val="16"/>
          <w:szCs w:val="16"/>
          <w:b w:val="1"/>
          <w:bCs w:val="1"/>
          <w:color w:val="auto"/>
        </w:rPr>
        <w:t xml:space="preserve"> </w:t>
      </w:r>
      <w:r>
        <w:rPr>
          <w:rFonts w:ascii="Arial" w:cs="Arial" w:eastAsia="Arial" w:hAnsi="Arial"/>
          <w:sz w:val="16"/>
          <w:szCs w:val="16"/>
          <w:color w:val="auto"/>
        </w:rPr>
        <w:t>unenforceable in any jurisdiction or as to any Person or the Award, or would disqualify the Plan or Award under any laws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stricken as to such jurisdiction, Person or Award, and the remainder of the Plan and Award shall remain in full force and effect.</w:t>
      </w:r>
    </w:p>
    <w:p>
      <w:pPr>
        <w:spacing w:after="0" w:line="176" w:lineRule="exact"/>
        <w:rPr>
          <w:rFonts w:ascii="Arial" w:cs="Arial" w:eastAsia="Arial" w:hAnsi="Arial"/>
          <w:sz w:val="16"/>
          <w:szCs w:val="16"/>
          <w:b w:val="1"/>
          <w:bCs w:val="1"/>
          <w:color w:val="auto"/>
        </w:rPr>
      </w:pPr>
    </w:p>
    <w:p>
      <w:pPr>
        <w:ind w:left="860" w:hanging="651"/>
        <w:spacing w:after="0"/>
        <w:tabs>
          <w:tab w:leader="none" w:pos="860"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Notices</w:t>
      </w:r>
      <w:r>
        <w:rPr>
          <w:rFonts w:ascii="Arial" w:cs="Arial" w:eastAsia="Arial" w:hAnsi="Arial"/>
          <w:sz w:val="16"/>
          <w:szCs w:val="16"/>
          <w:b w:val="1"/>
          <w:bCs w:val="1"/>
          <w:color w:val="auto"/>
        </w:rPr>
        <w:t xml:space="preserve">. </w:t>
      </w:r>
      <w:r>
        <w:rPr>
          <w:rFonts w:ascii="Arial" w:cs="Arial" w:eastAsia="Arial" w:hAnsi="Arial"/>
          <w:sz w:val="16"/>
          <w:szCs w:val="16"/>
          <w:color w:val="auto"/>
        </w:rPr>
        <w:t>All notices required to be given under this Agreement shall be deemed to be received if delivered or</w:t>
      </w:r>
    </w:p>
    <w:p>
      <w:pPr>
        <w:spacing w:after="0" w:line="21" w:lineRule="exact"/>
        <w:rPr>
          <w:rFonts w:ascii="Arial" w:cs="Arial" w:eastAsia="Arial" w:hAnsi="Arial"/>
          <w:sz w:val="16"/>
          <w:szCs w:val="16"/>
          <w:b w:val="1"/>
          <w:bCs w:val="1"/>
          <w:color w:val="auto"/>
        </w:rPr>
      </w:pPr>
    </w:p>
    <w:p>
      <w:pPr>
        <w:ind w:left="200" w:right="359"/>
        <w:spacing w:after="0" w:line="265" w:lineRule="auto"/>
        <w:rPr>
          <w:rFonts w:ascii="Arial" w:cs="Arial" w:eastAsia="Arial" w:hAnsi="Arial"/>
          <w:sz w:val="16"/>
          <w:szCs w:val="16"/>
          <w:b w:val="1"/>
          <w:bCs w:val="1"/>
          <w:color w:val="auto"/>
        </w:rPr>
      </w:pPr>
      <w:r>
        <w:rPr>
          <w:rFonts w:ascii="Arial" w:cs="Arial" w:eastAsia="Arial" w:hAnsi="Arial"/>
          <w:sz w:val="16"/>
          <w:szCs w:val="16"/>
          <w:color w:val="auto"/>
        </w:rPr>
        <w:t>mailed: (1) to Company, at One Gaylord Drive, Nashville TN 37214; and (2) to Grantee, at the address currently on file with the Company, or to such other address as either party may provide in writing from time to time.</w:t>
      </w:r>
    </w:p>
    <w:p>
      <w:pPr>
        <w:spacing w:after="0" w:line="158" w:lineRule="exact"/>
        <w:rPr>
          <w:rFonts w:ascii="Arial" w:cs="Arial" w:eastAsia="Arial" w:hAnsi="Arial"/>
          <w:sz w:val="16"/>
          <w:szCs w:val="16"/>
          <w:b w:val="1"/>
          <w:bCs w:val="1"/>
          <w:color w:val="auto"/>
        </w:rPr>
      </w:pPr>
    </w:p>
    <w:p>
      <w:pPr>
        <w:ind w:left="200" w:right="579" w:firstLine="9"/>
        <w:spacing w:after="0" w:line="286" w:lineRule="auto"/>
        <w:tabs>
          <w:tab w:leader="none" w:pos="848"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Governing Law</w:t>
      </w:r>
      <w:r>
        <w:rPr>
          <w:rFonts w:ascii="Arial" w:cs="Arial" w:eastAsia="Arial" w:hAnsi="Arial"/>
          <w:sz w:val="16"/>
          <w:szCs w:val="16"/>
          <w:b w:val="1"/>
          <w:bCs w:val="1"/>
          <w:color w:val="auto"/>
        </w:rPr>
        <w:t xml:space="preserve">. </w:t>
      </w:r>
      <w:r>
        <w:rPr>
          <w:rFonts w:ascii="Arial" w:cs="Arial" w:eastAsia="Arial" w:hAnsi="Arial"/>
          <w:sz w:val="16"/>
          <w:szCs w:val="16"/>
          <w:color w:val="auto"/>
        </w:rPr>
        <w:t>The validity, construction and effect of this Agreement shall be determined in accordance</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laws of the State of Delaware without giving effect to conflicts of laws principles.</w:t>
      </w:r>
    </w:p>
    <w:p>
      <w:pPr>
        <w:spacing w:after="0" w:line="142" w:lineRule="exact"/>
        <w:rPr>
          <w:rFonts w:ascii="Arial" w:cs="Arial" w:eastAsia="Arial" w:hAnsi="Arial"/>
          <w:sz w:val="16"/>
          <w:szCs w:val="16"/>
          <w:b w:val="1"/>
          <w:bCs w:val="1"/>
          <w:color w:val="auto"/>
        </w:rPr>
      </w:pPr>
    </w:p>
    <w:p>
      <w:pPr>
        <w:ind w:left="200" w:right="499" w:firstLine="9"/>
        <w:spacing w:after="0" w:line="259" w:lineRule="auto"/>
        <w:tabs>
          <w:tab w:leader="none" w:pos="848"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Successors in Interest</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shall inure to the benefit of and be binding upon any successor to</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This Agreement shall inure to the benefit of Grantee’s legal representatives. All obligations imposed upon Grantee and all rights granted to the Company under this Agreement shall be binding upon Grantee’s heirs, executors, administrators and successors.</w:t>
      </w:r>
    </w:p>
    <w:p>
      <w:pPr>
        <w:spacing w:after="0" w:line="164" w:lineRule="exact"/>
        <w:rPr>
          <w:rFonts w:ascii="Arial" w:cs="Arial" w:eastAsia="Arial" w:hAnsi="Arial"/>
          <w:sz w:val="16"/>
          <w:szCs w:val="16"/>
          <w:b w:val="1"/>
          <w:bCs w:val="1"/>
          <w:color w:val="auto"/>
        </w:rPr>
      </w:pPr>
    </w:p>
    <w:p>
      <w:pPr>
        <w:ind w:left="200" w:right="359" w:firstLine="9"/>
        <w:spacing w:after="0" w:line="266" w:lineRule="auto"/>
        <w:tabs>
          <w:tab w:leader="none" w:pos="848"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Resolution of Disputes</w:t>
      </w:r>
      <w:r>
        <w:rPr>
          <w:rFonts w:ascii="Arial" w:cs="Arial" w:eastAsia="Arial" w:hAnsi="Arial"/>
          <w:sz w:val="16"/>
          <w:szCs w:val="16"/>
          <w:b w:val="1"/>
          <w:bCs w:val="1"/>
          <w:color w:val="auto"/>
        </w:rPr>
        <w:t xml:space="preserve">. </w:t>
      </w:r>
      <w:r>
        <w:rPr>
          <w:rFonts w:ascii="Arial" w:cs="Arial" w:eastAsia="Arial" w:hAnsi="Arial"/>
          <w:sz w:val="16"/>
          <w:szCs w:val="16"/>
          <w:color w:val="auto"/>
        </w:rPr>
        <w:t>Any dispute or disagreement which may arise under, or as a result of, or in any way</w:t>
      </w:r>
      <w:r>
        <w:rPr>
          <w:rFonts w:ascii="Arial" w:cs="Arial" w:eastAsia="Arial" w:hAnsi="Arial"/>
          <w:sz w:val="16"/>
          <w:szCs w:val="16"/>
          <w:b w:val="1"/>
          <w:bCs w:val="1"/>
          <w:color w:val="auto"/>
        </w:rPr>
        <w:t xml:space="preserve"> </w:t>
      </w:r>
      <w:r>
        <w:rPr>
          <w:rFonts w:ascii="Arial" w:cs="Arial" w:eastAsia="Arial" w:hAnsi="Arial"/>
          <w:sz w:val="16"/>
          <w:szCs w:val="16"/>
          <w:color w:val="auto"/>
        </w:rPr>
        <w:t>related to, the interpretation, construction or application of this Agreement shall be determined by the Committee. Any determination made hereunder shall be final, binding and conclusive on Grantee and the Company for all purposes.</w:t>
      </w:r>
    </w:p>
    <w:p>
      <w:pPr>
        <w:spacing w:after="0" w:line="157" w:lineRule="exact"/>
        <w:rPr>
          <w:rFonts w:ascii="Arial" w:cs="Arial" w:eastAsia="Arial" w:hAnsi="Arial"/>
          <w:sz w:val="16"/>
          <w:szCs w:val="16"/>
          <w:b w:val="1"/>
          <w:bCs w:val="1"/>
          <w:color w:val="auto"/>
        </w:rPr>
      </w:pPr>
    </w:p>
    <w:p>
      <w:pPr>
        <w:ind w:left="200" w:right="379" w:firstLine="9"/>
        <w:spacing w:after="0" w:line="257" w:lineRule="auto"/>
        <w:tabs>
          <w:tab w:leader="none" w:pos="848"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Recoupment.</w:t>
      </w:r>
      <w:r>
        <w:rPr>
          <w:rFonts w:ascii="Arial" w:cs="Arial" w:eastAsia="Arial" w:hAnsi="Arial"/>
          <w:sz w:val="16"/>
          <w:szCs w:val="16"/>
          <w:b w:val="1"/>
          <w:bCs w:val="1"/>
          <w:color w:val="auto"/>
        </w:rPr>
        <w:t xml:space="preserve"> </w:t>
      </w:r>
      <w:r>
        <w:rPr>
          <w:rFonts w:ascii="Arial" w:cs="Arial" w:eastAsia="Arial" w:hAnsi="Arial"/>
          <w:sz w:val="16"/>
          <w:szCs w:val="16"/>
          <w:color w:val="auto"/>
        </w:rPr>
        <w:t>The Award granted to Grantee pursuant to this Agreement, and any prior awards granted to</w:t>
      </w:r>
      <w:r>
        <w:rPr>
          <w:rFonts w:ascii="Arial" w:cs="Arial" w:eastAsia="Arial" w:hAnsi="Arial"/>
          <w:sz w:val="16"/>
          <w:szCs w:val="16"/>
          <w:b w:val="1"/>
          <w:bCs w:val="1"/>
          <w:color w:val="auto"/>
        </w:rPr>
        <w:t xml:space="preserve"> </w:t>
      </w:r>
      <w:r>
        <w:rPr>
          <w:rFonts w:ascii="Arial" w:cs="Arial" w:eastAsia="Arial" w:hAnsi="Arial"/>
          <w:sz w:val="16"/>
          <w:szCs w:val="16"/>
          <w:color w:val="auto"/>
        </w:rPr>
        <w:t>Grantee under the Plan, including any amounts paid or property received in settlement or satisfaction thereof, shall be subject to forfeiture, cancellation, repayment, reimbursement or other recoupment (i) pursuant to the Company’s NYSE Executive Compensation Recoupment Policy (as it may be amended from time to time) or any Company recoupment policies that may be adopted and/or modified from time to time, including those adopted or modified to comply with any applicable laws (such policy referenced in clause (i), as amended from time to time, the “Policy”), and (ii) to the extent provided under any applicable laws and/or listing standards which impose mandatory recoupment, under circumstances set forth in such applicable laws and listing standards. The Company may utilize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473710</wp:posOffset>
            </wp:positionV>
            <wp:extent cx="545211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38" w:right="1440" w:bottom="1440" w:gutter="0" w:footer="0" w:header="0"/>
        </w:sectPr>
      </w:pPr>
    </w:p>
    <w:bookmarkStart w:id="53" w:name="page54"/>
    <w:bookmarkEnd w:id="53"/>
    <w:p>
      <w:pPr>
        <w:ind w:left="200" w:right="439"/>
        <w:spacing w:after="0" w:line="266" w:lineRule="auto"/>
        <w:rPr>
          <w:sz w:val="20"/>
          <w:szCs w:val="20"/>
          <w:color w:val="auto"/>
        </w:rPr>
      </w:pPr>
      <w:r>
        <w:rPr>
          <w:rFonts w:ascii="Arial" w:cs="Arial" w:eastAsia="Arial" w:hAnsi="Arial"/>
          <w:sz w:val="16"/>
          <w:szCs w:val="16"/>
          <w:color w:val="auto"/>
        </w:rPr>
        <w:t>any method of recovery specified in the Policy in connection with any recoupment pursuant to the terms of the Policy. By accepting this Award, Grantee is agreeing to be bound by the Policy as in effect, or as may be adopted and/or modified from time to time by the Company in its discretion.</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[remainder of page intentionally blank]</w:t>
      </w:r>
    </w:p>
    <w:p>
      <w:pPr>
        <w:spacing w:after="0" w:line="194" w:lineRule="exact"/>
        <w:rPr>
          <w:sz w:val="20"/>
          <w:szCs w:val="20"/>
          <w:color w:val="auto"/>
        </w:rPr>
      </w:pPr>
    </w:p>
    <w:p>
      <w:pPr>
        <w:ind w:left="200" w:right="499" w:firstLine="9"/>
        <w:spacing w:after="0" w:line="265" w:lineRule="auto"/>
        <w:tabs>
          <w:tab w:leader="none" w:pos="848" w:val="left"/>
        </w:tabs>
        <w:numPr>
          <w:ilvl w:val="0"/>
          <w:numId w:val="3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Acknowledgement of Code of Conduct and Insider Trading Policy(ies)</w:t>
      </w:r>
      <w:r>
        <w:rPr>
          <w:rFonts w:ascii="Arial" w:cs="Arial" w:eastAsia="Arial" w:hAnsi="Arial"/>
          <w:sz w:val="16"/>
          <w:szCs w:val="16"/>
          <w:b w:val="1"/>
          <w:bCs w:val="1"/>
          <w:color w:val="auto"/>
        </w:rPr>
        <w:t xml:space="preserve">. </w:t>
      </w:r>
      <w:r>
        <w:rPr>
          <w:rFonts w:ascii="Arial" w:cs="Arial" w:eastAsia="Arial" w:hAnsi="Arial"/>
          <w:sz w:val="16"/>
          <w:szCs w:val="16"/>
          <w:color w:val="auto"/>
        </w:rPr>
        <w:t>By accepting this Award by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means of execution and delivery of this Agreement, Grantee acknowledges that Grantee has been provided with the opportunity to review, and Grantee accepts the provisions of, the following policies of the Company: (i) Code of Conduct and Business Ethics, attached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(ii) Insider Trading Policy, attached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and (iii) if applicable to Grantee, Special Insider Trading Policy, attached as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hereto.</w:t>
      </w:r>
    </w:p>
    <w:p>
      <w:pPr>
        <w:spacing w:after="0" w:line="145" w:lineRule="exact"/>
        <w:rPr>
          <w:sz w:val="20"/>
          <w:szCs w:val="20"/>
          <w:color w:val="auto"/>
        </w:rPr>
      </w:pPr>
    </w:p>
    <w:p>
      <w:pPr>
        <w:ind w:left="200" w:right="499"/>
        <w:spacing w:after="0" w:line="286" w:lineRule="auto"/>
        <w:rPr>
          <w:sz w:val="20"/>
          <w:szCs w:val="20"/>
          <w:color w:val="auto"/>
        </w:rPr>
      </w:pPr>
      <w:r>
        <w:rPr>
          <w:rFonts w:ascii="Arial" w:cs="Arial" w:eastAsia="Arial" w:hAnsi="Arial"/>
          <w:sz w:val="16"/>
          <w:szCs w:val="16"/>
          <w:color w:val="auto"/>
        </w:rPr>
        <w:t>IN WITNESS WHEREOF, the Company has caused this Agreement to be duly executed by an officer thereunto duly authorized, and Grantee has executed this Agreement, all as of the date first above written.</w:t>
      </w:r>
    </w:p>
    <w:p>
      <w:pPr>
        <w:spacing w:after="0" w:line="169"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Ryman Hospitality Properties, Inc.</w:t>
      </w:r>
    </w:p>
    <w:p>
      <w:pPr>
        <w:spacing w:after="0" w:line="221"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/s/ Scott Lynn</w:t>
      </w:r>
    </w:p>
    <w:p>
      <w:pPr>
        <w:spacing w:after="0" w:line="22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Scott Lynn, EVP &amp; General Counsel</w:t>
      </w:r>
    </w:p>
    <w:p>
      <w:pPr>
        <w:spacing w:after="0" w:line="22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DATE ACCEPTED BY GRANTEE: ###ACCEPTANCE_DATE###</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Appendix and Exhibits to Award Agreement follow</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861060</wp:posOffset>
            </wp:positionV>
            <wp:extent cx="545211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38" w:right="1440" w:bottom="1440" w:gutter="0" w:footer="0" w:header="0"/>
        </w:sectPr>
      </w:pPr>
    </w:p>
    <w:bookmarkStart w:id="54" w:name="page55"/>
    <w:bookmarkEnd w:id="54"/>
    <w:p>
      <w:pPr>
        <w:jc w:val="right"/>
        <w:ind w:right="219"/>
        <w:spacing w:after="0"/>
        <w:rPr>
          <w:sz w:val="20"/>
          <w:szCs w:val="20"/>
          <w:color w:val="auto"/>
        </w:rPr>
      </w:pPr>
      <w:r>
        <w:rPr>
          <w:rFonts w:ascii="Arial" w:cs="Arial" w:eastAsia="Arial" w:hAnsi="Arial"/>
          <w:sz w:val="16"/>
          <w:szCs w:val="16"/>
          <w:b w:val="1"/>
          <w:bCs w:val="1"/>
          <w:u w:val="single" w:color="auto"/>
          <w:color w:val="auto"/>
        </w:rPr>
        <w:t>APPENDIX 1 TO GRANT AGREEMENT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577850</wp:posOffset>
            </wp:positionV>
            <wp:extent cx="545211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38" w:right="1440" w:bottom="1440" w:gutter="0" w:footer="0" w:header="0"/>
        </w:sectPr>
      </w:pPr>
    </w:p>
    <w:bookmarkStart w:id="55" w:name="page56"/>
    <w:bookmarkEnd w:id="55"/>
    <w:p>
      <w:pPr>
        <w:jc w:val="right"/>
        <w:ind w:right="219"/>
        <w:spacing w:after="0"/>
        <w:rPr>
          <w:sz w:val="20"/>
          <w:szCs w:val="20"/>
          <w:color w:val="auto"/>
        </w:rPr>
      </w:pPr>
      <w:r>
        <w:rPr>
          <w:rFonts w:ascii="Arial" w:cs="Arial" w:eastAsia="Arial" w:hAnsi="Arial"/>
          <w:sz w:val="16"/>
          <w:szCs w:val="16"/>
          <w:b w:val="1"/>
          <w:bCs w:val="1"/>
          <w:u w:val="single" w:color="auto"/>
          <w:color w:val="auto"/>
        </w:rPr>
        <w:t>EXHIBIT A TO GRANT AGREEMENT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732155</wp:posOffset>
            </wp:positionV>
            <wp:extent cx="545211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354" w:right="1440" w:bottom="1440" w:gutter="0" w:footer="0" w:header="0"/>
        </w:sectPr>
      </w:pPr>
    </w:p>
    <w:bookmarkStart w:id="56" w:name="page57"/>
    <w:bookmarkEnd w:id="56"/>
    <w:p>
      <w:pPr>
        <w:jc w:val="right"/>
        <w:ind w:right="219"/>
        <w:spacing w:after="0"/>
        <w:rPr>
          <w:sz w:val="20"/>
          <w:szCs w:val="20"/>
          <w:color w:val="auto"/>
        </w:rPr>
      </w:pPr>
      <w:r>
        <w:rPr>
          <w:rFonts w:ascii="Arial" w:cs="Arial" w:eastAsia="Arial" w:hAnsi="Arial"/>
          <w:sz w:val="16"/>
          <w:szCs w:val="16"/>
          <w:b w:val="1"/>
          <w:bCs w:val="1"/>
          <w:u w:val="single" w:color="auto"/>
          <w:color w:val="auto"/>
        </w:rPr>
        <w:t>EXHIBIT B TO GRANT AGREEMENT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509270</wp:posOffset>
            </wp:positionV>
            <wp:extent cx="545211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38" w:right="1440" w:bottom="1440" w:gutter="0" w:footer="0" w:header="0"/>
        </w:sectPr>
      </w:pPr>
    </w:p>
    <w:bookmarkStart w:id="57" w:name="page58"/>
    <w:bookmarkEnd w:id="57"/>
    <w:p>
      <w:pPr>
        <w:jc w:val="right"/>
        <w:ind w:right="219"/>
        <w:spacing w:after="0"/>
        <w:rPr>
          <w:sz w:val="20"/>
          <w:szCs w:val="20"/>
          <w:color w:val="auto"/>
        </w:rPr>
      </w:pPr>
      <w:r>
        <w:rPr>
          <w:rFonts w:ascii="Arial" w:cs="Arial" w:eastAsia="Arial" w:hAnsi="Arial"/>
          <w:sz w:val="16"/>
          <w:szCs w:val="16"/>
          <w:b w:val="1"/>
          <w:bCs w:val="1"/>
          <w:u w:val="single" w:color="auto"/>
          <w:color w:val="auto"/>
        </w:rPr>
        <w:t>EXHIBIT C TO GRANT AGREEMENT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509270</wp:posOffset>
            </wp:positionV>
            <wp:extent cx="545211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354" w:right="1440" w:bottom="1440" w:gutter="0" w:footer="0" w:header="0"/>
        </w:sectPr>
      </w:pPr>
    </w:p>
    <w:bookmarkStart w:id="58" w:name="page59"/>
    <w:bookmarkEnd w:id="58"/>
    <w:p>
      <w:pPr>
        <w:jc w:val="right"/>
        <w:ind w:right="219"/>
        <w:spacing w:after="0"/>
        <w:rPr>
          <w:sz w:val="20"/>
          <w:szCs w:val="20"/>
          <w:color w:val="auto"/>
        </w:rPr>
      </w:pPr>
      <w:r>
        <w:rPr>
          <w:rFonts w:ascii="Times New Roman" w:cs="Times New Roman" w:eastAsia="Times New Roman" w:hAnsi="Times New Roman"/>
          <w:sz w:val="20"/>
          <w:szCs w:val="20"/>
          <w:b w:val="1"/>
          <w:bCs w:val="1"/>
          <w:color w:val="auto"/>
        </w:rPr>
        <w:t>Exhibit 10.4</w:t>
      </w:r>
    </w:p>
    <w:p>
      <w:pPr>
        <w:spacing w:after="0" w:line="200" w:lineRule="exact"/>
        <w:rPr>
          <w:sz w:val="20"/>
          <w:szCs w:val="20"/>
          <w:color w:val="auto"/>
        </w:rPr>
      </w:pPr>
    </w:p>
    <w:p>
      <w:pPr>
        <w:spacing w:after="0" w:line="229" w:lineRule="exact"/>
        <w:rPr>
          <w:sz w:val="20"/>
          <w:szCs w:val="20"/>
          <w:color w:val="auto"/>
        </w:rPr>
      </w:pPr>
    </w:p>
    <w:p>
      <w:pPr>
        <w:jc w:val="center"/>
        <w:ind w:left="200" w:right="219"/>
        <w:spacing w:after="0" w:line="454" w:lineRule="auto"/>
        <w:rPr>
          <w:sz w:val="20"/>
          <w:szCs w:val="20"/>
          <w:color w:val="auto"/>
        </w:rPr>
      </w:pPr>
      <w:r>
        <w:rPr>
          <w:rFonts w:ascii="Arial" w:cs="Arial" w:eastAsia="Arial" w:hAnsi="Arial"/>
          <w:sz w:val="21"/>
          <w:szCs w:val="21"/>
          <w:b w:val="1"/>
          <w:bCs w:val="1"/>
          <w:color w:val="auto"/>
        </w:rPr>
        <w:t>FORM OF TIME-BASED RESTRICTED STOCK UNIT AWARD AGREEMENT NOTICE OF TIME-BASED RESTRICTED STOCK UNIT AWARD</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Participant Name: ###PARTICIPANT_NAME###</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Grant Name: ###GRANT_NAME###</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Grant Date: ###GRANT_DATE###</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Grant Type: ###DICTIONARY_AWARD_NAME###</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Quantity: ###TOTAL_AWARDS###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Vest Schedule: ###VEST_SCHEDULE_TABLE###</w:t>
      </w:r>
    </w:p>
    <w:p>
      <w:pPr>
        <w:spacing w:after="0" w:line="227" w:lineRule="exact"/>
        <w:rPr>
          <w:sz w:val="20"/>
          <w:szCs w:val="20"/>
          <w:color w:val="auto"/>
        </w:rPr>
      </w:pPr>
    </w:p>
    <w:p>
      <w:pPr>
        <w:ind w:left="200" w:right="819"/>
        <w:spacing w:after="0" w:line="325" w:lineRule="auto"/>
        <w:rPr>
          <w:sz w:val="20"/>
          <w:szCs w:val="20"/>
          <w:color w:val="auto"/>
        </w:rPr>
      </w:pPr>
      <w:r>
        <w:rPr>
          <w:rFonts w:ascii="Arial" w:cs="Arial" w:eastAsia="Arial" w:hAnsi="Arial"/>
          <w:sz w:val="17"/>
          <w:szCs w:val="17"/>
          <w:b w:val="1"/>
          <w:bCs w:val="1"/>
          <w:i w:val="1"/>
          <w:iCs w:val="1"/>
          <w:color w:val="auto"/>
        </w:rPr>
        <w:t>By accepting this Restricted Stock Unit Award, by means of execution and delivery of the accompanying Restricted Stock Unit Award Agreement (the “Award Agreement”) you hereby:</w:t>
      </w:r>
    </w:p>
    <w:p>
      <w:pPr>
        <w:spacing w:after="0" w:line="132" w:lineRule="exact"/>
        <w:rPr>
          <w:sz w:val="20"/>
          <w:szCs w:val="20"/>
          <w:color w:val="auto"/>
        </w:rPr>
      </w:pPr>
    </w:p>
    <w:p>
      <w:pPr>
        <w:ind w:left="200" w:right="279" w:firstLine="9"/>
        <w:spacing w:after="0" w:line="277" w:lineRule="auto"/>
        <w:tabs>
          <w:tab w:leader="none" w:pos="848" w:val="left"/>
        </w:tabs>
        <w:numPr>
          <w:ilvl w:val="0"/>
          <w:numId w:val="3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Acknowledge that you have received a copy of (1) Ryman Hospitality Properties, Inc.’s Code of Business Conduct and Ethics (attached as </w:t>
      </w:r>
      <w:r>
        <w:rPr>
          <w:rFonts w:ascii="Arial" w:cs="Arial" w:eastAsia="Arial" w:hAnsi="Arial"/>
          <w:sz w:val="18"/>
          <w:szCs w:val="18"/>
          <w:b w:val="1"/>
          <w:bCs w:val="1"/>
          <w:i w:val="1"/>
          <w:iCs w:val="1"/>
          <w:u w:val="single" w:color="auto"/>
          <w:color w:val="auto"/>
        </w:rPr>
        <w:t>Exhibit A</w:t>
      </w:r>
      <w:r>
        <w:rPr>
          <w:rFonts w:ascii="Arial" w:cs="Arial" w:eastAsia="Arial" w:hAnsi="Arial"/>
          <w:sz w:val="18"/>
          <w:szCs w:val="18"/>
          <w:b w:val="1"/>
          <w:bCs w:val="1"/>
          <w:i w:val="1"/>
          <w:iCs w:val="1"/>
          <w:color w:val="auto"/>
        </w:rPr>
        <w:t xml:space="preserve"> to the Award Agreement), (2) Ryman’s Statement of Company Policy Regarding Insider Trading (attached as </w:t>
      </w:r>
      <w:r>
        <w:rPr>
          <w:rFonts w:ascii="Arial" w:cs="Arial" w:eastAsia="Arial" w:hAnsi="Arial"/>
          <w:sz w:val="18"/>
          <w:szCs w:val="18"/>
          <w:b w:val="1"/>
          <w:bCs w:val="1"/>
          <w:i w:val="1"/>
          <w:iCs w:val="1"/>
          <w:u w:val="single" w:color="auto"/>
          <w:color w:val="auto"/>
        </w:rPr>
        <w:t>Exhibit B</w:t>
      </w:r>
      <w:r>
        <w:rPr>
          <w:rFonts w:ascii="Arial" w:cs="Arial" w:eastAsia="Arial" w:hAnsi="Arial"/>
          <w:sz w:val="18"/>
          <w:szCs w:val="18"/>
          <w:b w:val="1"/>
          <w:bCs w:val="1"/>
          <w:i w:val="1"/>
          <w:iCs w:val="1"/>
          <w:color w:val="auto"/>
        </w:rPr>
        <w:t xml:space="preserve"> to the Award Agreement), and (3) if applicable to you, Ryman’s Statement of Company Policy Regarding Special Trading Procedures (attached as </w:t>
      </w:r>
      <w:r>
        <w:rPr>
          <w:rFonts w:ascii="Arial" w:cs="Arial" w:eastAsia="Arial" w:hAnsi="Arial"/>
          <w:sz w:val="18"/>
          <w:szCs w:val="18"/>
          <w:b w:val="1"/>
          <w:bCs w:val="1"/>
          <w:i w:val="1"/>
          <w:iCs w:val="1"/>
          <w:u w:val="single" w:color="auto"/>
          <w:color w:val="auto"/>
        </w:rPr>
        <w:t>Exhibit C</w:t>
      </w:r>
      <w:r>
        <w:rPr>
          <w:rFonts w:ascii="Arial" w:cs="Arial" w:eastAsia="Arial" w:hAnsi="Arial"/>
          <w:sz w:val="18"/>
          <w:szCs w:val="18"/>
          <w:b w:val="1"/>
          <w:bCs w:val="1"/>
          <w:i w:val="1"/>
          <w:iCs w:val="1"/>
          <w:color w:val="auto"/>
        </w:rPr>
        <w:t xml:space="preserve"> to the Award Agreement); and</w:t>
      </w:r>
    </w:p>
    <w:p>
      <w:pPr>
        <w:spacing w:after="0" w:line="169" w:lineRule="exact"/>
        <w:rPr>
          <w:rFonts w:ascii="Arial" w:cs="Arial" w:eastAsia="Arial" w:hAnsi="Arial"/>
          <w:sz w:val="18"/>
          <w:szCs w:val="18"/>
          <w:b w:val="1"/>
          <w:bCs w:val="1"/>
          <w:i w:val="1"/>
          <w:iCs w:val="1"/>
          <w:color w:val="auto"/>
        </w:rPr>
      </w:pPr>
    </w:p>
    <w:p>
      <w:pPr>
        <w:ind w:left="200" w:right="319" w:firstLine="9"/>
        <w:spacing w:after="0" w:line="288" w:lineRule="auto"/>
        <w:tabs>
          <w:tab w:leader="none" w:pos="848" w:val="left"/>
        </w:tabs>
        <w:numPr>
          <w:ilvl w:val="0"/>
          <w:numId w:val="3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Certify that you have read, understand and will comply with the policies and procedures set forth in such documents, and acknowledge your understanding that your failure to comply with these policies can be a basis for termination of your employment with Ryman.</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[Award Agreement follows]</w:t>
      </w:r>
    </w:p>
    <w:p>
      <w:pPr>
        <w:spacing w:after="0" w:line="217" w:lineRule="exact"/>
        <w:rPr>
          <w:sz w:val="20"/>
          <w:szCs w:val="20"/>
          <w:color w:val="auto"/>
        </w:rPr>
      </w:pPr>
    </w:p>
    <w:p>
      <w:pPr>
        <w:jc w:val="center"/>
        <w:ind w:left="200" w:right="219"/>
        <w:spacing w:after="0" w:line="432" w:lineRule="auto"/>
        <w:rPr>
          <w:sz w:val="20"/>
          <w:szCs w:val="20"/>
          <w:color w:val="auto"/>
        </w:rPr>
      </w:pPr>
      <w:r>
        <w:rPr>
          <w:rFonts w:ascii="Arial" w:cs="Arial" w:eastAsia="Arial" w:hAnsi="Arial"/>
          <w:sz w:val="25"/>
          <w:szCs w:val="25"/>
          <w:b w:val="1"/>
          <w:bCs w:val="1"/>
          <w:color w:val="auto"/>
        </w:rPr>
        <w:t>Ryman Hospitality Properties, Inc. - 2024 Omnibus Incentive Plan TIME-BASED RESTRICTED STOCK UNIT AWARD AGREEMENT</w:t>
      </w:r>
    </w:p>
    <w:p>
      <w:pPr>
        <w:spacing w:after="0" w:line="1" w:lineRule="exact"/>
        <w:rPr>
          <w:sz w:val="20"/>
          <w:szCs w:val="20"/>
          <w:color w:val="auto"/>
        </w:rPr>
      </w:pPr>
    </w:p>
    <w:p>
      <w:pPr>
        <w:ind w:left="200" w:right="339"/>
        <w:spacing w:after="0" w:line="265" w:lineRule="auto"/>
        <w:rPr>
          <w:sz w:val="20"/>
          <w:szCs w:val="20"/>
          <w:color w:val="auto"/>
        </w:rPr>
      </w:pPr>
      <w:r>
        <w:rPr>
          <w:rFonts w:ascii="Arial" w:cs="Arial" w:eastAsia="Arial" w:hAnsi="Arial"/>
          <w:sz w:val="16"/>
          <w:szCs w:val="16"/>
          <w:color w:val="auto"/>
        </w:rPr>
        <w:t xml:space="preserve">This Time-Based Restricted Stock Unit Award Agreement (the “Agreement”) is made as of ###GRANT_DATE### (the “Grant Date”), between Ryman Hospitality Properties, Inc. (the “Company”) and ###PARTICIPANT_NAME### (“Grantee”), pursuant to the Company’s 2024 Omnibus Incentive Plan (the “Plan”). The Plan Prospectus is attached as </w:t>
      </w:r>
      <w:r>
        <w:rPr>
          <w:rFonts w:ascii="Arial" w:cs="Arial" w:eastAsia="Arial" w:hAnsi="Arial"/>
          <w:sz w:val="16"/>
          <w:szCs w:val="16"/>
          <w:u w:val="single" w:color="auto"/>
          <w:color w:val="auto"/>
        </w:rPr>
        <w:t>Appendix 1</w:t>
      </w:r>
      <w:r>
        <w:rPr>
          <w:rFonts w:ascii="Arial" w:cs="Arial" w:eastAsia="Arial" w:hAnsi="Arial"/>
          <w:sz w:val="16"/>
          <w:szCs w:val="16"/>
          <w:color w:val="auto"/>
        </w:rPr>
        <w:t xml:space="preserve"> to this Agreement, and the Plan Prospectus contains a copy of the Plan.</w:t>
      </w:r>
    </w:p>
    <w:p>
      <w:pPr>
        <w:spacing w:after="0" w:line="159" w:lineRule="exact"/>
        <w:rPr>
          <w:sz w:val="20"/>
          <w:szCs w:val="20"/>
          <w:color w:val="auto"/>
        </w:rPr>
      </w:pPr>
    </w:p>
    <w:p>
      <w:pPr>
        <w:ind w:left="840" w:hanging="631"/>
        <w:spacing w:after="0"/>
        <w:tabs>
          <w:tab w:leader="none" w:pos="840" w:val="left"/>
        </w:tabs>
        <w:numPr>
          <w:ilvl w:val="0"/>
          <w:numId w:val="40"/>
        </w:numPr>
        <w:rPr>
          <w:rFonts w:ascii="Arial" w:cs="Arial" w:eastAsia="Arial" w:hAnsi="Arial"/>
          <w:sz w:val="16"/>
          <w:szCs w:val="16"/>
          <w:color w:val="auto"/>
        </w:rPr>
      </w:pPr>
      <w:r>
        <w:rPr>
          <w:rFonts w:ascii="Arial" w:cs="Arial" w:eastAsia="Arial" w:hAnsi="Arial"/>
          <w:sz w:val="16"/>
          <w:szCs w:val="16"/>
          <w:b w:val="1"/>
          <w:bCs w:val="1"/>
          <w:u w:val="single" w:color="auto"/>
          <w:color w:val="auto"/>
        </w:rPr>
        <w:t>Award</w:t>
      </w:r>
      <w:r>
        <w:rPr>
          <w:rFonts w:ascii="Arial" w:cs="Arial" w:eastAsia="Arial" w:hAnsi="Arial"/>
          <w:sz w:val="16"/>
          <w:szCs w:val="16"/>
          <w:color w:val="auto"/>
        </w:rPr>
        <w:t>.</w:t>
      </w:r>
    </w:p>
    <w:p>
      <w:pPr>
        <w:spacing w:after="0" w:line="194" w:lineRule="exact"/>
        <w:rPr>
          <w:sz w:val="20"/>
          <w:szCs w:val="20"/>
          <w:color w:val="auto"/>
        </w:rPr>
      </w:pPr>
    </w:p>
    <w:p>
      <w:pPr>
        <w:ind w:left="820" w:hanging="611"/>
        <w:spacing w:after="0"/>
        <w:tabs>
          <w:tab w:leader="none" w:pos="820" w:val="left"/>
        </w:tabs>
        <w:numPr>
          <w:ilvl w:val="0"/>
          <w:numId w:val="41"/>
        </w:numPr>
        <w:rPr>
          <w:rFonts w:ascii="Arial" w:cs="Arial" w:eastAsia="Arial" w:hAnsi="Arial"/>
          <w:sz w:val="16"/>
          <w:szCs w:val="16"/>
          <w:color w:val="auto"/>
        </w:rPr>
      </w:pPr>
      <w:r>
        <w:rPr>
          <w:rFonts w:ascii="Arial" w:cs="Arial" w:eastAsia="Arial" w:hAnsi="Arial"/>
          <w:sz w:val="16"/>
          <w:szCs w:val="16"/>
          <w:b w:val="1"/>
          <w:bCs w:val="1"/>
          <w:color w:val="auto"/>
        </w:rPr>
        <w:t>Shares</w:t>
      </w:r>
      <w:r>
        <w:rPr>
          <w:rFonts w:ascii="Arial" w:cs="Arial" w:eastAsia="Arial" w:hAnsi="Arial"/>
          <w:sz w:val="16"/>
          <w:szCs w:val="16"/>
          <w:color w:val="auto"/>
        </w:rPr>
        <w:t>. Pursuant to the Plan, upon acceptance by Grantee, Grantee will receive an award (the “Award”) of</w:t>
      </w:r>
    </w:p>
    <w:p>
      <w:pPr>
        <w:spacing w:after="0" w:line="34" w:lineRule="exact"/>
        <w:rPr>
          <w:rFonts w:ascii="Arial" w:cs="Arial" w:eastAsia="Arial" w:hAnsi="Arial"/>
          <w:sz w:val="16"/>
          <w:szCs w:val="16"/>
          <w:color w:val="auto"/>
        </w:rPr>
      </w:pPr>
    </w:p>
    <w:p>
      <w:pPr>
        <w:ind w:left="200" w:right="499"/>
        <w:spacing w:after="0" w:line="256" w:lineRule="auto"/>
        <w:rPr>
          <w:rFonts w:ascii="Arial" w:cs="Arial" w:eastAsia="Arial" w:hAnsi="Arial"/>
          <w:sz w:val="16"/>
          <w:szCs w:val="16"/>
          <w:color w:val="auto"/>
        </w:rPr>
      </w:pPr>
      <w:r>
        <w:rPr>
          <w:rFonts w:ascii="Arial" w:cs="Arial" w:eastAsia="Arial" w:hAnsi="Arial"/>
          <w:sz w:val="16"/>
          <w:szCs w:val="16"/>
          <w:color w:val="auto"/>
        </w:rPr>
        <w:t>###TOTAL_AWARDS### Restricted Stock Units, subject to the terms and conditions set forth in this Agreement and the Plan. A bookkeeping account will be maintained by the Company to keep track of the Restricted Stock Units and any dividend equivalent rights that may accrue as provided in Section 4.</w:t>
      </w:r>
    </w:p>
    <w:p>
      <w:pPr>
        <w:spacing w:after="0" w:line="164" w:lineRule="exact"/>
        <w:rPr>
          <w:rFonts w:ascii="Arial" w:cs="Arial" w:eastAsia="Arial" w:hAnsi="Arial"/>
          <w:sz w:val="16"/>
          <w:szCs w:val="16"/>
          <w:color w:val="auto"/>
        </w:rPr>
      </w:pPr>
    </w:p>
    <w:p>
      <w:pPr>
        <w:jc w:val="both"/>
        <w:ind w:left="200" w:right="699" w:firstLine="9"/>
        <w:spacing w:after="0" w:line="266" w:lineRule="auto"/>
        <w:tabs>
          <w:tab w:leader="none" w:pos="893" w:val="left"/>
        </w:tabs>
        <w:numPr>
          <w:ilvl w:val="0"/>
          <w:numId w:val="41"/>
        </w:numPr>
        <w:rPr>
          <w:rFonts w:ascii="Arial" w:cs="Arial" w:eastAsia="Arial" w:hAnsi="Arial"/>
          <w:sz w:val="16"/>
          <w:szCs w:val="16"/>
          <w:color w:val="auto"/>
        </w:rPr>
      </w:pPr>
      <w:r>
        <w:rPr>
          <w:rFonts w:ascii="Arial" w:cs="Arial" w:eastAsia="Arial" w:hAnsi="Arial"/>
          <w:sz w:val="16"/>
          <w:szCs w:val="16"/>
          <w:b w:val="1"/>
          <w:bCs w:val="1"/>
          <w:color w:val="auto"/>
        </w:rPr>
        <w:t>Acceptance of Award</w:t>
      </w:r>
      <w:r>
        <w:rPr>
          <w:rFonts w:ascii="Arial" w:cs="Arial" w:eastAsia="Arial" w:hAnsi="Arial"/>
          <w:sz w:val="16"/>
          <w:szCs w:val="16"/>
          <w:color w:val="auto"/>
        </w:rPr>
        <w:t>. Grantee shall execute and deliver to the Company a copy of this Agreement to</w:t>
      </w:r>
      <w:r>
        <w:rPr>
          <w:rFonts w:ascii="Arial" w:cs="Arial" w:eastAsia="Arial" w:hAnsi="Arial"/>
          <w:sz w:val="16"/>
          <w:szCs w:val="16"/>
          <w:b w:val="1"/>
          <w:bCs w:val="1"/>
          <w:color w:val="auto"/>
        </w:rPr>
        <w:t xml:space="preserve"> </w:t>
      </w:r>
      <w:r>
        <w:rPr>
          <w:rFonts w:ascii="Arial" w:cs="Arial" w:eastAsia="Arial" w:hAnsi="Arial"/>
          <w:sz w:val="16"/>
          <w:szCs w:val="16"/>
          <w:color w:val="auto"/>
        </w:rPr>
        <w:t>accept the Award, which may be by means of electronic signature or by means of the Company’s equity incentive management plan software portal.</w:t>
      </w:r>
    </w:p>
    <w:p>
      <w:pPr>
        <w:spacing w:after="0" w:line="157" w:lineRule="exact"/>
        <w:rPr>
          <w:rFonts w:ascii="Arial" w:cs="Arial" w:eastAsia="Arial" w:hAnsi="Arial"/>
          <w:sz w:val="16"/>
          <w:szCs w:val="16"/>
          <w:color w:val="auto"/>
        </w:rPr>
      </w:pPr>
    </w:p>
    <w:p>
      <w:pPr>
        <w:jc w:val="both"/>
        <w:ind w:left="200" w:right="339" w:firstLine="9"/>
        <w:spacing w:after="0" w:line="257" w:lineRule="auto"/>
        <w:tabs>
          <w:tab w:leader="none" w:pos="884" w:val="left"/>
        </w:tabs>
        <w:numPr>
          <w:ilvl w:val="0"/>
          <w:numId w:val="41"/>
        </w:numPr>
        <w:rPr>
          <w:rFonts w:ascii="Arial" w:cs="Arial" w:eastAsia="Arial" w:hAnsi="Arial"/>
          <w:sz w:val="16"/>
          <w:szCs w:val="16"/>
          <w:color w:val="auto"/>
        </w:rPr>
      </w:pPr>
      <w:r>
        <w:rPr>
          <w:rFonts w:ascii="Arial" w:cs="Arial" w:eastAsia="Arial" w:hAnsi="Arial"/>
          <w:sz w:val="16"/>
          <w:szCs w:val="16"/>
          <w:b w:val="1"/>
          <w:bCs w:val="1"/>
          <w:color w:val="auto"/>
        </w:rPr>
        <w:t>Plan Incorporated</w:t>
      </w:r>
      <w:r>
        <w:rPr>
          <w:rFonts w:ascii="Arial" w:cs="Arial" w:eastAsia="Arial" w:hAnsi="Arial"/>
          <w:sz w:val="16"/>
          <w:szCs w:val="16"/>
          <w:color w:val="auto"/>
        </w:rPr>
        <w:t>. Grantee acknowledges receipt of a copy of the Plan and agrees that this Award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and governed by all of the terms and conditions set forth in the Plan, including future amendments thereto, if any, pursuant to the terms thereof, which Plan is incorporated herein by reference as a part of this Agreement.</w:t>
      </w:r>
    </w:p>
    <w:p>
      <w:pPr>
        <w:spacing w:after="0" w:line="1" w:lineRule="exact"/>
        <w:rPr>
          <w:rFonts w:ascii="Arial" w:cs="Arial" w:eastAsia="Arial" w:hAnsi="Arial"/>
          <w:sz w:val="16"/>
          <w:szCs w:val="16"/>
          <w:color w:val="auto"/>
        </w:rPr>
      </w:pPr>
    </w:p>
    <w:p>
      <w:pPr>
        <w:ind w:left="200" w:right="899"/>
        <w:spacing w:after="0" w:line="270" w:lineRule="auto"/>
        <w:rPr>
          <w:rFonts w:ascii="Arial" w:cs="Arial" w:eastAsia="Arial" w:hAnsi="Arial"/>
          <w:sz w:val="16"/>
          <w:szCs w:val="16"/>
          <w:color w:val="auto"/>
        </w:rPr>
      </w:pPr>
      <w:r>
        <w:rPr>
          <w:rFonts w:ascii="Arial" w:cs="Arial" w:eastAsia="Arial" w:hAnsi="Arial"/>
          <w:sz w:val="16"/>
          <w:szCs w:val="16"/>
          <w:color w:val="auto"/>
        </w:rPr>
        <w:t>Capitalized terms in this Agreement shall have the meaning specified in the Plan, unless a different meaning is specified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715645</wp:posOffset>
            </wp:positionV>
            <wp:extent cx="545211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9" w:name="page60"/>
    <w:bookmarkEnd w:id="59"/>
    <w:p>
      <w:pPr>
        <w:ind w:left="200"/>
        <w:spacing w:after="0"/>
        <w:rPr>
          <w:sz w:val="20"/>
          <w:szCs w:val="20"/>
          <w:color w:val="auto"/>
        </w:rPr>
      </w:pPr>
      <w:r>
        <w:rPr>
          <w:rFonts w:ascii="Times New Roman" w:cs="Times New Roman" w:eastAsia="Times New Roman" w:hAnsi="Times New Roman"/>
          <w:sz w:val="20"/>
          <w:szCs w:val="20"/>
          <w:color w:val="auto"/>
        </w:rPr>
        <w:t>[Type here]</w:t>
      </w:r>
    </w:p>
    <w:p>
      <w:pPr>
        <w:spacing w:after="0" w:line="200" w:lineRule="exact"/>
        <w:rPr>
          <w:sz w:val="20"/>
          <w:szCs w:val="20"/>
          <w:color w:val="auto"/>
        </w:rPr>
      </w:pPr>
    </w:p>
    <w:p>
      <w:pPr>
        <w:spacing w:after="0" w:line="227" w:lineRule="exact"/>
        <w:rPr>
          <w:sz w:val="20"/>
          <w:szCs w:val="20"/>
          <w:color w:val="auto"/>
        </w:rPr>
      </w:pPr>
    </w:p>
    <w:p>
      <w:pPr>
        <w:ind w:left="200" w:right="339" w:firstLine="9"/>
        <w:spacing w:after="0" w:line="260" w:lineRule="auto"/>
        <w:tabs>
          <w:tab w:leader="none" w:pos="848" w:val="left"/>
        </w:tabs>
        <w:numPr>
          <w:ilvl w:val="0"/>
          <w:numId w:val="42"/>
        </w:numPr>
        <w:rPr>
          <w:rFonts w:ascii="Arial" w:cs="Arial" w:eastAsia="Arial" w:hAnsi="Arial"/>
          <w:sz w:val="16"/>
          <w:szCs w:val="16"/>
          <w:color w:val="auto"/>
        </w:rPr>
      </w:pPr>
      <w:r>
        <w:rPr>
          <w:rFonts w:ascii="Arial" w:cs="Arial" w:eastAsia="Arial" w:hAnsi="Arial"/>
          <w:sz w:val="16"/>
          <w:szCs w:val="16"/>
          <w:b w:val="1"/>
          <w:bCs w:val="1"/>
          <w:color w:val="auto"/>
        </w:rPr>
        <w:t>Forfeiture; Transferability</w:t>
      </w:r>
      <w:r>
        <w:rPr>
          <w:rFonts w:ascii="Arial" w:cs="Arial" w:eastAsia="Arial" w:hAnsi="Arial"/>
          <w:sz w:val="16"/>
          <w:szCs w:val="16"/>
          <w:color w:val="auto"/>
        </w:rPr>
        <w:t>. Grantee’s rights with respect to any unvested portion of the Award shall remain</w:t>
      </w:r>
      <w:r>
        <w:rPr>
          <w:rFonts w:ascii="Arial" w:cs="Arial" w:eastAsia="Arial" w:hAnsi="Arial"/>
          <w:sz w:val="16"/>
          <w:szCs w:val="16"/>
          <w:b w:val="1"/>
          <w:bCs w:val="1"/>
          <w:color w:val="auto"/>
        </w:rPr>
        <w:t xml:space="preserve"> </w:t>
      </w:r>
      <w:r>
        <w:rPr>
          <w:rFonts w:ascii="Arial" w:cs="Arial" w:eastAsia="Arial" w:hAnsi="Arial"/>
          <w:sz w:val="16"/>
          <w:szCs w:val="16"/>
          <w:color w:val="auto"/>
        </w:rPr>
        <w:t>forfeitable at all times prior to the dates on which the Restricted Period (as defined below) of such portion of the Award shall expire or terminate in accordance with Section 2. This Award may not be assigned, alienated, pledged, attached, sold or otherwise transferred or encumbered by Grantee other than by will or the laws of descent and distribution or as otherwise permitted by the Plan.</w:t>
      </w:r>
    </w:p>
    <w:p>
      <w:pPr>
        <w:spacing w:after="0" w:line="164" w:lineRule="exact"/>
        <w:rPr>
          <w:sz w:val="20"/>
          <w:szCs w:val="20"/>
          <w:color w:val="auto"/>
        </w:rPr>
      </w:pPr>
    </w:p>
    <w:p>
      <w:pPr>
        <w:ind w:left="860" w:hanging="651"/>
        <w:spacing w:after="0"/>
        <w:tabs>
          <w:tab w:leader="none" w:pos="860" w:val="left"/>
        </w:tabs>
        <w:numPr>
          <w:ilvl w:val="0"/>
          <w:numId w:val="4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Vesting of the Award</w:t>
      </w:r>
      <w:r>
        <w:rPr>
          <w:rFonts w:ascii="Arial" w:cs="Arial" w:eastAsia="Arial" w:hAnsi="Arial"/>
          <w:sz w:val="16"/>
          <w:szCs w:val="16"/>
          <w:b w:val="1"/>
          <w:bCs w:val="1"/>
          <w:color w:val="auto"/>
        </w:rPr>
        <w:t>.</w:t>
      </w:r>
    </w:p>
    <w:p>
      <w:pPr>
        <w:spacing w:after="0" w:line="194" w:lineRule="exact"/>
        <w:rPr>
          <w:sz w:val="20"/>
          <w:szCs w:val="20"/>
          <w:color w:val="auto"/>
        </w:rPr>
      </w:pPr>
    </w:p>
    <w:p>
      <w:pPr>
        <w:ind w:left="200" w:right="359" w:firstLine="9"/>
        <w:spacing w:after="0" w:line="265" w:lineRule="auto"/>
        <w:tabs>
          <w:tab w:leader="none" w:pos="848" w:val="left"/>
        </w:tabs>
        <w:numPr>
          <w:ilvl w:val="0"/>
          <w:numId w:val="44"/>
        </w:numPr>
        <w:rPr>
          <w:rFonts w:ascii="Arial" w:cs="Arial" w:eastAsia="Arial" w:hAnsi="Arial"/>
          <w:sz w:val="16"/>
          <w:szCs w:val="16"/>
          <w:color w:val="auto"/>
        </w:rPr>
      </w:pPr>
      <w:r>
        <w:rPr>
          <w:rFonts w:ascii="Arial" w:cs="Arial" w:eastAsia="Arial" w:hAnsi="Arial"/>
          <w:sz w:val="16"/>
          <w:szCs w:val="16"/>
          <w:b w:val="1"/>
          <w:bCs w:val="1"/>
          <w:color w:val="auto"/>
        </w:rPr>
        <w:t xml:space="preserve">Vesting Schedule. </w:t>
      </w:r>
      <w:r>
        <w:rPr>
          <w:rFonts w:ascii="Arial" w:cs="Arial" w:eastAsia="Arial" w:hAnsi="Arial"/>
          <w:sz w:val="16"/>
          <w:szCs w:val="16"/>
          <w:color w:val="auto"/>
        </w:rPr>
        <w:t>Except as provided herein and subject to such other exceptions as may be determined</w:t>
      </w:r>
      <w:r>
        <w:rPr>
          <w:rFonts w:ascii="Arial" w:cs="Arial" w:eastAsia="Arial" w:hAnsi="Arial"/>
          <w:sz w:val="16"/>
          <w:szCs w:val="16"/>
          <w:b w:val="1"/>
          <w:bCs w:val="1"/>
          <w:color w:val="auto"/>
        </w:rPr>
        <w:t xml:space="preserve"> </w:t>
      </w:r>
      <w:r>
        <w:rPr>
          <w:rFonts w:ascii="Arial" w:cs="Arial" w:eastAsia="Arial" w:hAnsi="Arial"/>
          <w:sz w:val="16"/>
          <w:szCs w:val="16"/>
          <w:color w:val="auto"/>
        </w:rPr>
        <w:t>by the Committee in its sole discretion (subject to Section 7.4 of the Plan), the “Restricted Period” with respect to each Restricted Stock Unit contained in the Award means the period beginning on the Grant Date and expiring with respect to each such Restricted Stock Unit as follows:</w:t>
      </w:r>
    </w:p>
    <w:p>
      <w:pPr>
        <w:spacing w:after="0" w:line="146" w:lineRule="exact"/>
        <w:rPr>
          <w:sz w:val="20"/>
          <w:szCs w:val="20"/>
          <w:color w:val="auto"/>
        </w:rPr>
      </w:pPr>
    </w:p>
    <w:p>
      <w:pPr>
        <w:ind w:left="860"/>
        <w:spacing w:after="0"/>
        <w:rPr>
          <w:sz w:val="20"/>
          <w:szCs w:val="20"/>
          <w:color w:val="auto"/>
        </w:rPr>
      </w:pPr>
      <w:r>
        <w:rPr>
          <w:rFonts w:ascii="Arial" w:cs="Arial" w:eastAsia="Arial" w:hAnsi="Arial"/>
          <w:sz w:val="16"/>
          <w:szCs w:val="16"/>
          <w:color w:val="auto"/>
        </w:rPr>
        <w:t>###VEST_SCHEDULE_TABLE###</w:t>
      </w:r>
    </w:p>
    <w:p>
      <w:pPr>
        <w:spacing w:after="0" w:line="208" w:lineRule="exact"/>
        <w:rPr>
          <w:sz w:val="20"/>
          <w:szCs w:val="20"/>
          <w:color w:val="auto"/>
        </w:rPr>
      </w:pPr>
    </w:p>
    <w:p>
      <w:pPr>
        <w:ind w:left="200" w:right="359" w:firstLine="9"/>
        <w:spacing w:after="0" w:line="257" w:lineRule="auto"/>
        <w:tabs>
          <w:tab w:leader="none" w:pos="848" w:val="left"/>
        </w:tabs>
        <w:numPr>
          <w:ilvl w:val="0"/>
          <w:numId w:val="45"/>
        </w:numPr>
        <w:rPr>
          <w:rFonts w:ascii="Arial" w:cs="Arial" w:eastAsia="Arial" w:hAnsi="Arial"/>
          <w:sz w:val="16"/>
          <w:szCs w:val="16"/>
          <w:color w:val="auto"/>
        </w:rPr>
      </w:pPr>
      <w:r>
        <w:rPr>
          <w:rFonts w:ascii="Arial" w:cs="Arial" w:eastAsia="Arial" w:hAnsi="Arial"/>
          <w:sz w:val="16"/>
          <w:szCs w:val="16"/>
          <w:b w:val="1"/>
          <w:bCs w:val="1"/>
          <w:color w:val="auto"/>
        </w:rPr>
        <w:t xml:space="preserve">Effect of Termination of Employment. </w:t>
      </w:r>
      <w:r>
        <w:rPr>
          <w:rFonts w:ascii="Arial" w:cs="Arial" w:eastAsia="Arial" w:hAnsi="Arial"/>
          <w:sz w:val="16"/>
          <w:szCs w:val="16"/>
          <w:color w:val="auto"/>
        </w:rPr>
        <w:t>Except as otherwise determined by the Committee in its sole</w:t>
      </w:r>
      <w:r>
        <w:rPr>
          <w:rFonts w:ascii="Arial" w:cs="Arial" w:eastAsia="Arial" w:hAnsi="Arial"/>
          <w:sz w:val="16"/>
          <w:szCs w:val="16"/>
          <w:b w:val="1"/>
          <w:bCs w:val="1"/>
          <w:color w:val="auto"/>
        </w:rPr>
        <w:t xml:space="preserve"> </w:t>
      </w:r>
      <w:r>
        <w:rPr>
          <w:rFonts w:ascii="Arial" w:cs="Arial" w:eastAsia="Arial" w:hAnsi="Arial"/>
          <w:sz w:val="16"/>
          <w:szCs w:val="16"/>
          <w:color w:val="auto"/>
        </w:rPr>
        <w:t>discretion at or after the grant of the Award hereunder (subject to Section 7.4 of the Plan), in the event that Grantee’s employment with the Company or its Subsidiaries or Affiliates is terminated (other than by reason of death, Disability or an approved retirement of such Grantee (as determined by the Committee in its sole discretion) prior to the expiration or termination of the Restricted Period applicable to any Restricted Stock Units (including dividend equivalent rights related thereto that have accrued pursuant to Section 4) granted hereby, Grantee shall forfeit such Restricted Stock Units as to which the Restricted Period has not expired, and all of Grantee’s rights with respect thereto shall cease.</w:t>
      </w:r>
    </w:p>
    <w:p>
      <w:pPr>
        <w:spacing w:after="0" w:line="348" w:lineRule="exact"/>
        <w:rPr>
          <w:rFonts w:ascii="Arial" w:cs="Arial" w:eastAsia="Arial" w:hAnsi="Arial"/>
          <w:sz w:val="16"/>
          <w:szCs w:val="16"/>
          <w:color w:val="auto"/>
        </w:rPr>
      </w:pPr>
    </w:p>
    <w:p>
      <w:pPr>
        <w:ind w:left="200" w:right="339" w:firstLine="9"/>
        <w:spacing w:after="0" w:line="259" w:lineRule="auto"/>
        <w:tabs>
          <w:tab w:leader="none" w:pos="848" w:val="left"/>
        </w:tabs>
        <w:numPr>
          <w:ilvl w:val="0"/>
          <w:numId w:val="45"/>
        </w:numPr>
        <w:rPr>
          <w:rFonts w:ascii="Arial" w:cs="Arial" w:eastAsia="Arial" w:hAnsi="Arial"/>
          <w:sz w:val="16"/>
          <w:szCs w:val="16"/>
          <w:color w:val="auto"/>
        </w:rPr>
      </w:pPr>
      <w:r>
        <w:rPr>
          <w:rFonts w:ascii="Arial" w:cs="Arial" w:eastAsia="Arial" w:hAnsi="Arial"/>
          <w:sz w:val="16"/>
          <w:szCs w:val="16"/>
          <w:b w:val="1"/>
          <w:bCs w:val="1"/>
          <w:color w:val="auto"/>
        </w:rPr>
        <w:t xml:space="preserve">Effect of Termination Due to Death, Disability or Approved Retirement. </w:t>
      </w:r>
      <w:r>
        <w:rPr>
          <w:rFonts w:ascii="Arial" w:cs="Arial" w:eastAsia="Arial" w:hAnsi="Arial"/>
          <w:sz w:val="16"/>
          <w:szCs w:val="16"/>
          <w:color w:val="auto"/>
        </w:rPr>
        <w:t>If Grantee’s employment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or its Subsidiaries or Affiliates is terminated because of death, Disability or an approved retirement of such Grantee (as determined by the Committee in its sole discretion), the Restricted Period shall automatically terminate as to all Restricted Stock Units (including all dividend equivalent rights related thereto that have accrued pursuant to Section 4) awarded hereunder (as to which such Restricted Period has not previously terminated) and the Shares shall thereafter be issued to Grantee (or to Grantee’s transferee pursuant to Section 1(d) as the case may be) in accordance with Section 3.</w:t>
      </w:r>
    </w:p>
    <w:p>
      <w:pPr>
        <w:spacing w:after="0" w:line="162" w:lineRule="exact"/>
        <w:rPr>
          <w:rFonts w:ascii="Arial" w:cs="Arial" w:eastAsia="Arial" w:hAnsi="Arial"/>
          <w:sz w:val="16"/>
          <w:szCs w:val="16"/>
          <w:color w:val="auto"/>
        </w:rPr>
      </w:pPr>
    </w:p>
    <w:p>
      <w:pPr>
        <w:ind w:left="200" w:right="339" w:firstLine="9"/>
        <w:spacing w:after="0" w:line="258" w:lineRule="auto"/>
        <w:tabs>
          <w:tab w:leader="none" w:pos="848" w:val="left"/>
        </w:tabs>
        <w:numPr>
          <w:ilvl w:val="0"/>
          <w:numId w:val="45"/>
        </w:numPr>
        <w:rPr>
          <w:rFonts w:ascii="Arial" w:cs="Arial" w:eastAsia="Arial" w:hAnsi="Arial"/>
          <w:sz w:val="16"/>
          <w:szCs w:val="16"/>
          <w:color w:val="auto"/>
        </w:rPr>
      </w:pPr>
      <w:r>
        <w:rPr>
          <w:rFonts w:ascii="Arial" w:cs="Arial" w:eastAsia="Arial" w:hAnsi="Arial"/>
          <w:sz w:val="16"/>
          <w:szCs w:val="16"/>
          <w:b w:val="1"/>
          <w:bCs w:val="1"/>
          <w:color w:val="auto"/>
        </w:rPr>
        <w:t xml:space="preserve">Vesting on Change of Control. </w:t>
      </w:r>
      <w:r>
        <w:rPr>
          <w:rFonts w:ascii="Arial" w:cs="Arial" w:eastAsia="Arial" w:hAnsi="Arial"/>
          <w:sz w:val="16"/>
          <w:szCs w:val="16"/>
          <w:color w:val="auto"/>
        </w:rPr>
        <w:t>Notwithstanding anything contained herein to the contrary, upon the</w:t>
      </w:r>
      <w:r>
        <w:rPr>
          <w:rFonts w:ascii="Arial" w:cs="Arial" w:eastAsia="Arial" w:hAnsi="Arial"/>
          <w:sz w:val="16"/>
          <w:szCs w:val="16"/>
          <w:b w:val="1"/>
          <w:bCs w:val="1"/>
          <w:color w:val="auto"/>
        </w:rPr>
        <w:t xml:space="preserve"> </w:t>
      </w:r>
      <w:r>
        <w:rPr>
          <w:rFonts w:ascii="Arial" w:cs="Arial" w:eastAsia="Arial" w:hAnsi="Arial"/>
          <w:sz w:val="16"/>
          <w:szCs w:val="16"/>
          <w:color w:val="auto"/>
        </w:rPr>
        <w:t>occurrence of a Change in Control (as defined in the Plan) the Restricted Period shall automatically terminate as to all Restricted Stock Units (including all dividend equivalent rights related thereto that have accrued pursuant to Section 4) awarded hereunder (as to which such Restricted Period has not previously terminated) and the Shares shall thereafter be issued to Grantee (or to Grantee’s transferee pursuant to Section 1(d) as the case may be) in accordance with Section 3.</w:t>
      </w:r>
    </w:p>
    <w:p>
      <w:pPr>
        <w:spacing w:after="0" w:line="150" w:lineRule="exact"/>
        <w:rPr>
          <w:sz w:val="20"/>
          <w:szCs w:val="20"/>
          <w:color w:val="auto"/>
        </w:rPr>
      </w:pPr>
    </w:p>
    <w:p>
      <w:pPr>
        <w:ind w:left="200" w:right="359" w:firstLine="9"/>
        <w:spacing w:after="0" w:line="259" w:lineRule="auto"/>
        <w:tabs>
          <w:tab w:leader="none" w:pos="848" w:val="left"/>
        </w:tabs>
        <w:numPr>
          <w:ilvl w:val="0"/>
          <w:numId w:val="4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Payment of Vested Restricted Stock Units</w:t>
      </w:r>
      <w:r>
        <w:rPr>
          <w:rFonts w:ascii="Arial" w:cs="Arial" w:eastAsia="Arial" w:hAnsi="Arial"/>
          <w:sz w:val="16"/>
          <w:szCs w:val="16"/>
          <w:b w:val="1"/>
          <w:bCs w:val="1"/>
          <w:color w:val="auto"/>
        </w:rPr>
        <w:t xml:space="preserve">. </w:t>
      </w:r>
      <w:r>
        <w:rPr>
          <w:rFonts w:ascii="Arial" w:cs="Arial" w:eastAsia="Arial" w:hAnsi="Arial"/>
          <w:sz w:val="16"/>
          <w:szCs w:val="16"/>
          <w:color w:val="auto"/>
        </w:rPr>
        <w:t>Grantee shall be entitled to receive one Share for each</w:t>
      </w:r>
      <w:r>
        <w:rPr>
          <w:rFonts w:ascii="Arial" w:cs="Arial" w:eastAsia="Arial" w:hAnsi="Arial"/>
          <w:sz w:val="16"/>
          <w:szCs w:val="16"/>
          <w:b w:val="1"/>
          <w:bCs w:val="1"/>
          <w:color w:val="auto"/>
        </w:rPr>
        <w:t xml:space="preserve"> </w:t>
      </w:r>
      <w:r>
        <w:rPr>
          <w:rFonts w:ascii="Arial" w:cs="Arial" w:eastAsia="Arial" w:hAnsi="Arial"/>
          <w:sz w:val="16"/>
          <w:szCs w:val="16"/>
          <w:color w:val="auto"/>
        </w:rPr>
        <w:t>Restricted Stock Unit with respect to which the Restricted Period expires pursuant to Section 2 or otherwise terminates. Subject to the provisions of the Plan and Section 8(a) hereof, such payment shall be made through the issuance to Grantee, as promptly as practicable thereafter (or to the executors or administrators of Grantee’s estate, as promptly as practicable after the Company’s receipt of notification of Grantee’s death, as the case may be), of a number of Shares equal to the number of such Restricted Stock Units with respect to which the Restricted Period shall have expired or terminated.</w:t>
      </w:r>
    </w:p>
    <w:p>
      <w:pPr>
        <w:spacing w:after="0" w:line="149" w:lineRule="exact"/>
        <w:rPr>
          <w:rFonts w:ascii="Arial" w:cs="Arial" w:eastAsia="Arial" w:hAnsi="Arial"/>
          <w:sz w:val="16"/>
          <w:szCs w:val="16"/>
          <w:b w:val="1"/>
          <w:bCs w:val="1"/>
          <w:color w:val="auto"/>
        </w:rPr>
      </w:pPr>
    </w:p>
    <w:p>
      <w:pPr>
        <w:ind w:left="860" w:hanging="651"/>
        <w:spacing w:after="0"/>
        <w:tabs>
          <w:tab w:leader="none" w:pos="860" w:val="left"/>
        </w:tabs>
        <w:numPr>
          <w:ilvl w:val="0"/>
          <w:numId w:val="4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Dividend Equivalent Rights</w:t>
      </w:r>
      <w:r>
        <w:rPr>
          <w:rFonts w:ascii="Arial" w:cs="Arial" w:eastAsia="Arial" w:hAnsi="Arial"/>
          <w:sz w:val="16"/>
          <w:szCs w:val="16"/>
          <w:b w:val="1"/>
          <w:bCs w:val="1"/>
          <w:color w:val="auto"/>
        </w:rPr>
        <w:t>.</w:t>
      </w:r>
    </w:p>
    <w:p>
      <w:pPr>
        <w:spacing w:after="0" w:line="221" w:lineRule="exact"/>
        <w:rPr>
          <w:sz w:val="20"/>
          <w:szCs w:val="20"/>
          <w:color w:val="auto"/>
        </w:rPr>
      </w:pPr>
    </w:p>
    <w:p>
      <w:pPr>
        <w:ind w:left="200" w:right="339" w:firstLine="9"/>
        <w:spacing w:after="0" w:line="255" w:lineRule="auto"/>
        <w:tabs>
          <w:tab w:leader="none" w:pos="848" w:val="left"/>
        </w:tabs>
        <w:numPr>
          <w:ilvl w:val="0"/>
          <w:numId w:val="47"/>
        </w:numPr>
        <w:rPr>
          <w:rFonts w:ascii="Arial" w:cs="Arial" w:eastAsia="Arial" w:hAnsi="Arial"/>
          <w:sz w:val="16"/>
          <w:szCs w:val="16"/>
          <w:color w:val="auto"/>
        </w:rPr>
      </w:pPr>
      <w:r>
        <w:rPr>
          <w:rFonts w:ascii="Arial" w:cs="Arial" w:eastAsia="Arial" w:hAnsi="Arial"/>
          <w:sz w:val="16"/>
          <w:szCs w:val="16"/>
          <w:b w:val="1"/>
          <w:bCs w:val="1"/>
          <w:color w:val="auto"/>
        </w:rPr>
        <w:t>Dividend Equivalent Rights; Committee Determination</w:t>
      </w:r>
      <w:r>
        <w:rPr>
          <w:rFonts w:ascii="Arial" w:cs="Arial" w:eastAsia="Arial" w:hAnsi="Arial"/>
          <w:sz w:val="16"/>
          <w:szCs w:val="16"/>
          <w:color w:val="auto"/>
        </w:rPr>
        <w:t>. Grantee shall receive dividend equivalent rights in</w:t>
      </w:r>
      <w:r>
        <w:rPr>
          <w:rFonts w:ascii="Arial" w:cs="Arial" w:eastAsia="Arial" w:hAnsi="Arial"/>
          <w:sz w:val="16"/>
          <w:szCs w:val="16"/>
          <w:b w:val="1"/>
          <w:bCs w:val="1"/>
          <w:color w:val="auto"/>
        </w:rPr>
        <w:t xml:space="preserve"> </w:t>
      </w:r>
      <w:r>
        <w:rPr>
          <w:rFonts w:ascii="Arial" w:cs="Arial" w:eastAsia="Arial" w:hAnsi="Arial"/>
          <w:sz w:val="16"/>
          <w:szCs w:val="16"/>
          <w:color w:val="auto"/>
        </w:rPr>
        <w:t>respect of the Restricted Stock Units granted pursuant to this Agreement as of the record date for any dividends payable to stockholders on Shares; provided that unless otherwise determined by the Committee, dividend equivalent rights in respect of any dividend payable to stockholders in cash shall be granted in the form of cash accruals, and dividend equivalent rights in respect of any dividend payable to stockholders in the form of Shares or other property shall be granted in the form of additional Restricted Stock Units (such additional Restricted Stock Units, “Dividend Equivalent Units”). For the avoidance of doubt, no dividend equivalent rights shall accrue under this Section 4(a) with respect to a distribution in the event that the Committee provides for dividend equivalent rights or other adjustments pursuant to Section 6 with respect to such distribution.</w:t>
      </w:r>
    </w:p>
    <w:p>
      <w:pPr>
        <w:spacing w:after="0" w:line="184" w:lineRule="exact"/>
        <w:rPr>
          <w:rFonts w:ascii="Arial" w:cs="Arial" w:eastAsia="Arial" w:hAnsi="Arial"/>
          <w:sz w:val="16"/>
          <w:szCs w:val="16"/>
          <w:color w:val="auto"/>
        </w:rPr>
      </w:pPr>
    </w:p>
    <w:p>
      <w:pPr>
        <w:ind w:left="200" w:right="679" w:firstLine="9"/>
        <w:spacing w:after="0" w:line="286" w:lineRule="auto"/>
        <w:tabs>
          <w:tab w:leader="none" w:pos="848" w:val="left"/>
        </w:tabs>
        <w:numPr>
          <w:ilvl w:val="0"/>
          <w:numId w:val="47"/>
        </w:numPr>
        <w:rPr>
          <w:rFonts w:ascii="Arial" w:cs="Arial" w:eastAsia="Arial" w:hAnsi="Arial"/>
          <w:sz w:val="16"/>
          <w:szCs w:val="16"/>
          <w:color w:val="auto"/>
        </w:rPr>
      </w:pPr>
      <w:r>
        <w:rPr>
          <w:rFonts w:ascii="Arial" w:cs="Arial" w:eastAsia="Arial" w:hAnsi="Arial"/>
          <w:sz w:val="16"/>
          <w:szCs w:val="16"/>
          <w:b w:val="1"/>
          <w:bCs w:val="1"/>
          <w:color w:val="auto"/>
        </w:rPr>
        <w:t xml:space="preserve">Dividend Equivalents Accrued in Cash. </w:t>
      </w:r>
      <w:r>
        <w:rPr>
          <w:rFonts w:ascii="Arial" w:cs="Arial" w:eastAsia="Arial" w:hAnsi="Arial"/>
          <w:sz w:val="16"/>
          <w:szCs w:val="16"/>
          <w:color w:val="auto"/>
        </w:rPr>
        <w:t>With respect to any dividend equivalent rights in respect of a</w:t>
      </w:r>
      <w:r>
        <w:rPr>
          <w:rFonts w:ascii="Arial" w:cs="Arial" w:eastAsia="Arial" w:hAnsi="Arial"/>
          <w:sz w:val="16"/>
          <w:szCs w:val="16"/>
          <w:b w:val="1"/>
          <w:bCs w:val="1"/>
          <w:color w:val="auto"/>
        </w:rPr>
        <w:t xml:space="preserve"> </w:t>
      </w:r>
      <w:r>
        <w:rPr>
          <w:rFonts w:ascii="Arial" w:cs="Arial" w:eastAsia="Arial" w:hAnsi="Arial"/>
          <w:sz w:val="16"/>
          <w:szCs w:val="16"/>
          <w:color w:val="auto"/>
        </w:rPr>
        <w:t>dividend payable to stockholders in cash that are granted in the form of a cash accrual, at the time any dividend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467995</wp:posOffset>
            </wp:positionV>
            <wp:extent cx="545211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60" w:name="page61"/>
    <w:bookmarkEnd w:id="60"/>
    <w:p>
      <w:pPr>
        <w:ind w:left="200"/>
        <w:spacing w:after="0"/>
        <w:rPr>
          <w:sz w:val="20"/>
          <w:szCs w:val="20"/>
          <w:color w:val="auto"/>
        </w:rPr>
      </w:pPr>
      <w:r>
        <w:rPr>
          <w:rFonts w:ascii="Times New Roman" w:cs="Times New Roman" w:eastAsia="Times New Roman" w:hAnsi="Times New Roman"/>
          <w:sz w:val="20"/>
          <w:szCs w:val="20"/>
          <w:color w:val="auto"/>
        </w:rPr>
        <w:t>[Type here]</w:t>
      </w:r>
    </w:p>
    <w:p>
      <w:pPr>
        <w:spacing w:after="0" w:line="200" w:lineRule="exact"/>
        <w:rPr>
          <w:sz w:val="20"/>
          <w:szCs w:val="20"/>
          <w:color w:val="auto"/>
        </w:rPr>
      </w:pPr>
    </w:p>
    <w:p>
      <w:pPr>
        <w:spacing w:after="0" w:line="227" w:lineRule="exact"/>
        <w:rPr>
          <w:sz w:val="20"/>
          <w:szCs w:val="20"/>
          <w:color w:val="auto"/>
        </w:rPr>
      </w:pPr>
    </w:p>
    <w:p>
      <w:pPr>
        <w:ind w:left="200" w:right="359"/>
        <w:spacing w:after="0" w:line="255" w:lineRule="auto"/>
        <w:rPr>
          <w:sz w:val="20"/>
          <w:szCs w:val="20"/>
          <w:color w:val="auto"/>
        </w:rPr>
      </w:pPr>
      <w:r>
        <w:rPr>
          <w:rFonts w:ascii="Arial" w:cs="Arial" w:eastAsia="Arial" w:hAnsi="Arial"/>
          <w:sz w:val="16"/>
          <w:szCs w:val="16"/>
          <w:color w:val="auto"/>
        </w:rPr>
        <w:t>paid to stockholders on Shares in the form of cash, each Restricted Stock Unit (and each previously granted Dividend Equivalent Unit) granted pursuant to this Agreement and outstanding on the applicable dividend record date will be credited with an amount of cash equal to the cash dividend payable per Share paid to a stockholder as of such time. With respect to any dividend equivalent rights in respect of a dividend payable to stockholders in the form of Shares or other property that are granted in the form of a cash accrual, at the time any dividend is paid to stockholders on Shares in the form of Shares or other property, each Restricted Stock Unit (and each previously accrued Dividend Equivalent Unit) granted pursuant to this Agreement and outstanding on the applicable dividend record date will be credited with an amount of cash equal to the Fair Market Value of the Shares, or of such other property, payable per Share to a stockholder as of such time.</w:t>
      </w:r>
    </w:p>
    <w:p>
      <w:pPr>
        <w:spacing w:after="0" w:line="185" w:lineRule="exact"/>
        <w:rPr>
          <w:sz w:val="20"/>
          <w:szCs w:val="20"/>
          <w:color w:val="auto"/>
        </w:rPr>
      </w:pPr>
    </w:p>
    <w:p>
      <w:pPr>
        <w:ind w:left="200" w:right="359" w:firstLine="9"/>
        <w:spacing w:after="0" w:line="253" w:lineRule="auto"/>
        <w:tabs>
          <w:tab w:leader="none" w:pos="848" w:val="left"/>
        </w:tabs>
        <w:numPr>
          <w:ilvl w:val="0"/>
          <w:numId w:val="48"/>
        </w:numPr>
        <w:rPr>
          <w:rFonts w:ascii="Arial" w:cs="Arial" w:eastAsia="Arial" w:hAnsi="Arial"/>
          <w:sz w:val="16"/>
          <w:szCs w:val="16"/>
          <w:color w:val="auto"/>
        </w:rPr>
      </w:pPr>
      <w:r>
        <w:rPr>
          <w:rFonts w:ascii="Arial" w:cs="Arial" w:eastAsia="Arial" w:hAnsi="Arial"/>
          <w:sz w:val="16"/>
          <w:szCs w:val="16"/>
          <w:b w:val="1"/>
          <w:bCs w:val="1"/>
          <w:color w:val="auto"/>
        </w:rPr>
        <w:t xml:space="preserve">Dividend Equivalent Units. </w:t>
      </w:r>
      <w:r>
        <w:rPr>
          <w:rFonts w:ascii="Arial" w:cs="Arial" w:eastAsia="Arial" w:hAnsi="Arial"/>
          <w:sz w:val="16"/>
          <w:szCs w:val="16"/>
          <w:color w:val="auto"/>
        </w:rPr>
        <w:t>With respect to any dividend equivalent rights that are granted as Dividend</w:t>
      </w:r>
      <w:r>
        <w:rPr>
          <w:rFonts w:ascii="Arial" w:cs="Arial" w:eastAsia="Arial" w:hAnsi="Arial"/>
          <w:sz w:val="16"/>
          <w:szCs w:val="16"/>
          <w:b w:val="1"/>
          <w:bCs w:val="1"/>
          <w:color w:val="auto"/>
        </w:rPr>
        <w:t xml:space="preserve"> </w:t>
      </w:r>
      <w:r>
        <w:rPr>
          <w:rFonts w:ascii="Arial" w:cs="Arial" w:eastAsia="Arial" w:hAnsi="Arial"/>
          <w:sz w:val="16"/>
          <w:szCs w:val="16"/>
          <w:color w:val="auto"/>
        </w:rPr>
        <w:t>Equivalent Units in respect of a dividend payable to stockholders in cash or property other than Shares, at the time any dividend is paid to stockholders on Shares in the form of cash or property other than Shares, the Restricted Stock Units (and previously accrued Dividend Equivalent Units) granted pursuant to this Agreement and outstanding on the applicable dividend record date will be credited with a number of Dividend Equivalent Units equal to the quotient of (A) the amount of cash (or the value of such other property) that is payable per Share held by a stockholder, multiplied by the number of such Restricted Stock Units and previously accrued Dividend Equivalent Units outstanding hereunder, divided by (B) the Fair Market Value of a Share, in each case, determined as of the dividend record date. With respect to any dividend equivalent rights in respect of a dividend that are granted as Dividend Equivalent Units in respect of a dividend payable in Shares, at the time any dividend is paid to stockholders on Shares in the form of Shares, each Restricted Stock Unit (and each previously accrued Dividend Equivalent Unit) granted pursuant to this Agreement and outstanding on the applicable dividend record date will be credited with a number of Dividend Equivalent Units equal to the number of Shares distributable per Share held by a stockholder as of such time. The number of Dividend Equivalent Units granted pursuant to this Section 4(c) in connection with any dividend shall be rounded down to the nearest whole Share (or such other convention may be applied as determined by the Committee in its sole discretion).</w:t>
      </w:r>
    </w:p>
    <w:p>
      <w:pPr>
        <w:spacing w:after="0" w:line="182" w:lineRule="exact"/>
        <w:rPr>
          <w:rFonts w:ascii="Arial" w:cs="Arial" w:eastAsia="Arial" w:hAnsi="Arial"/>
          <w:sz w:val="16"/>
          <w:szCs w:val="16"/>
          <w:color w:val="auto"/>
        </w:rPr>
      </w:pPr>
    </w:p>
    <w:p>
      <w:pPr>
        <w:ind w:left="200" w:right="339" w:firstLine="9"/>
        <w:spacing w:after="0" w:line="259" w:lineRule="auto"/>
        <w:tabs>
          <w:tab w:leader="none" w:pos="848" w:val="left"/>
        </w:tabs>
        <w:numPr>
          <w:ilvl w:val="0"/>
          <w:numId w:val="48"/>
        </w:numPr>
        <w:rPr>
          <w:rFonts w:ascii="Arial" w:cs="Arial" w:eastAsia="Arial" w:hAnsi="Arial"/>
          <w:sz w:val="16"/>
          <w:szCs w:val="16"/>
          <w:color w:val="auto"/>
        </w:rPr>
      </w:pPr>
      <w:r>
        <w:rPr>
          <w:rFonts w:ascii="Arial" w:cs="Arial" w:eastAsia="Arial" w:hAnsi="Arial"/>
          <w:sz w:val="16"/>
          <w:szCs w:val="16"/>
          <w:b w:val="1"/>
          <w:bCs w:val="1"/>
          <w:color w:val="auto"/>
        </w:rPr>
        <w:t>Vesting and Payment</w:t>
      </w:r>
      <w:r>
        <w:rPr>
          <w:rFonts w:ascii="Arial" w:cs="Arial" w:eastAsia="Arial" w:hAnsi="Arial"/>
          <w:sz w:val="16"/>
          <w:szCs w:val="16"/>
          <w:color w:val="auto"/>
        </w:rPr>
        <w:t>. Cash dividend equivalent rights and Dividend Equivalent Units credited pursuant to</w:t>
      </w:r>
      <w:r>
        <w:rPr>
          <w:rFonts w:ascii="Arial" w:cs="Arial" w:eastAsia="Arial" w:hAnsi="Arial"/>
          <w:sz w:val="16"/>
          <w:szCs w:val="16"/>
          <w:b w:val="1"/>
          <w:bCs w:val="1"/>
          <w:color w:val="auto"/>
        </w:rPr>
        <w:t xml:space="preserve"> </w:t>
      </w:r>
      <w:r>
        <w:rPr>
          <w:rFonts w:ascii="Arial" w:cs="Arial" w:eastAsia="Arial" w:hAnsi="Arial"/>
          <w:sz w:val="16"/>
          <w:szCs w:val="16"/>
          <w:color w:val="auto"/>
        </w:rPr>
        <w:t>this Section 4 shall vest and be settled or paid at the same time as, and only to the extent that, the Restricted Stock Units to which such dividend equivalent rights relate shall vest and settle. In the event any such Restricted Stock Units are forfeited by the Grantee, then any dividend equivalent rights associated with such forfeited Restricted Stock Units shall immediately thereupon be forfeited and Grantee shall have no further rights with respect thereto. Unless otherwise provided by the Committee, dividend equivalent rights granted with respect to Restricted Stock Units subject to this Agreement shall not accrue interest.</w:t>
      </w:r>
    </w:p>
    <w:p>
      <w:pPr>
        <w:spacing w:after="0" w:line="163" w:lineRule="exact"/>
        <w:rPr>
          <w:sz w:val="20"/>
          <w:szCs w:val="20"/>
          <w:color w:val="auto"/>
        </w:rPr>
      </w:pPr>
    </w:p>
    <w:p>
      <w:pPr>
        <w:ind w:left="200" w:right="419" w:firstLine="9"/>
        <w:spacing w:after="0" w:line="275" w:lineRule="auto"/>
        <w:tabs>
          <w:tab w:leader="none" w:pos="848" w:val="left"/>
        </w:tabs>
        <w:numPr>
          <w:ilvl w:val="0"/>
          <w:numId w:val="4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Rights as a Stockholder</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provided above, Grantee shall not have voting or any other rights as a</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 of the Company with respect to Restricted Stock Units. Grantee will obtain full voting and other rights as a stockholder of the Company upon the settlement of Restricted Stock Units in Shares.</w:t>
      </w:r>
    </w:p>
    <w:p>
      <w:pPr>
        <w:spacing w:after="0" w:line="150" w:lineRule="exact"/>
        <w:rPr>
          <w:rFonts w:ascii="Arial" w:cs="Arial" w:eastAsia="Arial" w:hAnsi="Arial"/>
          <w:sz w:val="16"/>
          <w:szCs w:val="16"/>
          <w:b w:val="1"/>
          <w:bCs w:val="1"/>
          <w:color w:val="auto"/>
        </w:rPr>
      </w:pPr>
    </w:p>
    <w:p>
      <w:pPr>
        <w:ind w:left="200" w:right="439" w:firstLine="9"/>
        <w:spacing w:after="0" w:line="258" w:lineRule="auto"/>
        <w:tabs>
          <w:tab w:leader="none" w:pos="848" w:val="left"/>
        </w:tabs>
        <w:numPr>
          <w:ilvl w:val="0"/>
          <w:numId w:val="4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Adjustments</w:t>
      </w:r>
      <w:r>
        <w:rPr>
          <w:rFonts w:ascii="Arial" w:cs="Arial" w:eastAsia="Arial" w:hAnsi="Arial"/>
          <w:sz w:val="16"/>
          <w:szCs w:val="16"/>
          <w:b w:val="1"/>
          <w:bCs w:val="1"/>
          <w:color w:val="auto"/>
        </w:rPr>
        <w:t xml:space="preserve">. </w:t>
      </w:r>
      <w:r>
        <w:rPr>
          <w:rFonts w:ascii="Arial" w:cs="Arial" w:eastAsia="Arial" w:hAnsi="Arial"/>
          <w:sz w:val="16"/>
          <w:szCs w:val="16"/>
          <w:color w:val="auto"/>
        </w:rPr>
        <w:t>The Committee shall make appropriate adjustments in the terms and conditions of,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criteria included in, this Award in recognition of unusual or nonrecurring events affecting the Company or any Subsidiary or Affiliate, or the financial statements of the Company or any Subsidiary or Affiliate, or of changes in applicable laws, regulations, or accounting principles, whenever the Committee determines that such adjustments are appropriate in order to prevent dilution or enlargement of the benefits or potential benefits intended to be made available under the Plan. Upon the occurrence of any of the events described in Section 4.2 of the Plan, the Committee shall make the adjustments described in this Section 6. Any such adjustments shall be made in a manner provided in Section 4.2 of the Plan and in a manner that does not result in a discretionary increase in the amounts payable under the Award.</w:t>
      </w:r>
    </w:p>
    <w:p>
      <w:pPr>
        <w:spacing w:after="0" w:line="150" w:lineRule="exact"/>
        <w:rPr>
          <w:rFonts w:ascii="Arial" w:cs="Arial" w:eastAsia="Arial" w:hAnsi="Arial"/>
          <w:sz w:val="16"/>
          <w:szCs w:val="16"/>
          <w:b w:val="1"/>
          <w:bCs w:val="1"/>
          <w:color w:val="auto"/>
        </w:rPr>
      </w:pPr>
    </w:p>
    <w:p>
      <w:pPr>
        <w:ind w:left="200" w:right="379" w:firstLine="9"/>
        <w:spacing w:after="0" w:line="260" w:lineRule="auto"/>
        <w:tabs>
          <w:tab w:leader="none" w:pos="848" w:val="left"/>
        </w:tabs>
        <w:numPr>
          <w:ilvl w:val="0"/>
          <w:numId w:val="4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Amendment to Award</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restrictions contained in the Plan, the Committee may waive any</w:t>
      </w:r>
      <w:r>
        <w:rPr>
          <w:rFonts w:ascii="Arial" w:cs="Arial" w:eastAsia="Arial" w:hAnsi="Arial"/>
          <w:sz w:val="16"/>
          <w:szCs w:val="16"/>
          <w:b w:val="1"/>
          <w:bCs w:val="1"/>
          <w:color w:val="auto"/>
        </w:rPr>
        <w:t xml:space="preserve"> </w:t>
      </w:r>
      <w:r>
        <w:rPr>
          <w:rFonts w:ascii="Arial" w:cs="Arial" w:eastAsia="Arial" w:hAnsi="Arial"/>
          <w:sz w:val="16"/>
          <w:szCs w:val="16"/>
          <w:color w:val="auto"/>
        </w:rPr>
        <w:t>conditions or rights under, amend any terms of, or alter, suspend, discontinue, cancel or terminate the Award, prospectively or retroactively; provided that any such waiver, amendment, alteration, suspension, discontinuance, cancellation or termination that would materially and adversely affect the rights of Grantee or any holder or beneficiary of the Award shall not to that extent be effective without the consent of Grantee, holder or beneficiary affected.</w:t>
      </w:r>
    </w:p>
    <w:p>
      <w:pPr>
        <w:spacing w:after="0" w:line="164" w:lineRule="exact"/>
        <w:rPr>
          <w:rFonts w:ascii="Arial" w:cs="Arial" w:eastAsia="Arial" w:hAnsi="Arial"/>
          <w:sz w:val="16"/>
          <w:szCs w:val="16"/>
          <w:b w:val="1"/>
          <w:bCs w:val="1"/>
          <w:color w:val="auto"/>
        </w:rPr>
      </w:pPr>
    </w:p>
    <w:p>
      <w:pPr>
        <w:ind w:left="860" w:hanging="651"/>
        <w:spacing w:after="0"/>
        <w:tabs>
          <w:tab w:leader="none" w:pos="860" w:val="left"/>
        </w:tabs>
        <w:numPr>
          <w:ilvl w:val="0"/>
          <w:numId w:val="4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Taxes; Section 409A</w:t>
      </w:r>
      <w:r>
        <w:rPr>
          <w:rFonts w:ascii="Arial" w:cs="Arial" w:eastAsia="Arial" w:hAnsi="Arial"/>
          <w:sz w:val="16"/>
          <w:szCs w:val="16"/>
          <w:b w:val="1"/>
          <w:bCs w:val="1"/>
          <w:color w:val="auto"/>
        </w:rPr>
        <w:t>.</w:t>
      </w:r>
    </w:p>
    <w:p>
      <w:pPr>
        <w:spacing w:after="0" w:line="194" w:lineRule="exact"/>
        <w:rPr>
          <w:rFonts w:ascii="Arial" w:cs="Arial" w:eastAsia="Arial" w:hAnsi="Arial"/>
          <w:sz w:val="16"/>
          <w:szCs w:val="16"/>
          <w:b w:val="1"/>
          <w:bCs w:val="1"/>
          <w:color w:val="auto"/>
        </w:rPr>
      </w:pPr>
    </w:p>
    <w:p>
      <w:pPr>
        <w:ind w:left="200" w:right="399" w:firstLine="657"/>
        <w:spacing w:after="0" w:line="265" w:lineRule="auto"/>
        <w:tabs>
          <w:tab w:leader="none" w:pos="1496" w:val="left"/>
        </w:tabs>
        <w:numPr>
          <w:ilvl w:val="1"/>
          <w:numId w:val="49"/>
        </w:numPr>
        <w:rPr>
          <w:rFonts w:ascii="Arial" w:cs="Arial" w:eastAsia="Arial" w:hAnsi="Arial"/>
          <w:sz w:val="16"/>
          <w:szCs w:val="16"/>
          <w:color w:val="auto"/>
        </w:rPr>
      </w:pPr>
      <w:r>
        <w:rPr>
          <w:rFonts w:ascii="Arial" w:cs="Arial" w:eastAsia="Arial" w:hAnsi="Arial"/>
          <w:sz w:val="16"/>
          <w:szCs w:val="16"/>
          <w:b w:val="1"/>
          <w:bCs w:val="1"/>
          <w:color w:val="auto"/>
        </w:rPr>
        <w:t xml:space="preserve">Tax Withholding. </w:t>
      </w:r>
      <w:r>
        <w:rPr>
          <w:rFonts w:ascii="Arial" w:cs="Arial" w:eastAsia="Arial" w:hAnsi="Arial"/>
          <w:sz w:val="16"/>
          <w:szCs w:val="16"/>
          <w:color w:val="auto"/>
        </w:rPr>
        <w:t>As a condition to the Company’s issuance of any Shares or any other</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consideration in settlement of this Award, Grantee shall pay to the Company the minimum amount necessary to satisfy any Withholding Tax Obligations (as defined below) applicable with respect to the grant, vesting or settlement of this Award or any portion thereof at such times as are required by law. The payment shall be in cash or at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478790</wp:posOffset>
            </wp:positionV>
            <wp:extent cx="545211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61" w:name="page62"/>
    <w:bookmarkEnd w:id="61"/>
    <w:p>
      <w:pPr>
        <w:ind w:left="200"/>
        <w:spacing w:after="0"/>
        <w:rPr>
          <w:sz w:val="20"/>
          <w:szCs w:val="20"/>
          <w:color w:val="auto"/>
        </w:rPr>
      </w:pPr>
      <w:r>
        <w:rPr>
          <w:rFonts w:ascii="Times New Roman" w:cs="Times New Roman" w:eastAsia="Times New Roman" w:hAnsi="Times New Roman"/>
          <w:sz w:val="20"/>
          <w:szCs w:val="20"/>
          <w:color w:val="auto"/>
        </w:rPr>
        <w:t>[Type here]</w:t>
      </w:r>
    </w:p>
    <w:p>
      <w:pPr>
        <w:spacing w:after="0" w:line="200" w:lineRule="exact"/>
        <w:rPr>
          <w:sz w:val="20"/>
          <w:szCs w:val="20"/>
          <w:color w:val="auto"/>
        </w:rPr>
      </w:pPr>
    </w:p>
    <w:p>
      <w:pPr>
        <w:spacing w:after="0" w:line="227" w:lineRule="exact"/>
        <w:rPr>
          <w:sz w:val="20"/>
          <w:szCs w:val="20"/>
          <w:color w:val="auto"/>
        </w:rPr>
      </w:pPr>
    </w:p>
    <w:p>
      <w:pPr>
        <w:ind w:left="200" w:right="339"/>
        <w:spacing w:after="0" w:line="254" w:lineRule="auto"/>
        <w:rPr>
          <w:sz w:val="20"/>
          <w:szCs w:val="20"/>
          <w:color w:val="auto"/>
        </w:rPr>
      </w:pPr>
      <w:r>
        <w:rPr>
          <w:rFonts w:ascii="Arial" w:cs="Arial" w:eastAsia="Arial" w:hAnsi="Arial"/>
          <w:sz w:val="16"/>
          <w:szCs w:val="16"/>
          <w:color w:val="auto"/>
        </w:rPr>
        <w:t>election of Grantee by means of: (i) the delivery of Shares previously owned by Grantee, subject to applicable legal requirements, and held for the requisite period of time as may be required to avoid the Company incurring any adverse accounting charge; (ii) a reduction in the number of Shares otherwise deliverable upon vesting or other amounts otherwise payable to Grantee pursuant to this Agreement; or (iii) a combination of (i) and/or (ii). The value of any Shares delivered or withheld as payment in respect of the Withholding Tax Obligation shall be determined by reference to the Fair Market Value of such Shares as of the date of such withholding or delivery. For purposes hereof, the “Withholding Tax Obligation” means the minimum amount necessary to satisfy U.S. federal, state, local or non-U.S. withholding employment tax and similar requirements, if any, in connection with the vesting or settlement of all or a portion of the Award; provided, however, that, in the sole discretion of the Company, the Company may allow Grantee to have an additional amount or additional number of Shares withheld to satisfy an additional amount of withholding taxes up to the maximum individual statutory rate in the applicable jurisdiction, but only if such additional withholding, or the discretion to elect such additional withholding, does not result in adverse accounting treatment of this Award to the Company.</w:t>
      </w:r>
    </w:p>
    <w:p>
      <w:pPr>
        <w:spacing w:after="0" w:line="169" w:lineRule="exact"/>
        <w:rPr>
          <w:sz w:val="20"/>
          <w:szCs w:val="20"/>
          <w:color w:val="auto"/>
        </w:rPr>
      </w:pPr>
    </w:p>
    <w:p>
      <w:pPr>
        <w:ind w:left="200" w:right="319" w:firstLine="657"/>
        <w:spacing w:after="0" w:line="254" w:lineRule="auto"/>
        <w:tabs>
          <w:tab w:leader="none" w:pos="1415" w:val="left"/>
        </w:tabs>
        <w:numPr>
          <w:ilvl w:val="1"/>
          <w:numId w:val="50"/>
        </w:numPr>
        <w:rPr>
          <w:rFonts w:ascii="Arial" w:cs="Arial" w:eastAsia="Arial" w:hAnsi="Arial"/>
          <w:sz w:val="16"/>
          <w:szCs w:val="16"/>
          <w:color w:val="auto"/>
        </w:rPr>
      </w:pPr>
      <w:r>
        <w:rPr>
          <w:rFonts w:ascii="Arial" w:cs="Arial" w:eastAsia="Arial" w:hAnsi="Arial"/>
          <w:sz w:val="16"/>
          <w:szCs w:val="16"/>
          <w:b w:val="1"/>
          <w:bCs w:val="1"/>
          <w:color w:val="auto"/>
        </w:rPr>
        <w:t xml:space="preserve">Tax Treatment of Settlement. </w:t>
      </w:r>
      <w:r>
        <w:rPr>
          <w:rFonts w:ascii="Arial" w:cs="Arial" w:eastAsia="Arial" w:hAnsi="Arial"/>
          <w:sz w:val="16"/>
          <w:szCs w:val="16"/>
          <w:color w:val="auto"/>
        </w:rPr>
        <w:t>Notwithstanding anything herein to the contrary, to the maximum</w:t>
      </w:r>
      <w:r>
        <w:rPr>
          <w:rFonts w:ascii="Arial" w:cs="Arial" w:eastAsia="Arial" w:hAnsi="Arial"/>
          <w:sz w:val="16"/>
          <w:szCs w:val="16"/>
          <w:b w:val="1"/>
          <w:bCs w:val="1"/>
          <w:color w:val="auto"/>
        </w:rPr>
        <w:t xml:space="preserve"> </w:t>
      </w:r>
      <w:r>
        <w:rPr>
          <w:rFonts w:ascii="Arial" w:cs="Arial" w:eastAsia="Arial" w:hAnsi="Arial"/>
          <w:sz w:val="16"/>
          <w:szCs w:val="16"/>
          <w:color w:val="auto"/>
        </w:rPr>
        <w:t>extent permitted by applicable law, the settlement of the Restricted Stock Units (including any dividend equivalent rights) to be made to Grantee pursuant to this agreement is intended of quality as a “short-term deferral” pursuant to Section 1.409A-1(b)(4) of the Regulations, and this Agreement shall be interpreted consistently therewith. However, under certain circumstances, including where Grantee has elected to defer settlement of this Award, settlement of the Restricted Stock Units or any dividend equivalent rights may not so qualify, and in that case, the Committee shall administer the grant and settlement of such Restricted Stock Units and any dividend equivalent rights in strict compliance with Section 409A of the Code, including but not limited to delaying, if required, the issuance of Shares contemplated hereunder. Each payment of Restricted Stock Units (and dividend equivalent rights related thereto that have accrued pursuant to Section 4) constitutes a “separate payment” for purposes of Section 409A of the Code.</w:t>
      </w:r>
    </w:p>
    <w:p>
      <w:pPr>
        <w:spacing w:after="0" w:line="185" w:lineRule="exact"/>
        <w:rPr>
          <w:rFonts w:ascii="Arial" w:cs="Arial" w:eastAsia="Arial" w:hAnsi="Arial"/>
          <w:sz w:val="16"/>
          <w:szCs w:val="16"/>
          <w:color w:val="auto"/>
        </w:rPr>
      </w:pPr>
    </w:p>
    <w:p>
      <w:pPr>
        <w:ind w:left="200" w:right="619" w:firstLine="9"/>
        <w:spacing w:after="0" w:line="260" w:lineRule="auto"/>
        <w:tabs>
          <w:tab w:leader="none" w:pos="848" w:val="left"/>
        </w:tabs>
        <w:numPr>
          <w:ilvl w:val="0"/>
          <w:numId w:val="5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 Right to Continued Employment</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Nothing in this Agreement or the Plan shall be interpreted or</w:t>
      </w:r>
      <w:r>
        <w:rPr>
          <w:rFonts w:ascii="Arial" w:cs="Arial" w:eastAsia="Arial" w:hAnsi="Arial"/>
          <w:sz w:val="16"/>
          <w:szCs w:val="16"/>
          <w:b w:val="1"/>
          <w:bCs w:val="1"/>
          <w:color w:val="auto"/>
        </w:rPr>
        <w:t xml:space="preserve"> </w:t>
      </w:r>
      <w:r>
        <w:rPr>
          <w:rFonts w:ascii="Arial" w:cs="Arial" w:eastAsia="Arial" w:hAnsi="Arial"/>
          <w:sz w:val="16"/>
          <w:szCs w:val="16"/>
          <w:color w:val="auto"/>
        </w:rPr>
        <w:t>construed to confer upon Grantee any right to continued employment by the Company or any of its Subsidiaries or Affiliates, nor shall this Agreement or the Plan interfere in any way with the right of the Company or any of its Subsidiaries or Affiliates to terminate Grantee’s employment at any time for any reason whatsoever, whether or not with cause.</w:t>
      </w:r>
    </w:p>
    <w:p>
      <w:pPr>
        <w:spacing w:after="0" w:line="150" w:lineRule="exact"/>
        <w:rPr>
          <w:rFonts w:ascii="Arial" w:cs="Arial" w:eastAsia="Arial" w:hAnsi="Arial"/>
          <w:sz w:val="16"/>
          <w:szCs w:val="16"/>
          <w:b w:val="1"/>
          <w:bCs w:val="1"/>
          <w:color w:val="auto"/>
        </w:rPr>
      </w:pPr>
    </w:p>
    <w:p>
      <w:pPr>
        <w:ind w:left="200" w:right="399" w:firstLine="9"/>
        <w:spacing w:after="0" w:line="275" w:lineRule="auto"/>
        <w:tabs>
          <w:tab w:leader="none" w:pos="848" w:val="left"/>
        </w:tabs>
        <w:numPr>
          <w:ilvl w:val="0"/>
          <w:numId w:val="5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Plan Governs</w:t>
      </w:r>
      <w:r>
        <w:rPr>
          <w:rFonts w:ascii="Arial" w:cs="Arial" w:eastAsia="Arial" w:hAnsi="Arial"/>
          <w:sz w:val="16"/>
          <w:szCs w:val="16"/>
          <w:b w:val="1"/>
          <w:bCs w:val="1"/>
          <w:color w:val="auto"/>
        </w:rPr>
        <w:t xml:space="preserve">. </w:t>
      </w:r>
      <w:r>
        <w:rPr>
          <w:rFonts w:ascii="Arial" w:cs="Arial" w:eastAsia="Arial" w:hAnsi="Arial"/>
          <w:sz w:val="16"/>
          <w:szCs w:val="16"/>
          <w:color w:val="auto"/>
        </w:rPr>
        <w:t>Grantee hereby acknowledges receipt of a copy of the Plan and agrees to be bound by all the</w:t>
      </w:r>
      <w:r>
        <w:rPr>
          <w:rFonts w:ascii="Arial" w:cs="Arial" w:eastAsia="Arial" w:hAnsi="Arial"/>
          <w:sz w:val="16"/>
          <w:szCs w:val="16"/>
          <w:b w:val="1"/>
          <w:bCs w:val="1"/>
          <w:color w:val="auto"/>
        </w:rPr>
        <w:t xml:space="preserve"> </w:t>
      </w:r>
      <w:r>
        <w:rPr>
          <w:rFonts w:ascii="Arial" w:cs="Arial" w:eastAsia="Arial" w:hAnsi="Arial"/>
          <w:sz w:val="16"/>
          <w:szCs w:val="16"/>
          <w:color w:val="auto"/>
        </w:rPr>
        <w:t>terms and provisions thereof. The terms of this Agreement are governed by the terms of the Plan, and in the case of any inconsistency between the terms of this Agreement and the terms of the Plan, the terms of the Plan shall govern.</w:t>
      </w:r>
    </w:p>
    <w:p>
      <w:pPr>
        <w:spacing w:after="0" w:line="137" w:lineRule="exact"/>
        <w:rPr>
          <w:rFonts w:ascii="Arial" w:cs="Arial" w:eastAsia="Arial" w:hAnsi="Arial"/>
          <w:sz w:val="16"/>
          <w:szCs w:val="16"/>
          <w:b w:val="1"/>
          <w:bCs w:val="1"/>
          <w:color w:val="auto"/>
        </w:rPr>
      </w:pPr>
    </w:p>
    <w:p>
      <w:pPr>
        <w:ind w:left="200" w:right="419" w:firstLine="9"/>
        <w:spacing w:after="0" w:line="261" w:lineRule="auto"/>
        <w:tabs>
          <w:tab w:leader="none" w:pos="848" w:val="left"/>
        </w:tabs>
        <w:numPr>
          <w:ilvl w:val="0"/>
          <w:numId w:val="5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Severability</w:t>
      </w:r>
      <w:r>
        <w:rPr>
          <w:rFonts w:ascii="Arial" w:cs="Arial" w:eastAsia="Arial" w:hAnsi="Arial"/>
          <w:sz w:val="16"/>
          <w:szCs w:val="16"/>
          <w:b w:val="1"/>
          <w:bCs w:val="1"/>
          <w:color w:val="auto"/>
        </w:rPr>
        <w:t xml:space="preserve">. </w:t>
      </w:r>
      <w:r>
        <w:rPr>
          <w:rFonts w:ascii="Arial" w:cs="Arial" w:eastAsia="Arial" w:hAnsi="Arial"/>
          <w:sz w:val="16"/>
          <w:szCs w:val="16"/>
          <w:color w:val="auto"/>
        </w:rPr>
        <w:t>If any provision of this Agreement is, or becomes, or is deemed to be invalid, illegal, or</w:t>
      </w:r>
      <w:r>
        <w:rPr>
          <w:rFonts w:ascii="Arial" w:cs="Arial" w:eastAsia="Arial" w:hAnsi="Arial"/>
          <w:sz w:val="16"/>
          <w:szCs w:val="16"/>
          <w:b w:val="1"/>
          <w:bCs w:val="1"/>
          <w:color w:val="auto"/>
        </w:rPr>
        <w:t xml:space="preserve"> </w:t>
      </w:r>
      <w:r>
        <w:rPr>
          <w:rFonts w:ascii="Arial" w:cs="Arial" w:eastAsia="Arial" w:hAnsi="Arial"/>
          <w:sz w:val="16"/>
          <w:szCs w:val="16"/>
          <w:color w:val="auto"/>
        </w:rPr>
        <w:t>unenforceable in any jurisdiction or as to any Person or the Award, or would disqualify the Plan or Award under any laws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stricken as to such jurisdiction, Person or Award, and the remainder of the Plan and Award shall remain in full force and effect.</w:t>
      </w:r>
    </w:p>
    <w:p>
      <w:pPr>
        <w:spacing w:after="0" w:line="149" w:lineRule="exact"/>
        <w:rPr>
          <w:rFonts w:ascii="Arial" w:cs="Arial" w:eastAsia="Arial" w:hAnsi="Arial"/>
          <w:sz w:val="16"/>
          <w:szCs w:val="16"/>
          <w:b w:val="1"/>
          <w:bCs w:val="1"/>
          <w:color w:val="auto"/>
        </w:rPr>
      </w:pPr>
    </w:p>
    <w:p>
      <w:pPr>
        <w:ind w:left="860" w:hanging="651"/>
        <w:spacing w:after="0"/>
        <w:tabs>
          <w:tab w:leader="none" w:pos="860" w:val="left"/>
        </w:tabs>
        <w:numPr>
          <w:ilvl w:val="0"/>
          <w:numId w:val="5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Notices</w:t>
      </w:r>
      <w:r>
        <w:rPr>
          <w:rFonts w:ascii="Arial" w:cs="Arial" w:eastAsia="Arial" w:hAnsi="Arial"/>
          <w:sz w:val="16"/>
          <w:szCs w:val="16"/>
          <w:b w:val="1"/>
          <w:bCs w:val="1"/>
          <w:color w:val="auto"/>
        </w:rPr>
        <w:t xml:space="preserve">. </w:t>
      </w:r>
      <w:r>
        <w:rPr>
          <w:rFonts w:ascii="Arial" w:cs="Arial" w:eastAsia="Arial" w:hAnsi="Arial"/>
          <w:sz w:val="16"/>
          <w:szCs w:val="16"/>
          <w:color w:val="auto"/>
        </w:rPr>
        <w:t>All notices required to be given under this Agreement shall be deemed to be received if delivered or</w:t>
      </w:r>
    </w:p>
    <w:p>
      <w:pPr>
        <w:spacing w:after="0" w:line="34" w:lineRule="exact"/>
        <w:rPr>
          <w:rFonts w:ascii="Arial" w:cs="Arial" w:eastAsia="Arial" w:hAnsi="Arial"/>
          <w:sz w:val="16"/>
          <w:szCs w:val="16"/>
          <w:b w:val="1"/>
          <w:bCs w:val="1"/>
          <w:color w:val="auto"/>
        </w:rPr>
      </w:pPr>
    </w:p>
    <w:p>
      <w:pPr>
        <w:ind w:left="200" w:right="359"/>
        <w:spacing w:after="0" w:line="265" w:lineRule="auto"/>
        <w:rPr>
          <w:rFonts w:ascii="Arial" w:cs="Arial" w:eastAsia="Arial" w:hAnsi="Arial"/>
          <w:sz w:val="16"/>
          <w:szCs w:val="16"/>
          <w:b w:val="1"/>
          <w:bCs w:val="1"/>
          <w:color w:val="auto"/>
        </w:rPr>
      </w:pPr>
      <w:r>
        <w:rPr>
          <w:rFonts w:ascii="Arial" w:cs="Arial" w:eastAsia="Arial" w:hAnsi="Arial"/>
          <w:sz w:val="16"/>
          <w:szCs w:val="16"/>
          <w:color w:val="auto"/>
        </w:rPr>
        <w:t>mailed: (1) to Company, at One Gaylord Drive, Nashville TN 37214; and (2) to Grantee, at the address currently on file with the Company, or to such other address as either party may provide in writing from time to time.</w:t>
      </w:r>
    </w:p>
    <w:p>
      <w:pPr>
        <w:spacing w:after="0" w:line="144" w:lineRule="exact"/>
        <w:rPr>
          <w:rFonts w:ascii="Arial" w:cs="Arial" w:eastAsia="Arial" w:hAnsi="Arial"/>
          <w:sz w:val="16"/>
          <w:szCs w:val="16"/>
          <w:b w:val="1"/>
          <w:bCs w:val="1"/>
          <w:color w:val="auto"/>
        </w:rPr>
      </w:pPr>
    </w:p>
    <w:p>
      <w:pPr>
        <w:ind w:left="200" w:right="579" w:firstLine="9"/>
        <w:spacing w:after="0" w:line="304" w:lineRule="auto"/>
        <w:tabs>
          <w:tab w:leader="none" w:pos="848" w:val="left"/>
        </w:tabs>
        <w:numPr>
          <w:ilvl w:val="0"/>
          <w:numId w:val="5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Governing Law</w:t>
      </w:r>
      <w:r>
        <w:rPr>
          <w:rFonts w:ascii="Arial" w:cs="Arial" w:eastAsia="Arial" w:hAnsi="Arial"/>
          <w:sz w:val="16"/>
          <w:szCs w:val="16"/>
          <w:b w:val="1"/>
          <w:bCs w:val="1"/>
          <w:color w:val="auto"/>
        </w:rPr>
        <w:t xml:space="preserve">. </w:t>
      </w:r>
      <w:r>
        <w:rPr>
          <w:rFonts w:ascii="Arial" w:cs="Arial" w:eastAsia="Arial" w:hAnsi="Arial"/>
          <w:sz w:val="16"/>
          <w:szCs w:val="16"/>
          <w:color w:val="auto"/>
        </w:rPr>
        <w:t>The validity, construction and effect of this Agreement shall be determined in accordance</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laws of the State of Delaware without giving effect to conflicts of laws principles.</w:t>
      </w:r>
    </w:p>
    <w:p>
      <w:pPr>
        <w:spacing w:after="0" w:line="114" w:lineRule="exact"/>
        <w:rPr>
          <w:rFonts w:ascii="Arial" w:cs="Arial" w:eastAsia="Arial" w:hAnsi="Arial"/>
          <w:sz w:val="16"/>
          <w:szCs w:val="16"/>
          <w:b w:val="1"/>
          <w:bCs w:val="1"/>
          <w:color w:val="auto"/>
        </w:rPr>
      </w:pPr>
    </w:p>
    <w:p>
      <w:pPr>
        <w:ind w:left="200" w:right="499" w:firstLine="9"/>
        <w:spacing w:after="0" w:line="265" w:lineRule="auto"/>
        <w:tabs>
          <w:tab w:leader="none" w:pos="848" w:val="left"/>
        </w:tabs>
        <w:numPr>
          <w:ilvl w:val="0"/>
          <w:numId w:val="5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Successors in Interest</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shall inure to the benefit of and be binding upon any successor to</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This Agreement shall inure to the benefit of Grantee’s legal representatives. All obligations imposed upon Grantee and all rights granted to the Company under this Agreement shall be binding upon Grantee’s heirs, executors, administrators and successors.</w:t>
      </w:r>
    </w:p>
    <w:p>
      <w:pPr>
        <w:spacing w:after="0" w:line="145" w:lineRule="exact"/>
        <w:rPr>
          <w:rFonts w:ascii="Arial" w:cs="Arial" w:eastAsia="Arial" w:hAnsi="Arial"/>
          <w:sz w:val="16"/>
          <w:szCs w:val="16"/>
          <w:b w:val="1"/>
          <w:bCs w:val="1"/>
          <w:color w:val="auto"/>
        </w:rPr>
      </w:pPr>
    </w:p>
    <w:p>
      <w:pPr>
        <w:ind w:left="200" w:right="359" w:firstLine="9"/>
        <w:spacing w:after="0" w:line="275" w:lineRule="auto"/>
        <w:tabs>
          <w:tab w:leader="none" w:pos="848" w:val="left"/>
        </w:tabs>
        <w:numPr>
          <w:ilvl w:val="0"/>
          <w:numId w:val="5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Resolution of Disputes</w:t>
      </w:r>
      <w:r>
        <w:rPr>
          <w:rFonts w:ascii="Arial" w:cs="Arial" w:eastAsia="Arial" w:hAnsi="Arial"/>
          <w:sz w:val="16"/>
          <w:szCs w:val="16"/>
          <w:b w:val="1"/>
          <w:bCs w:val="1"/>
          <w:color w:val="auto"/>
        </w:rPr>
        <w:t xml:space="preserve">. </w:t>
      </w:r>
      <w:r>
        <w:rPr>
          <w:rFonts w:ascii="Arial" w:cs="Arial" w:eastAsia="Arial" w:hAnsi="Arial"/>
          <w:sz w:val="16"/>
          <w:szCs w:val="16"/>
          <w:color w:val="auto"/>
        </w:rPr>
        <w:t>Any dispute or disagreement which may arise under, or as a result of, or in any way</w:t>
      </w:r>
      <w:r>
        <w:rPr>
          <w:rFonts w:ascii="Arial" w:cs="Arial" w:eastAsia="Arial" w:hAnsi="Arial"/>
          <w:sz w:val="16"/>
          <w:szCs w:val="16"/>
          <w:b w:val="1"/>
          <w:bCs w:val="1"/>
          <w:color w:val="auto"/>
        </w:rPr>
        <w:t xml:space="preserve"> </w:t>
      </w:r>
      <w:r>
        <w:rPr>
          <w:rFonts w:ascii="Arial" w:cs="Arial" w:eastAsia="Arial" w:hAnsi="Arial"/>
          <w:sz w:val="16"/>
          <w:szCs w:val="16"/>
          <w:color w:val="auto"/>
        </w:rPr>
        <w:t>related to, the interpretation, construction or application of this Agreement shall be determined by the Committee. Any determination made hereunder shall be final, binding and conclusive on Grantee and the Company for all purposes.</w:t>
      </w:r>
    </w:p>
    <w:p>
      <w:pPr>
        <w:spacing w:after="0" w:line="150" w:lineRule="exact"/>
        <w:rPr>
          <w:rFonts w:ascii="Arial" w:cs="Arial" w:eastAsia="Arial" w:hAnsi="Arial"/>
          <w:sz w:val="16"/>
          <w:szCs w:val="16"/>
          <w:b w:val="1"/>
          <w:bCs w:val="1"/>
          <w:color w:val="auto"/>
        </w:rPr>
      </w:pPr>
    </w:p>
    <w:p>
      <w:pPr>
        <w:ind w:left="860" w:hanging="651"/>
        <w:spacing w:after="0"/>
        <w:tabs>
          <w:tab w:leader="none" w:pos="860" w:val="left"/>
        </w:tabs>
        <w:numPr>
          <w:ilvl w:val="0"/>
          <w:numId w:val="5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Recoupment.</w:t>
      </w:r>
      <w:r>
        <w:rPr>
          <w:rFonts w:ascii="Arial" w:cs="Arial" w:eastAsia="Arial" w:hAnsi="Arial"/>
          <w:sz w:val="16"/>
          <w:szCs w:val="16"/>
          <w:b w:val="1"/>
          <w:bCs w:val="1"/>
          <w:color w:val="auto"/>
        </w:rPr>
        <w:t xml:space="preserve"> </w:t>
      </w:r>
      <w:r>
        <w:rPr>
          <w:rFonts w:ascii="Arial" w:cs="Arial" w:eastAsia="Arial" w:hAnsi="Arial"/>
          <w:sz w:val="16"/>
          <w:szCs w:val="16"/>
          <w:color w:val="auto"/>
        </w:rPr>
        <w:t>The Award granted to Grantee pursuant to this Agreement, and any prior awards granted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501015</wp:posOffset>
            </wp:positionV>
            <wp:extent cx="545211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62" w:name="page63"/>
    <w:bookmarkEnd w:id="62"/>
    <w:p>
      <w:pPr>
        <w:ind w:left="200"/>
        <w:spacing w:after="0"/>
        <w:rPr>
          <w:sz w:val="20"/>
          <w:szCs w:val="20"/>
          <w:color w:val="auto"/>
        </w:rPr>
      </w:pPr>
      <w:r>
        <w:rPr>
          <w:rFonts w:ascii="Times New Roman" w:cs="Times New Roman" w:eastAsia="Times New Roman" w:hAnsi="Times New Roman"/>
          <w:sz w:val="20"/>
          <w:szCs w:val="20"/>
          <w:color w:val="auto"/>
        </w:rPr>
        <w:t>[Type here]</w:t>
      </w:r>
    </w:p>
    <w:p>
      <w:pPr>
        <w:spacing w:after="0" w:line="200" w:lineRule="exact"/>
        <w:rPr>
          <w:sz w:val="20"/>
          <w:szCs w:val="20"/>
          <w:color w:val="auto"/>
        </w:rPr>
      </w:pPr>
    </w:p>
    <w:p>
      <w:pPr>
        <w:spacing w:after="0" w:line="227" w:lineRule="exact"/>
        <w:rPr>
          <w:sz w:val="20"/>
          <w:szCs w:val="20"/>
          <w:color w:val="auto"/>
        </w:rPr>
      </w:pPr>
    </w:p>
    <w:p>
      <w:pPr>
        <w:ind w:left="200" w:right="379"/>
        <w:spacing w:after="0" w:line="254" w:lineRule="auto"/>
        <w:rPr>
          <w:sz w:val="20"/>
          <w:szCs w:val="20"/>
          <w:color w:val="auto"/>
        </w:rPr>
      </w:pPr>
      <w:r>
        <w:rPr>
          <w:rFonts w:ascii="Arial" w:cs="Arial" w:eastAsia="Arial" w:hAnsi="Arial"/>
          <w:sz w:val="16"/>
          <w:szCs w:val="16"/>
          <w:color w:val="auto"/>
        </w:rPr>
        <w:t>Grantee under the Plan, including any amounts paid or property received in settlement or satisfaction thereof, shall be subject to forfeiture, cancellation, repayment, reimbursement or other recoupment (i) pursuant to the Company’s NYSE Executive Compensation Recoupment Policy (as it may be amended from time to time) or any Company recoupment policies that may be adopted and/or modified from time to time, including those adopted or modified to comply with any applicable laws(such policy referenced in clause (i), as amended from time to time, the “Policy”), and</w:t>
      </w:r>
    </w:p>
    <w:p>
      <w:pPr>
        <w:spacing w:after="0" w:line="1" w:lineRule="exact"/>
        <w:rPr>
          <w:sz w:val="20"/>
          <w:szCs w:val="20"/>
          <w:color w:val="auto"/>
        </w:rPr>
      </w:pPr>
    </w:p>
    <w:p>
      <w:pPr>
        <w:ind w:left="200" w:right="459" w:firstLine="9"/>
        <w:spacing w:after="0" w:line="255" w:lineRule="auto"/>
        <w:tabs>
          <w:tab w:leader="none" w:pos="425" w:val="left"/>
        </w:tabs>
        <w:numPr>
          <w:ilvl w:val="0"/>
          <w:numId w:val="52"/>
        </w:numPr>
        <w:rPr>
          <w:rFonts w:ascii="Arial" w:cs="Arial" w:eastAsia="Arial" w:hAnsi="Arial"/>
          <w:sz w:val="16"/>
          <w:szCs w:val="16"/>
          <w:color w:val="auto"/>
        </w:rPr>
      </w:pPr>
      <w:r>
        <w:rPr>
          <w:rFonts w:ascii="Arial" w:cs="Arial" w:eastAsia="Arial" w:hAnsi="Arial"/>
          <w:sz w:val="16"/>
          <w:szCs w:val="16"/>
          <w:color w:val="auto"/>
        </w:rPr>
        <w:t>to the extent provided under any applicable laws and/or listing standards which impose mandatory recoupment, under circumstances set forth in such applicable laws and listing standards. The Company may utilize any method of recovery specified in the Policy in connection with any recoupment pursuant to the terms of the Policy. By accepting this Award, Grantee is agreeing to be bound by the Policy as in effect, or as may be adopted and/or modified from time to time by the Company in its discretion.</w:t>
      </w:r>
    </w:p>
    <w:p>
      <w:pPr>
        <w:spacing w:after="0" w:line="168"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[remainder of page intentionally blank]</w:t>
      </w:r>
    </w:p>
    <w:p>
      <w:pPr>
        <w:spacing w:after="0" w:line="194" w:lineRule="exact"/>
        <w:rPr>
          <w:sz w:val="20"/>
          <w:szCs w:val="20"/>
          <w:color w:val="auto"/>
        </w:rPr>
      </w:pPr>
    </w:p>
    <w:p>
      <w:pPr>
        <w:ind w:left="200" w:right="499" w:firstLine="9"/>
        <w:spacing w:after="0" w:line="265" w:lineRule="auto"/>
        <w:tabs>
          <w:tab w:leader="none" w:pos="848" w:val="left"/>
        </w:tabs>
        <w:numPr>
          <w:ilvl w:val="0"/>
          <w:numId w:val="5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Acknowledgement of Code of Conduct and Insider Trading Policy(ies)</w:t>
      </w:r>
      <w:r>
        <w:rPr>
          <w:rFonts w:ascii="Arial" w:cs="Arial" w:eastAsia="Arial" w:hAnsi="Arial"/>
          <w:sz w:val="16"/>
          <w:szCs w:val="16"/>
          <w:b w:val="1"/>
          <w:bCs w:val="1"/>
          <w:color w:val="auto"/>
        </w:rPr>
        <w:t xml:space="preserve">. </w:t>
      </w:r>
      <w:r>
        <w:rPr>
          <w:rFonts w:ascii="Arial" w:cs="Arial" w:eastAsia="Arial" w:hAnsi="Arial"/>
          <w:sz w:val="16"/>
          <w:szCs w:val="16"/>
          <w:color w:val="auto"/>
        </w:rPr>
        <w:t>By accepting this Award by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means of execution and delivery of this Agreement, Grantee acknowledges that Grantee has been provided with the opportunity to review, and Grantee accepts the provisions of, the following policies of the Company: (i) Code of Conduct and Business Ethics, attached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(ii) Insider Trading Policy, attached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and (iii) if applicable to Grantee, Special Insider Trading Policy, attached as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hereto.</w:t>
      </w:r>
    </w:p>
    <w:p>
      <w:pPr>
        <w:spacing w:after="0" w:line="145" w:lineRule="exact"/>
        <w:rPr>
          <w:sz w:val="20"/>
          <w:szCs w:val="20"/>
          <w:color w:val="auto"/>
        </w:rPr>
      </w:pPr>
    </w:p>
    <w:p>
      <w:pPr>
        <w:ind w:left="200" w:right="499"/>
        <w:spacing w:after="0" w:line="286" w:lineRule="auto"/>
        <w:rPr>
          <w:sz w:val="20"/>
          <w:szCs w:val="20"/>
          <w:color w:val="auto"/>
        </w:rPr>
      </w:pPr>
      <w:r>
        <w:rPr>
          <w:rFonts w:ascii="Arial" w:cs="Arial" w:eastAsia="Arial" w:hAnsi="Arial"/>
          <w:sz w:val="16"/>
          <w:szCs w:val="16"/>
          <w:color w:val="auto"/>
        </w:rPr>
        <w:t>IN WITNESS WHEREOF, the Company has caused this Agreement to be duly executed by an officer thereunto duly authorized, and Grantee has executed this Agreement, all as of the date first above written.</w:t>
      </w:r>
    </w:p>
    <w:p>
      <w:pPr>
        <w:spacing w:after="0" w:line="169"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Ryman Hospitality Properties, Inc.</w:t>
      </w:r>
    </w:p>
    <w:p>
      <w:pPr>
        <w:spacing w:after="0" w:line="221"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/s/ Scott Lynn</w:t>
      </w:r>
    </w:p>
    <w:p>
      <w:pPr>
        <w:spacing w:after="0" w:line="22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Scott Lynn, EVP &amp; General Counsel</w:t>
      </w:r>
    </w:p>
    <w:p>
      <w:pPr>
        <w:spacing w:after="0" w:line="22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DATE ACCEPTED BY GRANTEE: ###ACCEPTANCE_DATE###</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Appendix and Exhibits to Award Agreement follow</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861060</wp:posOffset>
            </wp:positionV>
            <wp:extent cx="545211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63" w:name="page64"/>
    <w:bookmarkEnd w:id="63"/>
    <w:p>
      <w:pPr>
        <w:ind w:left="200"/>
        <w:spacing w:after="0"/>
        <w:rPr>
          <w:sz w:val="20"/>
          <w:szCs w:val="20"/>
          <w:color w:val="auto"/>
        </w:rPr>
      </w:pPr>
      <w:r>
        <w:rPr>
          <w:rFonts w:ascii="Times New Roman" w:cs="Times New Roman" w:eastAsia="Times New Roman" w:hAnsi="Times New Roman"/>
          <w:sz w:val="20"/>
          <w:szCs w:val="20"/>
          <w:color w:val="auto"/>
        </w:rPr>
        <w:t>[Type here]</w:t>
      </w:r>
    </w:p>
    <w:p>
      <w:pPr>
        <w:spacing w:after="0" w:line="200" w:lineRule="exact"/>
        <w:rPr>
          <w:sz w:val="20"/>
          <w:szCs w:val="20"/>
          <w:color w:val="auto"/>
        </w:rPr>
      </w:pPr>
    </w:p>
    <w:p>
      <w:pPr>
        <w:spacing w:after="0" w:line="227" w:lineRule="exact"/>
        <w:rPr>
          <w:sz w:val="20"/>
          <w:szCs w:val="20"/>
          <w:color w:val="auto"/>
        </w:rPr>
      </w:pPr>
    </w:p>
    <w:p>
      <w:pPr>
        <w:jc w:val="right"/>
        <w:ind w:right="219"/>
        <w:spacing w:after="0"/>
        <w:rPr>
          <w:sz w:val="20"/>
          <w:szCs w:val="20"/>
          <w:color w:val="auto"/>
        </w:rPr>
      </w:pPr>
      <w:r>
        <w:rPr>
          <w:rFonts w:ascii="Arial" w:cs="Arial" w:eastAsia="Arial" w:hAnsi="Arial"/>
          <w:sz w:val="16"/>
          <w:szCs w:val="16"/>
          <w:b w:val="1"/>
          <w:bCs w:val="1"/>
          <w:u w:val="single" w:color="auto"/>
          <w:color w:val="auto"/>
        </w:rPr>
        <w:t>APPENDIX 1 TO GRANT AGREEMENT</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569595</wp:posOffset>
            </wp:positionV>
            <wp:extent cx="545211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64" w:name="page65"/>
    <w:bookmarkEnd w:id="64"/>
    <w:p>
      <w:pPr>
        <w:ind w:left="200"/>
        <w:spacing w:after="0"/>
        <w:rPr>
          <w:sz w:val="20"/>
          <w:szCs w:val="20"/>
          <w:color w:val="auto"/>
        </w:rPr>
      </w:pPr>
      <w:r>
        <w:rPr>
          <w:rFonts w:ascii="Times New Roman" w:cs="Times New Roman" w:eastAsia="Times New Roman" w:hAnsi="Times New Roman"/>
          <w:sz w:val="20"/>
          <w:szCs w:val="20"/>
          <w:color w:val="auto"/>
        </w:rPr>
        <w:t>[Type here]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ind w:right="219"/>
        <w:spacing w:after="0"/>
        <w:rPr>
          <w:sz w:val="20"/>
          <w:szCs w:val="20"/>
          <w:color w:val="auto"/>
        </w:rPr>
      </w:pPr>
      <w:r>
        <w:rPr>
          <w:rFonts w:ascii="Arial" w:cs="Arial" w:eastAsia="Arial" w:hAnsi="Arial"/>
          <w:sz w:val="16"/>
          <w:szCs w:val="16"/>
          <w:b w:val="1"/>
          <w:bCs w:val="1"/>
          <w:u w:val="single" w:color="auto"/>
          <w:color w:val="auto"/>
        </w:rPr>
        <w:t>EXHIBIT A TO GRANT AGREEMENT</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723900</wp:posOffset>
            </wp:positionV>
            <wp:extent cx="545211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65" w:name="page66"/>
    <w:bookmarkEnd w:id="65"/>
    <w:p>
      <w:pPr>
        <w:ind w:left="200"/>
        <w:spacing w:after="0"/>
        <w:rPr>
          <w:sz w:val="20"/>
          <w:szCs w:val="20"/>
          <w:color w:val="auto"/>
        </w:rPr>
      </w:pPr>
      <w:r>
        <w:rPr>
          <w:rFonts w:ascii="Times New Roman" w:cs="Times New Roman" w:eastAsia="Times New Roman" w:hAnsi="Times New Roman"/>
          <w:sz w:val="20"/>
          <w:szCs w:val="20"/>
          <w:color w:val="auto"/>
        </w:rPr>
        <w:t>[Type here]</w:t>
      </w:r>
    </w:p>
    <w:p>
      <w:pPr>
        <w:spacing w:after="0" w:line="200" w:lineRule="exact"/>
        <w:rPr>
          <w:sz w:val="20"/>
          <w:szCs w:val="20"/>
          <w:color w:val="auto"/>
        </w:rPr>
      </w:pPr>
    </w:p>
    <w:p>
      <w:pPr>
        <w:spacing w:after="0" w:line="227" w:lineRule="exact"/>
        <w:rPr>
          <w:sz w:val="20"/>
          <w:szCs w:val="20"/>
          <w:color w:val="auto"/>
        </w:rPr>
      </w:pPr>
    </w:p>
    <w:p>
      <w:pPr>
        <w:jc w:val="right"/>
        <w:ind w:right="219"/>
        <w:spacing w:after="0"/>
        <w:rPr>
          <w:sz w:val="20"/>
          <w:szCs w:val="20"/>
          <w:color w:val="auto"/>
        </w:rPr>
      </w:pPr>
      <w:r>
        <w:rPr>
          <w:rFonts w:ascii="Arial" w:cs="Arial" w:eastAsia="Arial" w:hAnsi="Arial"/>
          <w:sz w:val="16"/>
          <w:szCs w:val="16"/>
          <w:b w:val="1"/>
          <w:bCs w:val="1"/>
          <w:u w:val="single" w:color="auto"/>
          <w:color w:val="auto"/>
        </w:rPr>
        <w:t>EXHIBIT B TO GRANT AGREEMENT</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501015</wp:posOffset>
            </wp:positionV>
            <wp:extent cx="545211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66" w:name="page67"/>
    <w:bookmarkEnd w:id="66"/>
    <w:p>
      <w:pPr>
        <w:ind w:left="200"/>
        <w:spacing w:after="0"/>
        <w:rPr>
          <w:sz w:val="20"/>
          <w:szCs w:val="20"/>
          <w:color w:val="auto"/>
        </w:rPr>
      </w:pPr>
      <w:r>
        <w:rPr>
          <w:rFonts w:ascii="Times New Roman" w:cs="Times New Roman" w:eastAsia="Times New Roman" w:hAnsi="Times New Roman"/>
          <w:sz w:val="20"/>
          <w:szCs w:val="20"/>
          <w:color w:val="auto"/>
        </w:rPr>
        <w:t>[Type here]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ind w:right="219"/>
        <w:spacing w:after="0"/>
        <w:rPr>
          <w:sz w:val="20"/>
          <w:szCs w:val="20"/>
          <w:color w:val="auto"/>
        </w:rPr>
      </w:pPr>
      <w:r>
        <w:rPr>
          <w:rFonts w:ascii="Arial" w:cs="Arial" w:eastAsia="Arial" w:hAnsi="Arial"/>
          <w:sz w:val="16"/>
          <w:szCs w:val="16"/>
          <w:b w:val="1"/>
          <w:bCs w:val="1"/>
          <w:u w:val="single" w:color="auto"/>
          <w:color w:val="auto"/>
        </w:rPr>
        <w:t>EXHIBIT C TO GRANT AGREEMENT</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509270</wp:posOffset>
            </wp:positionV>
            <wp:extent cx="545211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67" w:name="page68"/>
    <w:bookmarkEnd w:id="67"/>
    <w:p>
      <w:pPr>
        <w:jc w:val="right"/>
        <w:ind w:right="219"/>
        <w:spacing w:after="0"/>
        <w:rPr>
          <w:sz w:val="20"/>
          <w:szCs w:val="20"/>
          <w:color w:val="auto"/>
        </w:rPr>
      </w:pPr>
      <w:r>
        <w:rPr>
          <w:rFonts w:ascii="Times New Roman" w:cs="Times New Roman" w:eastAsia="Times New Roman" w:hAnsi="Times New Roman"/>
          <w:sz w:val="22"/>
          <w:szCs w:val="22"/>
          <w:b w:val="1"/>
          <w:bCs w:val="1"/>
          <w:color w:val="auto"/>
        </w:rPr>
        <w:t>Exhibit 22</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List of Parent and Subsidiary Guarantors</w:t>
      </w:r>
    </w:p>
    <w:p>
      <w:pPr>
        <w:spacing w:after="0" w:line="305" w:lineRule="exact"/>
        <w:rPr>
          <w:sz w:val="20"/>
          <w:szCs w:val="20"/>
          <w:color w:val="auto"/>
        </w:rPr>
      </w:pPr>
    </w:p>
    <w:p>
      <w:pPr>
        <w:ind w:left="200" w:right="399"/>
        <w:spacing w:after="0" w:line="276" w:lineRule="auto"/>
        <w:rPr>
          <w:sz w:val="20"/>
          <w:szCs w:val="20"/>
          <w:color w:val="auto"/>
        </w:rPr>
      </w:pPr>
      <w:r>
        <w:rPr>
          <w:rFonts w:ascii="Times New Roman" w:cs="Times New Roman" w:eastAsia="Times New Roman" w:hAnsi="Times New Roman"/>
          <w:sz w:val="21"/>
          <w:szCs w:val="21"/>
          <w:color w:val="auto"/>
        </w:rPr>
        <w:t>Ryman Hospitality Properties, Inc., a Delaware corporation (the “Company”), as the parent company, serves as guarantor, and each of the below listed subsidiaries of the Company serves as an issuer or guarantor, as applicable, for the Company’s (i) 4.75% Senior Notes due 2027, (ii)</w:t>
      </w:r>
    </w:p>
    <w:p>
      <w:pPr>
        <w:spacing w:after="0" w:line="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7.25% Senior Notes due 2028, (iii) 4.50% Senior Notes due 2029 and (iv) 6.50% Senior Notes due</w:t>
      </w:r>
    </w:p>
    <w:p>
      <w:pPr>
        <w:spacing w:after="0" w:line="3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2032.</w:t>
      </w:r>
    </w:p>
    <w:p>
      <w:pPr>
        <w:spacing w:after="0" w:line="304" w:lineRule="exact"/>
        <w:rPr>
          <w:sz w:val="20"/>
          <w:szCs w:val="20"/>
          <w:color w:val="auto"/>
        </w:rPr>
      </w:pPr>
    </w:p>
    <w:tbl>
      <w:tblPr>
        <w:tblLayout w:type="fixed"/>
        <w:tblInd w:w="220" w:type="dxa"/>
        <w:tblCellMar>
          <w:top w:w="0" w:type="dxa"/>
          <w:left w:w="0" w:type="dxa"/>
          <w:bottom w:w="0" w:type="dxa"/>
          <w:right w:w="0" w:type="dxa"/>
        </w:tblCellMar>
      </w:tblPr>
      <w:tr>
        <w:trPr>
          <w:trHeight w:val="253"/>
        </w:trPr>
        <w:tc>
          <w:tcPr>
            <w:tcW w:w="80" w:type="dxa"/>
            <w:vAlign w:val="bottom"/>
          </w:tcPr>
          <w:p>
            <w:pPr>
              <w:spacing w:after="0"/>
              <w:rPr>
                <w:sz w:val="22"/>
                <w:szCs w:val="22"/>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w w:val="97"/>
              </w:rPr>
              <w:t>Exact Name of Subsidiary</w:t>
            </w:r>
          </w:p>
        </w:tc>
        <w:tc>
          <w:tcPr>
            <w:tcW w:w="480" w:type="dxa"/>
            <w:vAlign w:val="bottom"/>
          </w:tcPr>
          <w:p>
            <w:pPr>
              <w:spacing w:after="0"/>
              <w:rPr>
                <w:sz w:val="22"/>
                <w:szCs w:val="22"/>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w w:val="97"/>
              </w:rPr>
              <w:t>Jurisdiction of Organization</w:t>
            </w: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1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Type of Obligor</w:t>
            </w:r>
          </w:p>
        </w:tc>
      </w:tr>
      <w:tr>
        <w:trPr>
          <w:trHeight w:val="290"/>
        </w:trPr>
        <w:tc>
          <w:tcPr>
            <w:tcW w:w="80" w:type="dxa"/>
            <w:vAlign w:val="bottom"/>
          </w:tcPr>
          <w:p>
            <w:pPr>
              <w:spacing w:after="0"/>
              <w:rPr>
                <w:sz w:val="24"/>
                <w:szCs w:val="24"/>
                <w:color w:val="auto"/>
              </w:rPr>
            </w:pPr>
          </w:p>
        </w:tc>
        <w:tc>
          <w:tcPr>
            <w:tcW w:w="24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2"/>
                <w:szCs w:val="22"/>
                <w:color w:val="auto"/>
              </w:rPr>
              <w:t>RHP Hotel Properties, LP</w:t>
            </w:r>
          </w:p>
        </w:tc>
        <w:tc>
          <w:tcPr>
            <w:tcW w:w="480" w:type="dxa"/>
            <w:vAlign w:val="bottom"/>
          </w:tcPr>
          <w:p>
            <w:pPr>
              <w:spacing w:after="0"/>
              <w:rPr>
                <w:sz w:val="24"/>
                <w:szCs w:val="24"/>
                <w:color w:val="auto"/>
              </w:rPr>
            </w:pPr>
          </w:p>
        </w:tc>
        <w:tc>
          <w:tcPr>
            <w:tcW w:w="2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2"/>
                <w:szCs w:val="22"/>
                <w:color w:val="auto"/>
              </w:rPr>
              <w:t>Delaware</w:t>
            </w: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2"/>
                <w:szCs w:val="22"/>
                <w:color w:val="auto"/>
              </w:rPr>
              <w:t>Issuer</w:t>
            </w:r>
          </w:p>
        </w:tc>
        <w:tc>
          <w:tcPr>
            <w:tcW w:w="680" w:type="dxa"/>
            <w:vAlign w:val="bottom"/>
          </w:tcPr>
          <w:p>
            <w:pPr>
              <w:spacing w:after="0"/>
              <w:rPr>
                <w:sz w:val="24"/>
                <w:szCs w:val="24"/>
                <w:color w:val="auto"/>
              </w:rPr>
            </w:pPr>
          </w:p>
        </w:tc>
      </w:tr>
      <w:tr>
        <w:trPr>
          <w:trHeight w:val="270"/>
        </w:trPr>
        <w:tc>
          <w:tcPr>
            <w:tcW w:w="80" w:type="dxa"/>
            <w:vAlign w:val="bottom"/>
          </w:tcPr>
          <w:p>
            <w:pPr>
              <w:spacing w:after="0"/>
              <w:rPr>
                <w:sz w:val="23"/>
                <w:szCs w:val="23"/>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RHP Finance Corporation</w:t>
            </w:r>
          </w:p>
        </w:tc>
        <w:tc>
          <w:tcPr>
            <w:tcW w:w="3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Delaware</w:t>
            </w:r>
          </w:p>
        </w:tc>
        <w:tc>
          <w:tcPr>
            <w:tcW w:w="256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Issuer</w:t>
            </w:r>
          </w:p>
        </w:tc>
      </w:tr>
      <w:tr>
        <w:trPr>
          <w:trHeight w:val="270"/>
        </w:trPr>
        <w:tc>
          <w:tcPr>
            <w:tcW w:w="80" w:type="dxa"/>
            <w:vAlign w:val="bottom"/>
          </w:tcPr>
          <w:p>
            <w:pPr>
              <w:spacing w:after="0"/>
              <w:rPr>
                <w:sz w:val="23"/>
                <w:szCs w:val="23"/>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Opryland Hospitality, LLC</w:t>
            </w:r>
          </w:p>
        </w:tc>
        <w:tc>
          <w:tcPr>
            <w:tcW w:w="3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Tennessee</w:t>
            </w:r>
          </w:p>
        </w:tc>
        <w:tc>
          <w:tcPr>
            <w:tcW w:w="256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Guarantor</w:t>
            </w:r>
          </w:p>
        </w:tc>
      </w:tr>
      <w:tr>
        <w:trPr>
          <w:trHeight w:val="270"/>
        </w:trPr>
        <w:tc>
          <w:tcPr>
            <w:tcW w:w="80" w:type="dxa"/>
            <w:vAlign w:val="bottom"/>
          </w:tcPr>
          <w:p>
            <w:pPr>
              <w:spacing w:after="0"/>
              <w:rPr>
                <w:sz w:val="23"/>
                <w:szCs w:val="23"/>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RHP Hotels, LLC</w:t>
            </w:r>
          </w:p>
        </w:tc>
        <w:tc>
          <w:tcPr>
            <w:tcW w:w="3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Delaware</w:t>
            </w:r>
          </w:p>
        </w:tc>
        <w:tc>
          <w:tcPr>
            <w:tcW w:w="256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Guarantor</w:t>
            </w:r>
          </w:p>
        </w:tc>
      </w:tr>
      <w:tr>
        <w:trPr>
          <w:trHeight w:val="270"/>
        </w:trPr>
        <w:tc>
          <w:tcPr>
            <w:tcW w:w="80" w:type="dxa"/>
            <w:vAlign w:val="bottom"/>
          </w:tcPr>
          <w:p>
            <w:pPr>
              <w:spacing w:after="0"/>
              <w:rPr>
                <w:sz w:val="23"/>
                <w:szCs w:val="23"/>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RHP Partner, LLC</w:t>
            </w:r>
          </w:p>
        </w:tc>
        <w:tc>
          <w:tcPr>
            <w:tcW w:w="3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Delaware</w:t>
            </w:r>
          </w:p>
        </w:tc>
        <w:tc>
          <w:tcPr>
            <w:tcW w:w="256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Guarantor</w:t>
            </w:r>
          </w:p>
        </w:tc>
      </w:tr>
      <w:tr>
        <w:trPr>
          <w:trHeight w:val="270"/>
        </w:trPr>
        <w:tc>
          <w:tcPr>
            <w:tcW w:w="80" w:type="dxa"/>
            <w:vAlign w:val="bottom"/>
          </w:tcPr>
          <w:p>
            <w:pPr>
              <w:spacing w:after="0"/>
              <w:rPr>
                <w:sz w:val="23"/>
                <w:szCs w:val="23"/>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RHP Property GP, LP</w:t>
            </w:r>
          </w:p>
        </w:tc>
        <w:tc>
          <w:tcPr>
            <w:tcW w:w="3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Florida</w:t>
            </w:r>
          </w:p>
        </w:tc>
        <w:tc>
          <w:tcPr>
            <w:tcW w:w="256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Guarantor</w:t>
            </w:r>
          </w:p>
        </w:tc>
      </w:tr>
      <w:tr>
        <w:trPr>
          <w:trHeight w:val="270"/>
        </w:trPr>
        <w:tc>
          <w:tcPr>
            <w:tcW w:w="80" w:type="dxa"/>
            <w:vAlign w:val="bottom"/>
          </w:tcPr>
          <w:p>
            <w:pPr>
              <w:spacing w:after="0"/>
              <w:rPr>
                <w:sz w:val="23"/>
                <w:szCs w:val="23"/>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RHP Property GT, LLC</w:t>
            </w:r>
          </w:p>
        </w:tc>
        <w:tc>
          <w:tcPr>
            <w:tcW w:w="3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Delaware</w:t>
            </w:r>
          </w:p>
        </w:tc>
        <w:tc>
          <w:tcPr>
            <w:tcW w:w="256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Guarantor</w:t>
            </w:r>
          </w:p>
        </w:tc>
      </w:tr>
      <w:tr>
        <w:trPr>
          <w:trHeight w:val="270"/>
        </w:trPr>
        <w:tc>
          <w:tcPr>
            <w:tcW w:w="80" w:type="dxa"/>
            <w:vAlign w:val="bottom"/>
          </w:tcPr>
          <w:p>
            <w:pPr>
              <w:spacing w:after="0"/>
              <w:rPr>
                <w:sz w:val="23"/>
                <w:szCs w:val="23"/>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RHP Property GT, LP</w:t>
            </w:r>
          </w:p>
        </w:tc>
        <w:tc>
          <w:tcPr>
            <w:tcW w:w="3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Delaware</w:t>
            </w:r>
          </w:p>
        </w:tc>
        <w:tc>
          <w:tcPr>
            <w:tcW w:w="256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Guarantor</w:t>
            </w:r>
          </w:p>
        </w:tc>
      </w:tr>
      <w:tr>
        <w:trPr>
          <w:trHeight w:val="270"/>
        </w:trPr>
        <w:tc>
          <w:tcPr>
            <w:tcW w:w="80" w:type="dxa"/>
            <w:vAlign w:val="bottom"/>
          </w:tcPr>
          <w:p>
            <w:pPr>
              <w:spacing w:after="0"/>
              <w:rPr>
                <w:sz w:val="23"/>
                <w:szCs w:val="23"/>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RHP Property NH, LLC</w:t>
            </w:r>
          </w:p>
        </w:tc>
        <w:tc>
          <w:tcPr>
            <w:tcW w:w="3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Maryland</w:t>
            </w:r>
          </w:p>
        </w:tc>
        <w:tc>
          <w:tcPr>
            <w:tcW w:w="256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Guarantor</w:t>
            </w:r>
          </w:p>
        </w:tc>
      </w:tr>
      <w:tr>
        <w:trPr>
          <w:trHeight w:val="270"/>
        </w:trPr>
        <w:tc>
          <w:tcPr>
            <w:tcW w:w="80" w:type="dxa"/>
            <w:vAlign w:val="bottom"/>
          </w:tcPr>
          <w:p>
            <w:pPr>
              <w:spacing w:after="0"/>
              <w:rPr>
                <w:sz w:val="23"/>
                <w:szCs w:val="23"/>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RHP Property SA, LLC</w:t>
            </w:r>
          </w:p>
        </w:tc>
        <w:tc>
          <w:tcPr>
            <w:tcW w:w="3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Delaware</w:t>
            </w:r>
          </w:p>
        </w:tc>
        <w:tc>
          <w:tcPr>
            <w:tcW w:w="256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Guarantor</w:t>
            </w:r>
          </w:p>
        </w:tc>
      </w:tr>
      <w:tr>
        <w:trPr>
          <w:trHeight w:val="270"/>
        </w:trPr>
        <w:tc>
          <w:tcPr>
            <w:tcW w:w="80" w:type="dxa"/>
            <w:vAlign w:val="bottom"/>
          </w:tcPr>
          <w:p>
            <w:pPr>
              <w:spacing w:after="0"/>
              <w:rPr>
                <w:sz w:val="23"/>
                <w:szCs w:val="23"/>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RHPAHP, LLC</w:t>
            </w:r>
          </w:p>
        </w:tc>
        <w:tc>
          <w:tcPr>
            <w:tcW w:w="3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Delaware</w:t>
            </w:r>
          </w:p>
        </w:tc>
        <w:tc>
          <w:tcPr>
            <w:tcW w:w="256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Guarantor</w:t>
            </w:r>
          </w:p>
        </w:tc>
      </w:tr>
      <w:tr>
        <w:trPr>
          <w:trHeight w:val="270"/>
        </w:trPr>
        <w:tc>
          <w:tcPr>
            <w:tcW w:w="80" w:type="dxa"/>
            <w:vAlign w:val="bottom"/>
          </w:tcPr>
          <w:p>
            <w:pPr>
              <w:spacing w:after="0"/>
              <w:rPr>
                <w:sz w:val="23"/>
                <w:szCs w:val="23"/>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Aurora Convention Center</w:t>
            </w:r>
          </w:p>
        </w:tc>
        <w:tc>
          <w:tcPr>
            <w:tcW w:w="3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Delaware</w:t>
            </w:r>
          </w:p>
        </w:tc>
        <w:tc>
          <w:tcPr>
            <w:tcW w:w="256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Guarantor</w:t>
            </w:r>
          </w:p>
        </w:tc>
      </w:tr>
      <w:tr>
        <w:trPr>
          <w:trHeight w:val="282"/>
        </w:trPr>
        <w:tc>
          <w:tcPr>
            <w:tcW w:w="80" w:type="dxa"/>
            <w:vAlign w:val="bottom"/>
          </w:tcPr>
          <w:p>
            <w:pPr>
              <w:spacing w:after="0"/>
              <w:rPr>
                <w:sz w:val="24"/>
                <w:szCs w:val="24"/>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Hotel Investors, LLC</w:t>
            </w:r>
          </w:p>
        </w:tc>
        <w:tc>
          <w:tcPr>
            <w:tcW w:w="2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71"/>
        </w:trPr>
        <w:tc>
          <w:tcPr>
            <w:tcW w:w="80" w:type="dxa"/>
            <w:vAlign w:val="bottom"/>
          </w:tcPr>
          <w:p>
            <w:pPr>
              <w:spacing w:after="0"/>
              <w:rPr>
                <w:sz w:val="23"/>
                <w:szCs w:val="23"/>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Aurora Convention Center</w:t>
            </w:r>
          </w:p>
        </w:tc>
        <w:tc>
          <w:tcPr>
            <w:tcW w:w="3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Delaware</w:t>
            </w:r>
          </w:p>
        </w:tc>
        <w:tc>
          <w:tcPr>
            <w:tcW w:w="256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Guarantor</w:t>
            </w:r>
          </w:p>
        </w:tc>
      </w:tr>
      <w:tr>
        <w:trPr>
          <w:trHeight w:val="282"/>
        </w:trPr>
        <w:tc>
          <w:tcPr>
            <w:tcW w:w="80" w:type="dxa"/>
            <w:vAlign w:val="bottom"/>
          </w:tcPr>
          <w:p>
            <w:pPr>
              <w:spacing w:after="0"/>
              <w:rPr>
                <w:sz w:val="24"/>
                <w:szCs w:val="24"/>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Hotel, LLC</w:t>
            </w:r>
          </w:p>
        </w:tc>
        <w:tc>
          <w:tcPr>
            <w:tcW w:w="2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819"/>
        </w:trPr>
        <w:tc>
          <w:tcPr>
            <w:tcW w:w="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2" w:right="1440"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Fioravanti, certify that:</w:t>
      </w:r>
    </w:p>
    <w:p>
      <w:pPr>
        <w:spacing w:after="0" w:line="225" w:lineRule="exact"/>
        <w:rPr>
          <w:sz w:val="20"/>
          <w:szCs w:val="20"/>
          <w:color w:val="auto"/>
        </w:rPr>
      </w:pPr>
    </w:p>
    <w:p>
      <w:pPr>
        <w:ind w:left="660" w:hanging="652"/>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Ryman Hospitality Properties, Inc.;</w:t>
      </w:r>
    </w:p>
    <w:p>
      <w:pPr>
        <w:spacing w:after="0" w:line="225" w:lineRule="exact"/>
        <w:rPr>
          <w:rFonts w:ascii="Times New Roman" w:cs="Times New Roman" w:eastAsia="Times New Roman" w:hAnsi="Times New Roman"/>
          <w:sz w:val="18"/>
          <w:szCs w:val="18"/>
          <w:color w:val="auto"/>
        </w:rPr>
      </w:pPr>
    </w:p>
    <w:p>
      <w:pPr>
        <w:ind w:left="660" w:right="200" w:hanging="652"/>
        <w:spacing w:after="0" w:line="266"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280" w:hanging="652"/>
        <w:spacing w:after="0" w:line="266"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660" w:right="40" w:hanging="652"/>
        <w:spacing w:after="0" w:line="266"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260" w:firstLine="656"/>
        <w:spacing w:after="0" w:line="266" w:lineRule="auto"/>
        <w:tabs>
          <w:tab w:leader="none" w:pos="1296"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220" w:firstLine="656"/>
        <w:spacing w:after="0" w:line="266" w:lineRule="auto"/>
        <w:tabs>
          <w:tab w:leader="none" w:pos="1296"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100" w:firstLine="656"/>
        <w:spacing w:after="0" w:line="266" w:lineRule="auto"/>
        <w:tabs>
          <w:tab w:leader="none" w:pos="1296"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right="120" w:firstLine="656"/>
        <w:spacing w:after="0" w:line="266" w:lineRule="auto"/>
        <w:tabs>
          <w:tab w:leader="none" w:pos="1296"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380" w:hanging="652"/>
        <w:spacing w:after="0" w:line="266"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right="580" w:firstLine="656"/>
        <w:spacing w:after="0" w:line="266" w:lineRule="auto"/>
        <w:tabs>
          <w:tab w:leader="none" w:pos="1296"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right="260" w:firstLine="656"/>
        <w:spacing w:after="0" w:line="282" w:lineRule="auto"/>
        <w:tabs>
          <w:tab w:leader="none" w:pos="1296"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 2024</w:t>
      </w:r>
    </w:p>
    <w:p>
      <w:pPr>
        <w:spacing w:after="0" w:line="225"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color w:val="auto"/>
        </w:rPr>
        <w:t>By:</w:t>
        <w:tab/>
        <w:t>/s/ Mark Fioravanti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17145</wp:posOffset>
            </wp:positionV>
            <wp:extent cx="298323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Mark Fioravanti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Jennifer Hutcheson, certify that:</w:t>
      </w:r>
    </w:p>
    <w:p>
      <w:pPr>
        <w:spacing w:after="0" w:line="225" w:lineRule="exact"/>
        <w:rPr>
          <w:sz w:val="20"/>
          <w:szCs w:val="20"/>
          <w:color w:val="auto"/>
        </w:rPr>
      </w:pPr>
    </w:p>
    <w:p>
      <w:pPr>
        <w:ind w:left="680" w:hanging="672"/>
        <w:spacing w:after="0"/>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Ryman Hospitality Properties, Inc.;</w:t>
      </w:r>
    </w:p>
    <w:p>
      <w:pPr>
        <w:spacing w:after="0" w:line="225" w:lineRule="exact"/>
        <w:rPr>
          <w:rFonts w:ascii="Times New Roman" w:cs="Times New Roman" w:eastAsia="Times New Roman" w:hAnsi="Times New Roman"/>
          <w:sz w:val="18"/>
          <w:szCs w:val="18"/>
          <w:color w:val="auto"/>
        </w:rPr>
      </w:pPr>
    </w:p>
    <w:p>
      <w:pPr>
        <w:ind w:right="400" w:firstLine="8"/>
        <w:spacing w:after="0" w:line="266" w:lineRule="auto"/>
        <w:tabs>
          <w:tab w:leader="none" w:pos="67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00" w:firstLine="8"/>
        <w:spacing w:after="0" w:line="266" w:lineRule="auto"/>
        <w:tabs>
          <w:tab w:leader="none" w:pos="67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right="500" w:firstLine="8"/>
        <w:spacing w:after="0" w:line="266" w:lineRule="auto"/>
        <w:tabs>
          <w:tab w:leader="none" w:pos="67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220" w:firstLine="656"/>
        <w:spacing w:after="0" w:line="266" w:lineRule="auto"/>
        <w:tabs>
          <w:tab w:leader="none" w:pos="1328"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240" w:firstLine="656"/>
        <w:spacing w:after="0" w:line="266" w:lineRule="auto"/>
        <w:tabs>
          <w:tab w:leader="none" w:pos="1293"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100" w:firstLine="656"/>
        <w:spacing w:after="0" w:line="266" w:lineRule="auto"/>
        <w:tabs>
          <w:tab w:leader="none" w:pos="1328"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right="120" w:firstLine="656"/>
        <w:spacing w:after="0" w:line="266" w:lineRule="auto"/>
        <w:tabs>
          <w:tab w:leader="none" w:pos="1293"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80" w:firstLine="8"/>
        <w:spacing w:after="0" w:line="266" w:lineRule="auto"/>
        <w:tabs>
          <w:tab w:leader="none" w:pos="67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right="560" w:firstLine="656"/>
        <w:spacing w:after="0" w:line="266" w:lineRule="auto"/>
        <w:tabs>
          <w:tab w:leader="none" w:pos="1318"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right="280" w:firstLine="656"/>
        <w:spacing w:after="0" w:line="282" w:lineRule="auto"/>
        <w:tabs>
          <w:tab w:leader="none" w:pos="1283"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Jennifer Hutcheson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17145</wp:posOffset>
            </wp:positionV>
            <wp:extent cx="24517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Jennifer Hutcheson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Executive Vice President, Chief Financial Officer</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and 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Ryman Hospitality Properties, Inc. (the "Company") on Form 10-Q for the quarter ended June 30, 2024, as filed with the Securities and Exchange Commission on the date hereof (the "Report"), each of the undersigned certifies, pursuant to 18 U.S.C. § 1350, as adopted pursuant to §906 of the Sarbanes-Oxley Act of 2002, that:</w:t>
      </w:r>
    </w:p>
    <w:p>
      <w:pPr>
        <w:spacing w:after="0" w:line="176" w:lineRule="exact"/>
        <w:rPr>
          <w:sz w:val="20"/>
          <w:szCs w:val="20"/>
          <w:color w:val="auto"/>
        </w:rPr>
      </w:pPr>
    </w:p>
    <w:p>
      <w:pPr>
        <w:ind w:left="1260" w:hanging="604"/>
        <w:spacing w:after="0"/>
        <w:tabs>
          <w:tab w:leader="none" w:pos="12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240" w:firstLine="656"/>
        <w:spacing w:after="0" w:line="282" w:lineRule="auto"/>
        <w:tabs>
          <w:tab w:leader="none" w:pos="125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By: /s/ Mark Fioravanti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17145</wp:posOffset>
            </wp:positionV>
            <wp:extent cx="218567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2185670" cy="8890"/>
                    </a:xfrm>
                    <a:prstGeom prst="rect">
                      <a:avLst/>
                    </a:prstGeom>
                    <a:noFill/>
                  </pic:spPr>
                </pic:pic>
              </a:graphicData>
            </a:graphic>
          </wp:anchor>
        </w:drawing>
      </w:r>
    </w:p>
    <w:p>
      <w:pPr>
        <w:spacing w:after="0" w:line="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Mark Fioravanti</w:t>
      </w:r>
    </w:p>
    <w:p>
      <w:pPr>
        <w:spacing w:after="0" w:line="2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August 1, 2024</w:t>
      </w:r>
    </w:p>
    <w:p>
      <w:pPr>
        <w:spacing w:after="0" w:line="20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By: /s/ Jennifer Hutcheson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17145</wp:posOffset>
            </wp:positionV>
            <wp:extent cx="21856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Jennifer Hutcheson</w:t>
      </w:r>
    </w:p>
    <w:p>
      <w:pPr>
        <w:spacing w:after="0" w:line="2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and Chief Accounting Officer</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August 1, 2024</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331470</wp:posOffset>
            </wp:positionV>
            <wp:extent cx="629221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1)"/>
      <w:numFmt w:val="upperLetter"/>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1)"/>
      <w:numFmt w:val="decimal"/>
      <w:start w:val="1"/>
    </w:lvl>
  </w:abstractNum>
  <w:abstractNum w:abstractNumId="16">
    <w:nsid w:val="3804823E"/>
    <w:multiLevelType w:val="hybridMultilevel"/>
    <w:lvl w:ilvl="0">
      <w:lvlJc w:val="left"/>
      <w:lvlText w:val="(%1)"/>
      <w:numFmt w:val="decimal"/>
      <w:start w:val="2"/>
    </w:lvl>
  </w:abstractNum>
  <w:abstractNum w:abstractNumId="17">
    <w:nsid w:val="77465F01"/>
    <w:multiLevelType w:val="hybridMultilevel"/>
    <w:lvl w:ilvl="0">
      <w:lvlJc w:val="left"/>
      <w:lvlText w:val="(%1)"/>
      <w:numFmt w:val="decimal"/>
      <w:start w:val="1"/>
    </w:lvl>
  </w:abstractNum>
  <w:abstractNum w:abstractNumId="18">
    <w:nsid w:val="7724C67E"/>
    <w:multiLevelType w:val="hybridMultilevel"/>
    <w:lvl w:ilvl="0">
      <w:lvlJc w:val="left"/>
      <w:lvlText w:val="(%1)"/>
      <w:numFmt w:val="decimal"/>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1)"/>
      <w:numFmt w:val="upperLetter"/>
      <w:start w:val="1"/>
    </w:lvl>
  </w:abstractNum>
  <w:abstractNum w:abstractNumId="28">
    <w:nsid w:val="6A2342EC"/>
    <w:multiLevelType w:val="hybridMultilevel"/>
    <w:lvl w:ilvl="0">
      <w:lvlJc w:val="left"/>
      <w:lvlText w:val="%1."/>
      <w:numFmt w:val="decimal"/>
      <w:start w:val="1"/>
    </w:lvl>
  </w:abstractNum>
  <w:abstractNum w:abstractNumId="29">
    <w:nsid w:val="2A487CB0"/>
    <w:multiLevelType w:val="hybridMultilevel"/>
    <w:lvl w:ilvl="0">
      <w:lvlJc w:val="left"/>
      <w:lvlText w:val="(%1)"/>
      <w:numFmt w:val="lowerLetter"/>
      <w:start w:val="1"/>
    </w:lvl>
  </w:abstractNum>
  <w:abstractNum w:abstractNumId="30">
    <w:nsid w:val="1D4ED43B"/>
    <w:multiLevelType w:val="hybridMultilevel"/>
    <w:lvl w:ilvl="0">
      <w:lvlJc w:val="left"/>
      <w:lvlText w:val="(%1)"/>
      <w:numFmt w:val="lowerLetter"/>
      <w:start w:val="3"/>
    </w:lvl>
  </w:abstractNum>
  <w:abstractNum w:abstractNumId="31">
    <w:nsid w:val="725A06FB"/>
    <w:multiLevelType w:val="hybridMultilevel"/>
    <w:lvl w:ilvl="0">
      <w:lvlJc w:val="left"/>
      <w:lvlText w:val="%1."/>
      <w:numFmt w:val="decimal"/>
      <w:start w:val="2"/>
    </w:lvl>
  </w:abstractNum>
  <w:abstractNum w:abstractNumId="32">
    <w:nsid w:val="2CD89A32"/>
    <w:multiLevelType w:val="hybridMultilevel"/>
    <w:lvl w:ilvl="0">
      <w:lvlJc w:val="left"/>
      <w:lvlText w:val="(%1)"/>
      <w:numFmt w:val="lowerLetter"/>
      <w:start w:val="1"/>
    </w:lvl>
  </w:abstractNum>
  <w:abstractNum w:abstractNumId="33">
    <w:nsid w:val="57E4CCAF"/>
    <w:multiLevelType w:val="hybridMultilevel"/>
    <w:lvl w:ilvl="0">
      <w:lvlJc w:val="left"/>
      <w:lvlText w:val="(%1)"/>
      <w:numFmt w:val="lowerLetter"/>
      <w:start w:val="2"/>
    </w:lvl>
  </w:abstractNum>
  <w:abstractNum w:abstractNumId="34">
    <w:nsid w:val="7A6D8D3C"/>
    <w:multiLevelType w:val="hybridMultilevel"/>
    <w:lvl w:ilvl="0">
      <w:lvlJc w:val="left"/>
      <w:lvlText w:val="%1."/>
      <w:numFmt w:val="decimal"/>
      <w:start w:val="3"/>
    </w:lvl>
    <w:lvl w:ilvl="1">
      <w:lvlJc w:val="left"/>
      <w:lvlText w:val="(%2)"/>
      <w:numFmt w:val="lowerLetter"/>
      <w:start w:val="1"/>
    </w:lvl>
  </w:abstractNum>
  <w:abstractNum w:abstractNumId="35">
    <w:nsid w:val="4B588F54"/>
    <w:multiLevelType w:val="hybridMultilevel"/>
    <w:lvl w:ilvl="0">
      <w:lvlJc w:val="left"/>
      <w:lvlText w:val="%1"/>
      <w:numFmt w:val="decimal"/>
      <w:start w:val="1"/>
    </w:lvl>
    <w:lvl w:ilvl="1">
      <w:lvlJc w:val="left"/>
      <w:lvlText w:val="(%2)"/>
      <w:numFmt w:val="lowerLetter"/>
      <w:start w:val="2"/>
    </w:lvl>
  </w:abstractNum>
  <w:abstractNum w:abstractNumId="36">
    <w:nsid w:val="542289EC"/>
    <w:multiLevelType w:val="hybridMultilevel"/>
    <w:lvl w:ilvl="0">
      <w:lvlJc w:val="left"/>
      <w:lvlText w:val="%1."/>
      <w:numFmt w:val="decimal"/>
      <w:start w:val="9"/>
    </w:lvl>
    <w:lvl w:ilvl="1">
      <w:lvlJc w:val="left"/>
      <w:lvlText w:val="%2"/>
      <w:numFmt w:val="lowerLetter"/>
      <w:start w:val="1"/>
    </w:lvl>
  </w:abstractNum>
  <w:abstractNum w:abstractNumId="37">
    <w:nsid w:val="6DE91B18"/>
    <w:multiLevelType w:val="hybridMultilevel"/>
    <w:lvl w:ilvl="0">
      <w:lvlJc w:val="left"/>
      <w:lvlText w:val="%1."/>
      <w:numFmt w:val="decimal"/>
      <w:start w:val="17"/>
    </w:lvl>
  </w:abstractNum>
  <w:abstractNum w:abstractNumId="38">
    <w:nsid w:val="38437FDB"/>
    <w:multiLevelType w:val="hybridMultilevel"/>
    <w:lvl w:ilvl="0">
      <w:lvlJc w:val="left"/>
      <w:lvlText w:val="(%1)"/>
      <w:numFmt w:val="upperLetter"/>
      <w:start w:val="1"/>
    </w:lvl>
  </w:abstractNum>
  <w:abstractNum w:abstractNumId="39">
    <w:nsid w:val="7644A45C"/>
    <w:multiLevelType w:val="hybridMultilevel"/>
    <w:lvl w:ilvl="0">
      <w:lvlJc w:val="left"/>
      <w:lvlText w:val="%1."/>
      <w:numFmt w:val="decimal"/>
      <w:start w:val="1"/>
    </w:lvl>
  </w:abstractNum>
  <w:abstractNum w:abstractNumId="40">
    <w:nsid w:val="32FFF902"/>
    <w:multiLevelType w:val="hybridMultilevel"/>
    <w:lvl w:ilvl="0">
      <w:lvlJc w:val="left"/>
      <w:lvlText w:val="(%1)"/>
      <w:numFmt w:val="lowerLetter"/>
      <w:start w:val="1"/>
    </w:lvl>
  </w:abstractNum>
  <w:abstractNum w:abstractNumId="41">
    <w:nsid w:val="684A481A"/>
    <w:multiLevelType w:val="hybridMultilevel"/>
    <w:lvl w:ilvl="0">
      <w:lvlJc w:val="left"/>
      <w:lvlText w:val="(%1)"/>
      <w:numFmt w:val="lowerLetter"/>
      <w:start w:val="4"/>
    </w:lvl>
  </w:abstractNum>
  <w:abstractNum w:abstractNumId="42">
    <w:nsid w:val="579478FE"/>
    <w:multiLevelType w:val="hybridMultilevel"/>
    <w:lvl w:ilvl="0">
      <w:lvlJc w:val="left"/>
      <w:lvlText w:val="%1."/>
      <w:numFmt w:val="decimal"/>
      <w:start w:val="2"/>
    </w:lvl>
  </w:abstractNum>
  <w:abstractNum w:abstractNumId="43">
    <w:nsid w:val="749ABB43"/>
    <w:multiLevelType w:val="hybridMultilevel"/>
    <w:lvl w:ilvl="0">
      <w:lvlJc w:val="left"/>
      <w:lvlText w:val="(%1)"/>
      <w:numFmt w:val="lowerLetter"/>
      <w:start w:val="1"/>
    </w:lvl>
  </w:abstractNum>
  <w:abstractNum w:abstractNumId="44">
    <w:nsid w:val="3DC240FB"/>
    <w:multiLevelType w:val="hybridMultilevel"/>
    <w:lvl w:ilvl="0">
      <w:lvlJc w:val="left"/>
      <w:lvlText w:val="(%1)"/>
      <w:numFmt w:val="lowerLetter"/>
      <w:start w:val="2"/>
    </w:lvl>
  </w:abstractNum>
  <w:abstractNum w:abstractNumId="45">
    <w:nsid w:val="1BA026FA"/>
    <w:multiLevelType w:val="hybridMultilevel"/>
    <w:lvl w:ilvl="0">
      <w:lvlJc w:val="left"/>
      <w:lvlText w:val="%1."/>
      <w:numFmt w:val="decimal"/>
      <w:start w:val="3"/>
    </w:lvl>
  </w:abstractNum>
  <w:abstractNum w:abstractNumId="46">
    <w:nsid w:val="79A1DEAA"/>
    <w:multiLevelType w:val="hybridMultilevel"/>
    <w:lvl w:ilvl="0">
      <w:lvlJc w:val="left"/>
      <w:lvlText w:val="(%1)"/>
      <w:numFmt w:val="lowerLetter"/>
      <w:start w:val="1"/>
    </w:lvl>
  </w:abstractNum>
  <w:abstractNum w:abstractNumId="47">
    <w:nsid w:val="75C6C33A"/>
    <w:multiLevelType w:val="hybridMultilevel"/>
    <w:lvl w:ilvl="0">
      <w:lvlJc w:val="left"/>
      <w:lvlText w:val="(%1)"/>
      <w:numFmt w:val="lowerLetter"/>
      <w:start w:val="3"/>
    </w:lvl>
  </w:abstractNum>
  <w:abstractNum w:abstractNumId="48">
    <w:nsid w:val="12E685FB"/>
    <w:multiLevelType w:val="hybridMultilevel"/>
    <w:lvl w:ilvl="0">
      <w:lvlJc w:val="left"/>
      <w:lvlText w:val="%1."/>
      <w:numFmt w:val="decimal"/>
      <w:start w:val="5"/>
    </w:lvl>
    <w:lvl w:ilvl="1">
      <w:lvlJc w:val="left"/>
      <w:lvlText w:val="(%2)"/>
      <w:numFmt w:val="lowerLetter"/>
      <w:start w:val="1"/>
    </w:lvl>
  </w:abstractNum>
  <w:abstractNum w:abstractNumId="49">
    <w:nsid w:val="70C6A529"/>
    <w:multiLevelType w:val="hybridMultilevel"/>
    <w:lvl w:ilvl="0">
      <w:lvlJc w:val="left"/>
      <w:lvlText w:val="%1"/>
      <w:numFmt w:val="decimal"/>
      <w:start w:val="1"/>
    </w:lvl>
    <w:lvl w:ilvl="1">
      <w:lvlJc w:val="left"/>
      <w:lvlText w:val="(%2)"/>
      <w:numFmt w:val="lowerLetter"/>
      <w:start w:val="2"/>
    </w:lvl>
  </w:abstractNum>
  <w:abstractNum w:abstractNumId="50">
    <w:nsid w:val="520EEDD1"/>
    <w:multiLevelType w:val="hybridMultilevel"/>
    <w:lvl w:ilvl="0">
      <w:lvlJc w:val="left"/>
      <w:lvlText w:val="%1."/>
      <w:numFmt w:val="decimal"/>
      <w:start w:val="9"/>
    </w:lvl>
    <w:lvl w:ilvl="1">
      <w:lvlJc w:val="left"/>
      <w:lvlText w:val="%2"/>
      <w:numFmt w:val="lowerLetter"/>
      <w:start w:val="1"/>
    </w:lvl>
  </w:abstractNum>
  <w:abstractNum w:abstractNumId="51">
    <w:nsid w:val="374A3FE6"/>
    <w:multiLevelType w:val="hybridMultilevel"/>
    <w:lvl w:ilvl="0">
      <w:lvlJc w:val="left"/>
      <w:lvlText w:val="(%1)"/>
      <w:numFmt w:val="lowerRoman"/>
      <w:start w:val="2"/>
    </w:lvl>
  </w:abstractNum>
  <w:abstractNum w:abstractNumId="52">
    <w:nsid w:val="4F4EF005"/>
    <w:multiLevelType w:val="hybridMultilevel"/>
    <w:lvl w:ilvl="0">
      <w:lvlJc w:val="left"/>
      <w:lvlText w:val="%1."/>
      <w:numFmt w:val="decimal"/>
      <w:start w:val="17"/>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decimal"/>
      <w:start w:val="1"/>
    </w:lvl>
    <w:lvl w:ilvl="1">
      <w:lvlJc w:val="left"/>
      <w:lvlText w:val="%2)"/>
      <w:numFmt w:val="lowerLetter"/>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55" Type="http://schemas.openxmlformats.org/officeDocument/2006/relationships/hyperlink" Target="http://www.sec.gov/Archives/edgar/data/1040829/000119312512410191/d419132dex31.htm" TargetMode="External"/><Relationship Id="rId56" Type="http://schemas.openxmlformats.org/officeDocument/2006/relationships/hyperlink" Target="https://www.sec.gov/Archives/edgar/data/1040829/000155837023002012/rhp-20221231xex3d2.htm" TargetMode="External"/><Relationship Id="rId57" Type="http://schemas.openxmlformats.org/officeDocument/2006/relationships/hyperlink" Target="https://www.sec.gov/Archives/edgar/data/1040829/000114036124019606/ef20026843_ex10-1.htm" TargetMode="External"/><Relationship Id="rId58" Type="http://schemas.openxmlformats.org/officeDocument/2006/relationships/hyperlink" Target="https://www.sec.gov/Archives/edgar/data/1040829/000110465924059212/tm2413770d3_ex10-1.htm" TargetMode="External"/><Relationship Id="rId59" Type="http://schemas.openxmlformats.org/officeDocument/2006/relationships/hyperlink" Target="https://www.sec.gov/Archives/edgar/data/1040829/000110465924076463/tm2418580d1_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2024-08-01T14:51:05Z</dcterms:created>
  <dcterms:modified xsi:type="dcterms:W3CDTF">2024-08-01T14:51:05Z</dcterms:modified>
</cp:coreProperties>
</file>