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0" w:lineRule="exact"/>
        <w:rPr>
          <w:sz w:val="24"/>
          <w:szCs w:val="24"/>
          <w:color w:val="auto"/>
        </w:rPr>
      </w:pPr>
    </w:p>
    <w:p>
      <w:pPr>
        <w:ind w:left="3340" w:right="1020" w:hanging="3332"/>
        <w:spacing w:after="0" w:line="277" w:lineRule="auto"/>
        <w:tabs>
          <w:tab w:leader="none" w:pos="2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2023</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740" w:right="980" w:hanging="3732"/>
        <w:spacing w:after="0" w:line="277" w:lineRule="auto"/>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73-0664379</w:t>
            </w:r>
          </w:p>
        </w:tc>
      </w:tr>
      <w:tr>
        <w:trPr>
          <w:trHeight w:val="20"/>
        </w:trPr>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300" w:type="dxa"/>
            <w:vAlign w:val="bottom"/>
            <w:gridSpan w:val="3"/>
          </w:tcPr>
          <w:p>
            <w:pPr>
              <w:jc w:val="center"/>
              <w:ind w:right="297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530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Name of Each Exchange on</w:t>
            </w:r>
          </w:p>
        </w:tc>
      </w:tr>
      <w:tr>
        <w:trPr>
          <w:trHeight w:val="230"/>
        </w:trPr>
        <w:tc>
          <w:tcPr>
            <w:tcW w:w="740" w:type="dxa"/>
            <w:vAlign w:val="bottom"/>
          </w:tcPr>
          <w:p>
            <w:pPr>
              <w:spacing w:after="0"/>
              <w:rPr>
                <w:sz w:val="20"/>
                <w:szCs w:val="20"/>
                <w:color w:val="auto"/>
              </w:rPr>
            </w:pPr>
          </w:p>
        </w:tc>
        <w:tc>
          <w:tcPr>
            <w:tcW w:w="3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Title of Each Class</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3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40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RHP</w:t>
            </w:r>
          </w:p>
        </w:tc>
        <w:tc>
          <w:tcPr>
            <w:tcW w:w="32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8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5" w:lineRule="exact"/>
        <w:rPr>
          <w:sz w:val="24"/>
          <w:szCs w:val="24"/>
          <w:color w:val="auto"/>
        </w:rPr>
      </w:pPr>
    </w:p>
    <w:p>
      <w:pPr>
        <w:jc w:val="both"/>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8"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ind w:right="680"/>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2" w:lineRule="exact"/>
        <w:rPr>
          <w:sz w:val="24"/>
          <w:szCs w:val="24"/>
          <w:color w:val="auto"/>
        </w:rPr>
      </w:pPr>
    </w:p>
    <w:p>
      <w:pPr>
        <w:ind w:right="760"/>
        <w:spacing w:after="0" w:line="3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280" w:type="dxa"/>
            <w:vAlign w:val="bottom"/>
          </w:tcPr>
          <w:p>
            <w:pPr>
              <w:spacing w:after="0"/>
              <w:rPr>
                <w:sz w:val="20"/>
                <w:szCs w:val="20"/>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 as of July 31, 2023</w:t>
            </w:r>
          </w:p>
        </w:tc>
      </w:tr>
      <w:tr>
        <w:trPr>
          <w:trHeight w:val="224"/>
        </w:trPr>
        <w:tc>
          <w:tcPr>
            <w:tcW w:w="4780" w:type="dxa"/>
            <w:vAlign w:val="bottom"/>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87"/>
              </w:rPr>
              <w:t>59,706,488 shares</w:t>
            </w:r>
          </w:p>
        </w:tc>
      </w:tr>
      <w:tr>
        <w:trPr>
          <w:trHeight w:val="323"/>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68"/>
        </w:trPr>
        <w:tc>
          <w:tcPr>
            <w:tcW w:w="4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140" w:type="dxa"/>
            <w:vAlign w:val="bottom"/>
            <w:gridSpan w:val="25"/>
          </w:tcPr>
          <w:p>
            <w:pPr>
              <w:ind w:left="20"/>
              <w:spacing w:after="0"/>
              <w:rPr>
                <w:sz w:val="20"/>
                <w:szCs w:val="20"/>
                <w:color w:val="auto"/>
              </w:rPr>
            </w:pPr>
            <w:r>
              <w:rPr>
                <w:rFonts w:ascii="Arial" w:cs="Arial" w:eastAsia="Arial" w:hAnsi="Arial"/>
                <w:sz w:val="18"/>
                <w:szCs w:val="18"/>
                <w:color w:val="0000EE"/>
              </w:rPr>
              <w:t>Table of Contents</w:t>
            </w:r>
          </w:p>
        </w:tc>
        <w:tc>
          <w:tcPr>
            <w:tcW w:w="78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4"/>
          </w:tcPr>
          <w:p>
            <w:pPr>
              <w:jc w:val="center"/>
              <w:ind w:right="182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11"/>
          </w:tcPr>
          <w:p>
            <w:pPr>
              <w:jc w:val="center"/>
              <w:ind w:right="2220"/>
              <w:spacing w:after="0"/>
              <w:rPr>
                <w:sz w:val="20"/>
                <w:szCs w:val="20"/>
                <w:color w:val="auto"/>
              </w:rPr>
            </w:pPr>
            <w:r>
              <w:rPr>
                <w:rFonts w:ascii="Arial" w:cs="Arial" w:eastAsia="Arial" w:hAnsi="Arial"/>
                <w:sz w:val="18"/>
                <w:szCs w:val="18"/>
                <w:b w:val="1"/>
                <w:bCs w:val="1"/>
                <w:color w:val="auto"/>
                <w:w w:val="91"/>
              </w:rPr>
              <w:t>For the Quarter Ended June 30, 2023</w:t>
            </w:r>
          </w:p>
        </w:tc>
        <w:tc>
          <w:tcPr>
            <w:tcW w:w="7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385"/>
        </w:trPr>
        <w:tc>
          <w:tcPr>
            <w:tcW w:w="8140" w:type="dxa"/>
            <w:vAlign w:val="bottom"/>
            <w:gridSpan w:val="25"/>
          </w:tcPr>
          <w:p>
            <w:pPr>
              <w:ind w:left="20"/>
              <w:spacing w:after="0"/>
              <w:rPr>
                <w:sz w:val="20"/>
                <w:szCs w:val="20"/>
                <w:color w:val="auto"/>
              </w:rPr>
            </w:pPr>
            <w:r>
              <w:rPr>
                <w:rFonts w:ascii="Arial" w:cs="Arial" w:eastAsia="Arial" w:hAnsi="Arial"/>
                <w:sz w:val="18"/>
                <w:szCs w:val="18"/>
                <w:color w:val="0000EE"/>
              </w:rPr>
              <w:t>Part I - Financial Information</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Arial" w:cs="Arial" w:eastAsia="Arial" w:hAnsi="Arial"/>
                <w:sz w:val="18"/>
                <w:szCs w:val="18"/>
                <w:color w:val="0000EE"/>
              </w:rPr>
              <w:t>Item 1. Financial Statements.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Arial" w:cs="Arial" w:eastAsia="Arial" w:hAnsi="Arial"/>
                <w:sz w:val="18"/>
                <w:szCs w:val="18"/>
                <w:color w:val="0000EE"/>
                <w:w w:val="95"/>
              </w:rPr>
              <w:t>Condensed Consolidated Balance Sheets (Unaudited) – June 30, 2023 and December 31,</w:t>
            </w:r>
          </w:p>
        </w:tc>
        <w:tc>
          <w:tcPr>
            <w:tcW w:w="78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580" w:type="dxa"/>
            <w:vAlign w:val="bottom"/>
            <w:gridSpan w:val="6"/>
          </w:tcPr>
          <w:p>
            <w:pPr>
              <w:ind w:left="1220"/>
              <w:spacing w:after="0" w:line="196" w:lineRule="exact"/>
              <w:rPr>
                <w:sz w:val="20"/>
                <w:szCs w:val="20"/>
                <w:color w:val="auto"/>
              </w:rPr>
            </w:pPr>
            <w:r>
              <w:rPr>
                <w:rFonts w:ascii="Arial" w:cs="Arial" w:eastAsia="Arial" w:hAnsi="Arial"/>
                <w:sz w:val="18"/>
                <w:szCs w:val="18"/>
                <w:color w:val="0000EE"/>
                <w:w w:val="84"/>
              </w:rPr>
              <w:t>2022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Condensed Consolidated Statements of Operations and Comprehensive Income</w:t>
            </w:r>
          </w:p>
        </w:tc>
        <w:tc>
          <w:tcPr>
            <w:tcW w:w="120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(Unaudited) - For the Three and Six Months Ended June 30, 2023 and 2022</w:t>
            </w:r>
          </w:p>
        </w:tc>
        <w:tc>
          <w:tcPr>
            <w:tcW w:w="1480" w:type="dxa"/>
            <w:vAlign w:val="bottom"/>
            <w:gridSpan w:val="6"/>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Condensed Consolidated Statements of Cash Flows (Unaudited) - For the Six Months Ended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1"/>
          </w:tcPr>
          <w:p>
            <w:pPr>
              <w:spacing w:after="0" w:line="196" w:lineRule="exact"/>
              <w:rPr>
                <w:sz w:val="20"/>
                <w:szCs w:val="20"/>
                <w:color w:val="auto"/>
              </w:rPr>
            </w:pPr>
            <w:r>
              <w:rPr>
                <w:rFonts w:ascii="Arial" w:cs="Arial" w:eastAsia="Arial" w:hAnsi="Arial"/>
                <w:sz w:val="18"/>
                <w:szCs w:val="18"/>
                <w:color w:val="0000EE"/>
              </w:rPr>
              <w:t>June 30, 2023 and 2022</w:t>
            </w: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Equity (Deficit) and Noncontrolling Interest</w:t>
            </w:r>
          </w:p>
        </w:tc>
        <w:tc>
          <w:tcPr>
            <w:tcW w:w="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(Unaudited) - For the Three and Six Months Ended June 30, 2023 and 2022</w:t>
            </w:r>
          </w:p>
        </w:tc>
        <w:tc>
          <w:tcPr>
            <w:tcW w:w="600" w:type="dxa"/>
            <w:vAlign w:val="bottom"/>
            <w:tcBorders>
              <w:top w:val="single" w:sz="8" w:color="0000EE"/>
            </w:tcBorders>
            <w:gridSpan w:val="2"/>
          </w:tcPr>
          <w:p>
            <w:pPr>
              <w:spacing w:after="0"/>
              <w:rPr>
                <w:sz w:val="17"/>
                <w:szCs w:val="17"/>
                <w:color w:val="auto"/>
              </w:rPr>
            </w:pPr>
          </w:p>
        </w:tc>
        <w:tc>
          <w:tcPr>
            <w:tcW w:w="88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Arial" w:cs="Arial" w:eastAsia="Arial" w:hAnsi="Arial"/>
                <w:sz w:val="18"/>
                <w:szCs w:val="18"/>
                <w:color w:val="0000EE"/>
                <w:w w:val="96"/>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2080" w:type="dxa"/>
            <w:vAlign w:val="bottom"/>
            <w:tcBorders>
              <w:top w:val="single" w:sz="8" w:color="0000EE"/>
            </w:tcBorders>
            <w:gridSpan w:val="6"/>
          </w:tcPr>
          <w:p>
            <w:pPr>
              <w:spacing w:after="0"/>
              <w:rPr>
                <w:sz w:val="24"/>
                <w:szCs w:val="24"/>
                <w:color w:val="auto"/>
              </w:rPr>
            </w:pPr>
          </w:p>
        </w:tc>
        <w:tc>
          <w:tcPr>
            <w:tcW w:w="44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Arial" w:cs="Arial" w:eastAsia="Arial" w:hAnsi="Arial"/>
                <w:sz w:val="18"/>
                <w:szCs w:val="18"/>
                <w:color w:val="0000EE"/>
              </w:rPr>
              <w:t>Item 4. Controls and Procedures.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6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140" w:type="dxa"/>
            <w:vAlign w:val="bottom"/>
            <w:gridSpan w:val="25"/>
          </w:tcPr>
          <w:p>
            <w:pPr>
              <w:ind w:left="20"/>
              <w:spacing w:after="0"/>
              <w:rPr>
                <w:sz w:val="20"/>
                <w:szCs w:val="20"/>
                <w:color w:val="auto"/>
              </w:rPr>
            </w:pPr>
            <w:r>
              <w:rPr>
                <w:rFonts w:ascii="Arial" w:cs="Arial" w:eastAsia="Arial" w:hAnsi="Arial"/>
                <w:sz w:val="18"/>
                <w:szCs w:val="18"/>
                <w:color w:val="0000EE"/>
              </w:rPr>
              <w:t>Part II - Other Information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Item 1. Legal Proceedings.</w:t>
            </w:r>
          </w:p>
        </w:tc>
        <w:tc>
          <w:tcPr>
            <w:tcW w:w="55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Item 1A. Risk Factors.</w:t>
            </w:r>
          </w:p>
        </w:tc>
        <w:tc>
          <w:tcPr>
            <w:tcW w:w="58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Item 3. Defaults Upon Senior Securities.</w:t>
            </w:r>
          </w:p>
        </w:tc>
        <w:tc>
          <w:tcPr>
            <w:tcW w:w="254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Item 4. Mine Safety Disclosures.</w:t>
            </w:r>
          </w:p>
        </w:tc>
        <w:tc>
          <w:tcPr>
            <w:tcW w:w="456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2"/>
              </w:rPr>
              <w:t>Item 5. Other Information.</w:t>
            </w:r>
          </w:p>
        </w:tc>
        <w:tc>
          <w:tcPr>
            <w:tcW w:w="440" w:type="dxa"/>
            <w:vAlign w:val="bottom"/>
            <w:tcBorders>
              <w:top w:val="single" w:sz="8" w:color="0000EE"/>
            </w:tcBorders>
            <w:gridSpan w:val="4"/>
          </w:tcPr>
          <w:p>
            <w:pPr>
              <w:spacing w:after="0"/>
              <w:rPr>
                <w:sz w:val="24"/>
                <w:szCs w:val="24"/>
                <w:color w:val="auto"/>
              </w:rPr>
            </w:pPr>
          </w:p>
        </w:tc>
        <w:tc>
          <w:tcPr>
            <w:tcW w:w="512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5"/>
              </w:rPr>
              <w:t>Item 6. Exhibits.</w:t>
            </w:r>
          </w:p>
        </w:tc>
        <w:tc>
          <w:tcPr>
            <w:tcW w:w="622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8140" w:type="dxa"/>
            <w:vAlign w:val="bottom"/>
            <w:gridSpan w:val="25"/>
          </w:tcPr>
          <w:p>
            <w:pPr>
              <w:ind w:left="20"/>
              <w:spacing w:after="0"/>
              <w:rPr>
                <w:sz w:val="20"/>
                <w:szCs w:val="20"/>
                <w:color w:val="auto"/>
              </w:rPr>
            </w:pPr>
            <w:r>
              <w:rPr>
                <w:rFonts w:ascii="Arial" w:cs="Arial" w:eastAsia="Arial" w:hAnsi="Arial"/>
                <w:sz w:val="18"/>
                <w:szCs w:val="18"/>
                <w:color w:val="0000EE"/>
              </w:rPr>
              <w:t>SIGNATURES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898"/>
        </w:trPr>
        <w:tc>
          <w:tcPr>
            <w:tcW w:w="20" w:type="dxa"/>
            <w:vAlign w:val="bottom"/>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4480" w:type="dxa"/>
            <w:vAlign w:val="bottom"/>
            <w:gridSpan w:val="13"/>
          </w:tcPr>
          <w:p>
            <w:pPr>
              <w:jc w:val="center"/>
              <w:ind w:left="211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tbl>
      <w:tblPr>
        <w:tblLayout w:type="fixed"/>
        <w:tblInd w:w="40" w:type="dxa"/>
        <w:tblCellMar>
          <w:top w:w="0" w:type="dxa"/>
          <w:left w:w="0" w:type="dxa"/>
          <w:bottom w:w="0" w:type="dxa"/>
          <w:right w:w="0" w:type="dxa"/>
        </w:tblCellMar>
      </w:tblPr>
      <w:tr>
        <w:trPr>
          <w:trHeight w:val="148"/>
        </w:trPr>
        <w:tc>
          <w:tcPr>
            <w:tcW w:w="6960" w:type="dxa"/>
            <w:vAlign w:val="bottom"/>
          </w:tcPr>
          <w:p>
            <w:pPr>
              <w:spacing w:after="0"/>
              <w:rPr>
                <w:sz w:val="12"/>
                <w:szCs w:val="12"/>
                <w:color w:val="auto"/>
              </w:rPr>
            </w:pPr>
          </w:p>
        </w:tc>
        <w:tc>
          <w:tcPr>
            <w:tcW w:w="9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6960" w:type="dxa"/>
            <w:vAlign w:val="bottom"/>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r>
      <w:tr>
        <w:trPr>
          <w:trHeight w:val="196"/>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Property and equipment, net</w:t>
            </w:r>
          </w:p>
        </w:tc>
        <w:tc>
          <w:tcPr>
            <w:tcW w:w="900" w:type="dxa"/>
            <w:vAlign w:val="bottom"/>
          </w:tcPr>
          <w:p>
            <w:pPr>
              <w:jc w:val="right"/>
              <w:spacing w:after="0"/>
              <w:rPr>
                <w:sz w:val="20"/>
                <w:szCs w:val="20"/>
                <w:color w:val="auto"/>
              </w:rPr>
            </w:pPr>
            <w:r>
              <w:rPr>
                <w:rFonts w:ascii="Arial" w:cs="Arial" w:eastAsia="Arial" w:hAnsi="Arial"/>
                <w:sz w:val="17"/>
                <w:szCs w:val="17"/>
                <w:color w:val="auto"/>
                <w:w w:val="91"/>
              </w:rPr>
              <w:t>$ 3,931,077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3,171,708</w:t>
            </w:r>
          </w:p>
        </w:tc>
      </w:tr>
      <w:tr>
        <w:trPr>
          <w:trHeight w:val="203"/>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 - unrestricted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334,194</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Cash and cash equivalents - restricted</w:t>
            </w:r>
          </w:p>
        </w:tc>
        <w:tc>
          <w:tcPr>
            <w:tcW w:w="900" w:type="dxa"/>
            <w:vAlign w:val="bottom"/>
          </w:tcPr>
          <w:p>
            <w:pPr>
              <w:jc w:val="right"/>
              <w:spacing w:after="0"/>
              <w:rPr>
                <w:sz w:val="20"/>
                <w:szCs w:val="20"/>
                <w:color w:val="auto"/>
              </w:rPr>
            </w:pPr>
            <w:r>
              <w:rPr>
                <w:rFonts w:ascii="Arial" w:cs="Arial" w:eastAsia="Arial" w:hAnsi="Arial"/>
                <w:sz w:val="17"/>
                <w:szCs w:val="17"/>
                <w:color w:val="auto"/>
              </w:rPr>
              <w:t>105,565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110,136</w:t>
            </w: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Notes receivable, net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67,628</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Trade receivables, net</w:t>
            </w:r>
          </w:p>
        </w:tc>
        <w:tc>
          <w:tcPr>
            <w:tcW w:w="900" w:type="dxa"/>
            <w:vAlign w:val="bottom"/>
          </w:tcPr>
          <w:p>
            <w:pPr>
              <w:jc w:val="right"/>
              <w:spacing w:after="0"/>
              <w:rPr>
                <w:sz w:val="20"/>
                <w:szCs w:val="20"/>
                <w:color w:val="auto"/>
              </w:rPr>
            </w:pPr>
            <w:r>
              <w:rPr>
                <w:rFonts w:ascii="Arial" w:cs="Arial" w:eastAsia="Arial" w:hAnsi="Arial"/>
                <w:sz w:val="17"/>
                <w:szCs w:val="17"/>
                <w:color w:val="auto"/>
              </w:rPr>
              <w:t>105,209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116,836</w:t>
            </w:r>
          </w:p>
        </w:tc>
      </w:tr>
      <w:tr>
        <w:trPr>
          <w:trHeight w:val="203"/>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134,170</w:t>
            </w:r>
          </w:p>
        </w:tc>
      </w:tr>
      <w:tr>
        <w:trPr>
          <w:trHeight w:val="203"/>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Intangible assets, net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128,569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105,951</w:t>
            </w:r>
          </w:p>
        </w:tc>
      </w:tr>
      <w:tr>
        <w:trPr>
          <w:trHeight w:val="196"/>
        </w:trPr>
        <w:tc>
          <w:tcPr>
            <w:tcW w:w="6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$ 4,990,655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4,040,623</w:t>
            </w:r>
          </w:p>
        </w:tc>
      </w:tr>
      <w:tr>
        <w:trPr>
          <w:trHeight w:val="20"/>
        </w:trPr>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AND EQUITY: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Debt and finance lease obligations</w:t>
            </w:r>
          </w:p>
        </w:tc>
        <w:tc>
          <w:tcPr>
            <w:tcW w:w="900" w:type="dxa"/>
            <w:vAlign w:val="bottom"/>
          </w:tcPr>
          <w:p>
            <w:pPr>
              <w:jc w:val="right"/>
              <w:spacing w:after="0"/>
              <w:rPr>
                <w:sz w:val="20"/>
                <w:szCs w:val="20"/>
                <w:color w:val="auto"/>
              </w:rPr>
            </w:pPr>
            <w:r>
              <w:rPr>
                <w:rFonts w:ascii="Arial" w:cs="Arial" w:eastAsia="Arial" w:hAnsi="Arial"/>
                <w:sz w:val="17"/>
                <w:szCs w:val="17"/>
                <w:color w:val="auto"/>
                <w:w w:val="91"/>
              </w:rPr>
              <w:t>$ 3,380,063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2,862,592</w:t>
            </w:r>
          </w:p>
        </w:tc>
      </w:tr>
      <w:tr>
        <w:trPr>
          <w:trHeight w:val="203"/>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 and accrued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385,159</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Dividends payable</w:t>
            </w:r>
          </w:p>
        </w:tc>
        <w:tc>
          <w:tcPr>
            <w:tcW w:w="900" w:type="dxa"/>
            <w:vAlign w:val="bottom"/>
          </w:tcPr>
          <w:p>
            <w:pPr>
              <w:jc w:val="right"/>
              <w:spacing w:after="0"/>
              <w:rPr>
                <w:sz w:val="20"/>
                <w:szCs w:val="20"/>
                <w:color w:val="auto"/>
              </w:rPr>
            </w:pPr>
            <w:r>
              <w:rPr>
                <w:rFonts w:ascii="Arial" w:cs="Arial" w:eastAsia="Arial" w:hAnsi="Arial"/>
                <w:sz w:val="17"/>
                <w:szCs w:val="17"/>
                <w:color w:val="auto"/>
              </w:rPr>
              <w:t>60,972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14,121</w:t>
            </w:r>
          </w:p>
        </w:tc>
      </w:tr>
      <w:tr>
        <w:trPr>
          <w:trHeight w:val="203"/>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management rights proceeds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167,495</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Operating lease liabilities</w:t>
            </w:r>
          </w:p>
        </w:tc>
        <w:tc>
          <w:tcPr>
            <w:tcW w:w="900" w:type="dxa"/>
            <w:vAlign w:val="bottom"/>
          </w:tcPr>
          <w:p>
            <w:pPr>
              <w:jc w:val="right"/>
              <w:spacing w:after="0"/>
              <w:rPr>
                <w:sz w:val="20"/>
                <w:szCs w:val="20"/>
                <w:color w:val="auto"/>
              </w:rPr>
            </w:pPr>
            <w:r>
              <w:rPr>
                <w:rFonts w:ascii="Arial" w:cs="Arial" w:eastAsia="Arial" w:hAnsi="Arial"/>
                <w:sz w:val="17"/>
                <w:szCs w:val="17"/>
                <w:color w:val="auto"/>
              </w:rPr>
              <w:t>127,687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125,759</w:t>
            </w:r>
          </w:p>
        </w:tc>
      </w:tr>
      <w:tr>
        <w:trPr>
          <w:trHeight w:val="203"/>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income tax liabilities, net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12,915</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Other liabilities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64,824</w:t>
            </w:r>
          </w:p>
        </w:tc>
      </w:tr>
      <w:tr>
        <w:trPr>
          <w:trHeight w:val="196"/>
        </w:trPr>
        <w:tc>
          <w:tcPr>
            <w:tcW w:w="6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4,164,290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3,632,865</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Commitments and contingencies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Noncontrolling interest in consolidated joint venture</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311,857</w:t>
            </w:r>
          </w:p>
        </w:tc>
      </w:tr>
      <w:tr>
        <w:trPr>
          <w:trHeight w:val="203"/>
        </w:trPr>
        <w:tc>
          <w:tcPr>
            <w:tcW w:w="6960" w:type="dxa"/>
            <w:vAlign w:val="bottom"/>
          </w:tcPr>
          <w:p>
            <w:pPr>
              <w:ind w:left="120"/>
              <w:spacing w:after="0"/>
              <w:rPr>
                <w:sz w:val="20"/>
                <w:szCs w:val="20"/>
                <w:color w:val="auto"/>
              </w:rPr>
            </w:pPr>
            <w:r>
              <w:rPr>
                <w:rFonts w:ascii="Arial" w:cs="Arial" w:eastAsia="Arial" w:hAnsi="Arial"/>
                <w:sz w:val="17"/>
                <w:szCs w:val="17"/>
                <w:color w:val="auto"/>
              </w:rPr>
              <w:t>Equity: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9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Preferred stock, $.01 par value, 100,000 shares authorized, no shares issued or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5"/>
        </w:trPr>
        <w:tc>
          <w:tcPr>
            <w:tcW w:w="6960" w:type="dxa"/>
            <w:vAlign w:val="bottom"/>
          </w:tcPr>
          <w:p>
            <w:pPr>
              <w:ind w:left="220"/>
              <w:spacing w:after="0" w:line="185" w:lineRule="exact"/>
              <w:rPr>
                <w:sz w:val="20"/>
                <w:szCs w:val="20"/>
                <w:color w:val="auto"/>
              </w:rPr>
            </w:pPr>
            <w:r>
              <w:rPr>
                <w:rFonts w:ascii="Arial" w:cs="Arial" w:eastAsia="Arial" w:hAnsi="Arial"/>
                <w:sz w:val="17"/>
                <w:szCs w:val="17"/>
                <w:color w:val="auto"/>
                <w:w w:val="91"/>
              </w:rPr>
              <w:t>Common stock, $.01 par value, 400,000 shares authorized, 59,692 and 55,167 shares issued and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8"/>
        </w:trPr>
        <w:tc>
          <w:tcPr>
            <w:tcW w:w="6960" w:type="dxa"/>
            <w:vAlign w:val="bottom"/>
          </w:tcPr>
          <w:p>
            <w:pPr>
              <w:ind w:left="220"/>
              <w:spacing w:after="0"/>
              <w:rPr>
                <w:sz w:val="20"/>
                <w:szCs w:val="20"/>
                <w:color w:val="auto"/>
              </w:rPr>
            </w:pPr>
            <w:r>
              <w:rPr>
                <w:rFonts w:ascii="Arial" w:cs="Arial" w:eastAsia="Arial" w:hAnsi="Arial"/>
                <w:sz w:val="17"/>
                <w:szCs w:val="17"/>
                <w:color w:val="auto"/>
              </w:rPr>
              <w:t>outstanding, respectively</w:t>
            </w:r>
          </w:p>
        </w:tc>
        <w:tc>
          <w:tcPr>
            <w:tcW w:w="900" w:type="dxa"/>
            <w:vAlign w:val="bottom"/>
          </w:tcPr>
          <w:p>
            <w:pPr>
              <w:jc w:val="right"/>
              <w:spacing w:after="0"/>
              <w:rPr>
                <w:sz w:val="20"/>
                <w:szCs w:val="20"/>
                <w:color w:val="auto"/>
              </w:rPr>
            </w:pPr>
            <w:r>
              <w:rPr>
                <w:rFonts w:ascii="Arial" w:cs="Arial" w:eastAsia="Arial" w:hAnsi="Arial"/>
                <w:sz w:val="17"/>
                <w:szCs w:val="17"/>
                <w:color w:val="auto"/>
              </w:rPr>
              <w:t>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552</w:t>
            </w:r>
          </w:p>
        </w:tc>
      </w:tr>
      <w:tr>
        <w:trPr>
          <w:trHeight w:val="204"/>
        </w:trPr>
        <w:tc>
          <w:tcPr>
            <w:tcW w:w="6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1,488,329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1,102,733</w:t>
            </w:r>
          </w:p>
        </w:tc>
      </w:tr>
      <w:tr>
        <w:trPr>
          <w:trHeight w:val="203"/>
        </w:trPr>
        <w:tc>
          <w:tcPr>
            <w:tcW w:w="6960" w:type="dxa"/>
            <w:vAlign w:val="bottom"/>
          </w:tcPr>
          <w:p>
            <w:pPr>
              <w:ind w:left="220"/>
              <w:spacing w:after="0"/>
              <w:rPr>
                <w:sz w:val="20"/>
                <w:szCs w:val="20"/>
                <w:color w:val="auto"/>
              </w:rPr>
            </w:pPr>
            <w:r>
              <w:rPr>
                <w:rFonts w:ascii="Arial" w:cs="Arial" w:eastAsia="Arial" w:hAnsi="Arial"/>
                <w:sz w:val="17"/>
                <w:szCs w:val="17"/>
                <w:color w:val="auto"/>
              </w:rPr>
              <w:t>Treasury stock of 648 and 648 shares, at cost</w:t>
            </w:r>
          </w:p>
        </w:tc>
        <w:tc>
          <w:tcPr>
            <w:tcW w:w="900" w:type="dxa"/>
            <w:vAlign w:val="bottom"/>
          </w:tcPr>
          <w:p>
            <w:pPr>
              <w:jc w:val="right"/>
              <w:spacing w:after="0"/>
              <w:rPr>
                <w:sz w:val="20"/>
                <w:szCs w:val="20"/>
                <w:color w:val="auto"/>
              </w:rPr>
            </w:pPr>
            <w:r>
              <w:rPr>
                <w:rFonts w:ascii="Arial" w:cs="Arial" w:eastAsia="Arial" w:hAnsi="Arial"/>
                <w:sz w:val="17"/>
                <w:szCs w:val="17"/>
                <w:color w:val="auto"/>
              </w:rPr>
              <w:t>(18,467)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(18,467)</w:t>
            </w:r>
          </w:p>
        </w:tc>
      </w:tr>
      <w:tr>
        <w:trPr>
          <w:trHeight w:val="203"/>
        </w:trPr>
        <w:tc>
          <w:tcPr>
            <w:tcW w:w="6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Distributions in excess of retained earnings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(952,941)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(978,619)</w:t>
            </w:r>
          </w:p>
        </w:tc>
      </w:tr>
      <w:tr>
        <w:trPr>
          <w:trHeight w:val="203"/>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(10,923)</w:t>
            </w:r>
          </w:p>
        </w:tc>
      </w:tr>
      <w:tr>
        <w:trPr>
          <w:trHeight w:val="196"/>
        </w:trPr>
        <w:tc>
          <w:tcPr>
            <w:tcW w:w="6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497,879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95,276</w:t>
            </w:r>
          </w:p>
        </w:tc>
      </w:tr>
      <w:tr>
        <w:trPr>
          <w:trHeight w:val="196"/>
        </w:trPr>
        <w:tc>
          <w:tcPr>
            <w:tcW w:w="6960" w:type="dxa"/>
            <w:vAlign w:val="bottom"/>
          </w:tcPr>
          <w:p>
            <w:pPr>
              <w:ind w:left="220"/>
              <w:spacing w:after="0"/>
              <w:rPr>
                <w:sz w:val="20"/>
                <w:szCs w:val="20"/>
                <w:color w:val="auto"/>
              </w:rPr>
            </w:pPr>
            <w:r>
              <w:rPr>
                <w:rFonts w:ascii="Arial" w:cs="Arial" w:eastAsia="Arial" w:hAnsi="Arial"/>
                <w:sz w:val="17"/>
                <w:szCs w:val="17"/>
                <w:color w:val="auto"/>
              </w:rPr>
              <w:t>Noncontrolling interest in Operating Partnership</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w:t>
            </w:r>
          </w:p>
        </w:tc>
      </w:tr>
      <w:tr>
        <w:trPr>
          <w:trHeight w:val="196"/>
        </w:trPr>
        <w:tc>
          <w:tcPr>
            <w:tcW w:w="6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equity</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498,716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95,901</w:t>
            </w:r>
          </w:p>
        </w:tc>
      </w:tr>
      <w:tr>
        <w:trPr>
          <w:trHeight w:val="196"/>
        </w:trPr>
        <w:tc>
          <w:tcPr>
            <w:tcW w:w="6960" w:type="dxa"/>
            <w:vAlign w:val="bottom"/>
          </w:tcPr>
          <w:p>
            <w:pPr>
              <w:ind w:left="340"/>
              <w:spacing w:after="0"/>
              <w:rPr>
                <w:sz w:val="20"/>
                <w:szCs w:val="20"/>
                <w:color w:val="auto"/>
              </w:rPr>
            </w:pPr>
            <w:r>
              <w:rPr>
                <w:rFonts w:ascii="Arial" w:cs="Arial" w:eastAsia="Arial" w:hAnsi="Arial"/>
                <w:sz w:val="17"/>
                <w:szCs w:val="17"/>
                <w:color w:val="auto"/>
              </w:rPr>
              <w:t>Total liabilities and equity</w:t>
            </w:r>
          </w:p>
        </w:tc>
        <w:tc>
          <w:tcPr>
            <w:tcW w:w="900" w:type="dxa"/>
            <w:vAlign w:val="bottom"/>
          </w:tcPr>
          <w:p>
            <w:pPr>
              <w:jc w:val="right"/>
              <w:spacing w:after="0"/>
              <w:rPr>
                <w:sz w:val="20"/>
                <w:szCs w:val="20"/>
                <w:color w:val="auto"/>
              </w:rPr>
            </w:pPr>
            <w:r>
              <w:rPr>
                <w:rFonts w:ascii="Arial" w:cs="Arial" w:eastAsia="Arial" w:hAnsi="Arial"/>
                <w:sz w:val="17"/>
                <w:szCs w:val="17"/>
                <w:color w:val="auto"/>
                <w:w w:val="91"/>
              </w:rPr>
              <w:t>$ 4,990,655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4,040,623</w:t>
            </w:r>
          </w:p>
        </w:tc>
      </w:tr>
      <w:tr>
        <w:trPr>
          <w:trHeight w:val="20"/>
        </w:trPr>
        <w:tc>
          <w:tcPr>
            <w:tcW w:w="6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p>
      <w:pPr>
        <w:jc w:val="center"/>
        <w:ind w:left="1500" w:right="1900"/>
        <w:spacing w:after="0" w:line="261" w:lineRule="auto"/>
        <w:rPr>
          <w:sz w:val="20"/>
          <w:szCs w:val="20"/>
          <w:color w:val="auto"/>
        </w:rPr>
      </w:pPr>
      <w:r>
        <w:rPr>
          <w:rFonts w:ascii="Arial" w:cs="Arial" w:eastAsia="Arial" w:hAnsi="Arial"/>
          <w:sz w:val="17"/>
          <w:szCs w:val="17"/>
          <w:b w:val="1"/>
          <w:bCs w:val="1"/>
          <w:color w:val="auto"/>
        </w:rPr>
        <w:t>RYMAN HOSPITALITY PROPERTIES, INC. AND SUBSIDIARIES CONDENSED CONSOLIDATED STATEMENTS OF OPERATIONS AND COMPREHENSIVE INCOME (Unaudited)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5"/>
                <w:szCs w:val="15"/>
                <w:color w:val="auto"/>
              </w:rPr>
              <w:t>Rooms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168,492</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161,506</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329,743</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263,099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Food and beverage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188,083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413,712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300,199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5"/>
                <w:szCs w:val="15"/>
                <w:color w:val="auto"/>
              </w:rPr>
              <w:t>Other hotel revenue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51,285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52,213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98,669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99,615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Entertainment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87,158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68,402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154,438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106,426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504,843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470,204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996,562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769,339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Rooms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5"/>
                <w:szCs w:val="15"/>
                <w:color w:val="auto"/>
              </w:rPr>
              <w:t>Food and beverage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107,026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97,489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222,207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168,818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hotel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207,649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185,927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Management fees, net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15,418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30,613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16,266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hotel operating expenses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267,306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249,213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542,800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442,385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5"/>
                <w:szCs w:val="15"/>
                <w:color w:val="auto"/>
              </w:rPr>
              <w:t>Entertainment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57,088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45,670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108,522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77,401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5"/>
                <w:szCs w:val="15"/>
                <w:color w:val="auto"/>
              </w:rPr>
              <w:t>Preopening costs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sale of assets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20"/>
              <w:spacing w:after="0"/>
              <w:rPr>
                <w:sz w:val="20"/>
                <w:szCs w:val="20"/>
                <w:color w:val="auto"/>
              </w:rPr>
            </w:pPr>
            <w:r>
              <w:rPr>
                <w:rFonts w:ascii="Arial" w:cs="Arial" w:eastAsia="Arial" w:hAnsi="Arial"/>
                <w:sz w:val="15"/>
                <w:szCs w:val="15"/>
                <w:color w:val="auto"/>
              </w:rPr>
              <w:t>Depreciation and amortization</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48,257</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56,715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96,614</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112,743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382,603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364,236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768,672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655,497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105,968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227,890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113,842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(49,179)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(33,958)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(91,707)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(65,895)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(1,547)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unconsolidated joint ventures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(5,628)</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gains and (losses), net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before income taxes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73,687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136,314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(17,634)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(17,569)</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70,143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50,924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131,137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26,127</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noncontrolling interest in consolidated joint venture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attributable to noncontrolling interest in Operating Partnership</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 available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66,543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127,863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25,663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Basic income per share available to common stockholders</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w:t>
            </w:r>
          </w:p>
        </w:tc>
        <w:tc>
          <w:tcPr>
            <w:tcW w:w="3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0.91</w:t>
            </w:r>
          </w:p>
        </w:tc>
        <w:tc>
          <w:tcPr>
            <w:tcW w:w="3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3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tcPr>
          <w:p>
            <w:pPr>
              <w:ind w:left="20"/>
              <w:spacing w:after="0" w:line="156" w:lineRule="exact"/>
              <w:rPr>
                <w:sz w:val="20"/>
                <w:szCs w:val="20"/>
                <w:color w:val="auto"/>
              </w:rPr>
            </w:pPr>
            <w:r>
              <w:rPr>
                <w:rFonts w:ascii="Arial" w:cs="Arial" w:eastAsia="Arial" w:hAnsi="Arial"/>
                <w:sz w:val="15"/>
                <w:szCs w:val="15"/>
                <w:color w:val="auto"/>
              </w:rPr>
              <w:t>Diluted income per share available to common stockholders</w:t>
            </w: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1.15</w:t>
            </w:r>
          </w:p>
        </w:tc>
        <w:tc>
          <w:tcPr>
            <w:tcW w:w="34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0.91</w:t>
            </w:r>
          </w:p>
        </w:tc>
        <w:tc>
          <w:tcPr>
            <w:tcW w:w="30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2.17</w:t>
            </w:r>
          </w:p>
        </w:tc>
        <w:tc>
          <w:tcPr>
            <w:tcW w:w="34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0.46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5"/>
                <w:szCs w:val="15"/>
                <w:color w:val="auto"/>
              </w:rPr>
              <w:t>Comprehensive income, net of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67,719</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49,626</w:t>
            </w: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122,421</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34,815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4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Comprehensive income, net of taxes, attributable to noncontrolling interest in</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consolidated joint venture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49"/>
        </w:trPr>
        <w:tc>
          <w:tcPr>
            <w:tcW w:w="5240" w:type="dxa"/>
            <w:vAlign w:val="bottom"/>
          </w:tcPr>
          <w:p>
            <w:pPr>
              <w:ind w:left="20"/>
              <w:spacing w:after="0" w:line="149" w:lineRule="exact"/>
              <w:rPr>
                <w:sz w:val="20"/>
                <w:szCs w:val="20"/>
                <w:color w:val="auto"/>
              </w:rPr>
            </w:pPr>
            <w:r>
              <w:rPr>
                <w:rFonts w:ascii="Arial" w:cs="Arial" w:eastAsia="Arial" w:hAnsi="Arial"/>
                <w:sz w:val="15"/>
                <w:szCs w:val="15"/>
                <w:color w:val="auto"/>
              </w:rPr>
              <w:t>Comprehensive income, net of taxes, attributable to noncontrolling interest in</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(454)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(351)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(846)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(246)</w:t>
            </w:r>
          </w:p>
        </w:tc>
        <w:tc>
          <w:tcPr>
            <w:tcW w:w="1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5"/>
                <w:szCs w:val="15"/>
                <w:color w:val="auto"/>
              </w:rPr>
              <w:t>Operating Partnership</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 net of taxes, available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63,553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118,848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Six Months Ended</w:t>
      </w:r>
    </w:p>
    <w:p>
      <w:pPr>
        <w:ind w:left="74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59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156"/>
        </w:trPr>
        <w:tc>
          <w:tcPr>
            <w:tcW w:w="59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Cash Flows from Operating Activities:</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131,137</w:t>
            </w:r>
          </w:p>
        </w:tc>
        <w:tc>
          <w:tcPr>
            <w:tcW w:w="40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26,127</w:t>
            </w: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Amounts to reconcile net income to net cash flows provided by operating activities:</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Provision for deferred income taxes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3,431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295</w:t>
            </w: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Depreciation and amortization</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96,614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112,743</w:t>
            </w: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Amortization of deferred financing costs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5,307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4,538</w:t>
            </w: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Loss from unconsolidated joint ventures</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4,959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5,628</w:t>
            </w: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Stock-based compensation expense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7,540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7,440</w:t>
            </w:r>
          </w:p>
        </w:tc>
        <w:tc>
          <w:tcPr>
            <w:tcW w:w="220" w:type="dxa"/>
            <w:vAlign w:val="bottom"/>
          </w:tcPr>
          <w:p>
            <w:pPr>
              <w:spacing w:after="0"/>
              <w:rPr>
                <w:sz w:val="14"/>
                <w:szCs w:val="14"/>
                <w:color w:val="auto"/>
              </w:rPr>
            </w:pPr>
          </w:p>
        </w:tc>
      </w:tr>
      <w:tr>
        <w:trPr>
          <w:trHeight w:val="176"/>
        </w:trPr>
        <w:tc>
          <w:tcPr>
            <w:tcW w:w="5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Trade receivables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26,369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(49,250)</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Accounts payable and accrued liabilities</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(66,046)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23,934</w:t>
            </w: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Other assets and liabilities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6,191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(3,842)</w:t>
            </w:r>
          </w:p>
        </w:tc>
      </w:tr>
      <w:tr>
        <w:trPr>
          <w:trHeight w:val="156"/>
        </w:trPr>
        <w:tc>
          <w:tcPr>
            <w:tcW w:w="598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5"/>
                <w:szCs w:val="15"/>
                <w:color w:val="auto"/>
              </w:rPr>
              <w:t>Net cash flows provided by operating activities</w:t>
            </w:r>
          </w:p>
        </w:tc>
        <w:tc>
          <w:tcPr>
            <w:tcW w:w="7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215,502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127,613</w:t>
            </w:r>
          </w:p>
        </w:tc>
        <w:tc>
          <w:tcPr>
            <w:tcW w:w="220" w:type="dxa"/>
            <w:vAlign w:val="bottom"/>
            <w:tcBorders>
              <w:top w:val="single" w:sz="8" w:color="CCEEFF"/>
            </w:tcBorders>
            <w:shd w:val="clear" w:color="auto" w:fill="CCEEFF"/>
          </w:tcPr>
          <w:p>
            <w:pPr>
              <w:spacing w:after="0"/>
              <w:rPr>
                <w:sz w:val="13"/>
                <w:szCs w:val="13"/>
                <w:color w:val="auto"/>
              </w:rPr>
            </w:pPr>
          </w:p>
        </w:tc>
      </w:tr>
      <w:tr>
        <w:trPr>
          <w:trHeight w:val="155"/>
        </w:trPr>
        <w:tc>
          <w:tcPr>
            <w:tcW w:w="5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59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Cash Flows from Investing Activities:</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Purchases of property and equipment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(78,173)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(24,715)</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Collection of notes receivable</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2,143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2,381</w:t>
            </w: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Purchase of Hill Country, net of cash acquired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(791,466)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Purchase of Block 21, net of cash acquired</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(93,992)</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Investment in Circle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(8,000)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(6,000)</w:t>
            </w:r>
          </w:p>
        </w:tc>
      </w:tr>
      <w:tr>
        <w:trPr>
          <w:trHeight w:val="162"/>
        </w:trPr>
        <w:tc>
          <w:tcPr>
            <w:tcW w:w="5980" w:type="dxa"/>
            <w:vAlign w:val="bottom"/>
            <w:tcBorders>
              <w:bottom w:val="single" w:sz="8" w:color="CCEEFF"/>
            </w:tcBorders>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investing activities, net</w:t>
            </w: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(10,004)</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730</w:t>
            </w:r>
          </w:p>
        </w:tc>
        <w:tc>
          <w:tcPr>
            <w:tcW w:w="220" w:type="dxa"/>
            <w:vAlign w:val="bottom"/>
            <w:tcBorders>
              <w:bottom w:val="single" w:sz="8" w:color="CCEEFF"/>
            </w:tcBorders>
            <w:shd w:val="clear" w:color="auto" w:fill="CCEEFF"/>
          </w:tcPr>
          <w:p>
            <w:pPr>
              <w:spacing w:after="0"/>
              <w:rPr>
                <w:sz w:val="14"/>
                <w:szCs w:val="14"/>
                <w:color w:val="auto"/>
              </w:rPr>
            </w:pPr>
          </w:p>
        </w:tc>
      </w:tr>
      <w:tr>
        <w:trPr>
          <w:trHeight w:val="156"/>
        </w:trPr>
        <w:tc>
          <w:tcPr>
            <w:tcW w:w="5980" w:type="dxa"/>
            <w:vAlign w:val="bottom"/>
          </w:tcPr>
          <w:p>
            <w:pPr>
              <w:ind w:left="22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5"/>
                <w:szCs w:val="15"/>
                <w:color w:val="auto"/>
              </w:rPr>
              <w:t>(885,500)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220"/>
              <w:spacing w:after="0" w:line="156" w:lineRule="exact"/>
              <w:rPr>
                <w:sz w:val="20"/>
                <w:szCs w:val="20"/>
                <w:color w:val="auto"/>
              </w:rPr>
            </w:pPr>
            <w:r>
              <w:rPr>
                <w:rFonts w:ascii="Arial" w:cs="Arial" w:eastAsia="Arial" w:hAnsi="Arial"/>
                <w:sz w:val="15"/>
                <w:szCs w:val="15"/>
                <w:color w:val="auto"/>
              </w:rPr>
              <w:t>(121,596)</w:t>
            </w:r>
          </w:p>
        </w:tc>
      </w:tr>
      <w:tr>
        <w:trPr>
          <w:trHeight w:val="155"/>
        </w:trPr>
        <w:tc>
          <w:tcPr>
            <w:tcW w:w="59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62"/>
        </w:trPr>
        <w:tc>
          <w:tcPr>
            <w:tcW w:w="5980" w:type="dxa"/>
            <w:vAlign w:val="bottom"/>
          </w:tcPr>
          <w:p>
            <w:pPr>
              <w:ind w:left="20"/>
              <w:spacing w:after="0" w:line="162" w:lineRule="exact"/>
              <w:rPr>
                <w:sz w:val="20"/>
                <w:szCs w:val="20"/>
                <w:color w:val="auto"/>
              </w:rPr>
            </w:pPr>
            <w:r>
              <w:rPr>
                <w:rFonts w:ascii="Arial" w:cs="Arial" w:eastAsia="Arial" w:hAnsi="Arial"/>
                <w:sz w:val="15"/>
                <w:szCs w:val="15"/>
                <w:color w:val="auto"/>
              </w:rPr>
              <w:t>Cash Flows from Financing Activities: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59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borrowings under revolving credit facility</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(190,000)</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Borrowings under term loan B</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500,000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Repayments under term loan A</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(300,000)</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Repayments under term loan B</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(376,250)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(2,500)</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Borrowings under OEG revolving credit facility</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Borrowings under OEG term loan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288,000</w:t>
            </w: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Repayments under OEG term loan</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Repayments under Block 21 CMBS loan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(1,373)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(205)</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Issuance of senior notes</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Deferred financing costs paid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(23,679)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(14,750)</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Issuance of common stock, net</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395,444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Sale of noncontrolling interest in OEG</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286,489</w:t>
            </w: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(55,746)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(284)</w:t>
            </w: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(4,180)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(3,885)</w:t>
            </w: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financing activities, net</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(113)</w:t>
            </w:r>
          </w:p>
        </w:tc>
      </w:tr>
      <w:tr>
        <w:trPr>
          <w:trHeight w:val="155"/>
        </w:trPr>
        <w:tc>
          <w:tcPr>
            <w:tcW w:w="5980" w:type="dxa"/>
            <w:vAlign w:val="bottom"/>
            <w:tcBorders>
              <w:top w:val="single" w:sz="8" w:color="CCEEFF"/>
            </w:tcBorders>
          </w:tcPr>
          <w:p>
            <w:pPr>
              <w:ind w:left="220"/>
              <w:spacing w:after="0" w:line="156" w:lineRule="exact"/>
              <w:rPr>
                <w:sz w:val="20"/>
                <w:szCs w:val="20"/>
                <w:color w:val="auto"/>
              </w:rPr>
            </w:pPr>
            <w:r>
              <w:rPr>
                <w:rFonts w:ascii="Arial" w:cs="Arial" w:eastAsia="Arial" w:hAnsi="Arial"/>
                <w:sz w:val="15"/>
                <w:szCs w:val="15"/>
                <w:color w:val="auto"/>
              </w:rPr>
              <w:t>Net cash flows provided by financing activities</w:t>
            </w:r>
          </w:p>
        </w:tc>
        <w:tc>
          <w:tcPr>
            <w:tcW w:w="760" w:type="dxa"/>
            <w:vAlign w:val="bottom"/>
            <w:tcBorders>
              <w:top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839,577</w:t>
            </w:r>
          </w:p>
        </w:tc>
        <w:tc>
          <w:tcPr>
            <w:tcW w:w="220" w:type="dxa"/>
            <w:vAlign w:val="bottom"/>
            <w:tcBorders>
              <w:top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62,752</w:t>
            </w:r>
          </w:p>
        </w:tc>
        <w:tc>
          <w:tcPr>
            <w:tcW w:w="220" w:type="dxa"/>
            <w:vAlign w:val="bottom"/>
            <w:tcBorders>
              <w:top w:val="single" w:sz="8" w:color="CCEEFF"/>
            </w:tcBorders>
          </w:tcPr>
          <w:p>
            <w:pPr>
              <w:spacing w:after="0"/>
              <w:rPr>
                <w:sz w:val="13"/>
                <w:szCs w:val="13"/>
                <w:color w:val="auto"/>
              </w:rPr>
            </w:pPr>
          </w:p>
        </w:tc>
      </w:tr>
      <w:tr>
        <w:trPr>
          <w:trHeight w:val="169"/>
        </w:trPr>
        <w:tc>
          <w:tcPr>
            <w:tcW w:w="5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Pr>
          <w:p>
            <w:pPr>
              <w:ind w:left="20"/>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169,579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68,769</w:t>
            </w: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7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444,330</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163,000</w:t>
            </w:r>
          </w:p>
        </w:tc>
        <w:tc>
          <w:tcPr>
            <w:tcW w:w="220" w:type="dxa"/>
            <w:vAlign w:val="bottom"/>
            <w:shd w:val="clear" w:color="auto" w:fill="CCEEFF"/>
          </w:tcPr>
          <w:p>
            <w:pPr>
              <w:spacing w:after="0"/>
              <w:rPr>
                <w:sz w:val="14"/>
                <w:szCs w:val="14"/>
                <w:color w:val="auto"/>
              </w:rPr>
            </w:pPr>
          </w:p>
        </w:tc>
      </w:tr>
      <w:tr>
        <w:trPr>
          <w:trHeight w:val="195"/>
        </w:trPr>
        <w:tc>
          <w:tcPr>
            <w:tcW w:w="5980" w:type="dxa"/>
            <w:vAlign w:val="bottom"/>
            <w:tcBorders>
              <w:bottom w:val="single" w:sz="8" w:color="CCEEFF"/>
            </w:tcBorders>
          </w:tcPr>
          <w:p>
            <w:pPr>
              <w:ind w:left="2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613,909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231,769</w:t>
            </w:r>
          </w:p>
        </w:tc>
        <w:tc>
          <w:tcPr>
            <w:tcW w:w="220" w:type="dxa"/>
            <w:vAlign w:val="bottom"/>
            <w:tcBorders>
              <w:bottom w:val="single" w:sz="8" w:color="CCEEFF"/>
            </w:tcBorders>
          </w:tcPr>
          <w:p>
            <w:pPr>
              <w:spacing w:after="0"/>
              <w:rPr>
                <w:sz w:val="17"/>
                <w:szCs w:val="17"/>
                <w:color w:val="auto"/>
              </w:rPr>
            </w:pPr>
          </w:p>
        </w:tc>
      </w:tr>
      <w:tr>
        <w:trPr>
          <w:trHeight w:val="143"/>
        </w:trPr>
        <w:tc>
          <w:tcPr>
            <w:tcW w:w="5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2"/>
        </w:trPr>
        <w:tc>
          <w:tcPr>
            <w:tcW w:w="5980" w:type="dxa"/>
            <w:vAlign w:val="bottom"/>
          </w:tcPr>
          <w:p>
            <w:pPr>
              <w:ind w:left="20"/>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59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Cash and cash equivalents - unrestricted</w:t>
            </w:r>
          </w:p>
        </w:tc>
        <w:tc>
          <w:tcPr>
            <w:tcW w:w="920" w:type="dxa"/>
            <w:vAlign w:val="bottom"/>
            <w:gridSpan w:val="2"/>
            <w:shd w:val="clear" w:color="auto" w:fill="CCEEFF"/>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508,344</w:t>
            </w:r>
          </w:p>
        </w:tc>
        <w:tc>
          <w:tcPr>
            <w:tcW w:w="40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179,230</w:t>
            </w:r>
          </w:p>
        </w:tc>
        <w:tc>
          <w:tcPr>
            <w:tcW w:w="220" w:type="dxa"/>
            <w:vAlign w:val="bottom"/>
            <w:shd w:val="clear" w:color="auto" w:fill="CCEEFF"/>
          </w:tcPr>
          <w:p>
            <w:pPr>
              <w:spacing w:after="0"/>
              <w:rPr>
                <w:sz w:val="14"/>
                <w:szCs w:val="14"/>
                <w:color w:val="auto"/>
              </w:rPr>
            </w:pPr>
          </w:p>
        </w:tc>
      </w:tr>
      <w:tr>
        <w:trPr>
          <w:trHeight w:val="162"/>
        </w:trPr>
        <w:tc>
          <w:tcPr>
            <w:tcW w:w="598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5"/>
                <w:szCs w:val="15"/>
                <w:color w:val="auto"/>
              </w:rPr>
              <w:t>Cash and cash equivalents - restricted</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105,565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52,539</w:t>
            </w:r>
          </w:p>
        </w:tc>
        <w:tc>
          <w:tcPr>
            <w:tcW w:w="220" w:type="dxa"/>
            <w:vAlign w:val="bottom"/>
            <w:tcBorders>
              <w:bottom w:val="single" w:sz="8" w:color="CCEEFF"/>
            </w:tcBorders>
          </w:tcPr>
          <w:p>
            <w:pPr>
              <w:spacing w:after="0"/>
              <w:rPr>
                <w:sz w:val="14"/>
                <w:szCs w:val="14"/>
                <w:color w:val="auto"/>
              </w:rPr>
            </w:pPr>
          </w:p>
        </w:tc>
      </w:tr>
      <w:tr>
        <w:trPr>
          <w:trHeight w:val="195"/>
        </w:trPr>
        <w:tc>
          <w:tcPr>
            <w:tcW w:w="5980" w:type="dxa"/>
            <w:vAlign w:val="bottom"/>
            <w:tcBorders>
              <w:bottom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613,909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231,769</w:t>
            </w:r>
          </w:p>
        </w:tc>
        <w:tc>
          <w:tcPr>
            <w:tcW w:w="22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w w:val="91"/>
              </w:rPr>
              <w:t>Distributions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w w:val="86"/>
              </w:rPr>
              <w:t>Noncontrolling</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8"/>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w w:val="91"/>
              </w:rPr>
              <w:t>in Excess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7"/>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87"/>
              </w:rPr>
              <w:t>Interest in</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20"/>
              <w:spacing w:after="0" w:line="135" w:lineRule="exact"/>
              <w:rPr>
                <w:sz w:val="20"/>
                <w:szCs w:val="20"/>
                <w:color w:val="auto"/>
              </w:rPr>
            </w:pPr>
            <w:r>
              <w:rPr>
                <w:rFonts w:ascii="Arial" w:cs="Arial" w:eastAsia="Arial" w:hAnsi="Arial"/>
                <w:sz w:val="12"/>
                <w:szCs w:val="12"/>
                <w:b w:val="1"/>
                <w:bCs w:val="1"/>
                <w:color w:val="auto"/>
                <w:w w:val="88"/>
              </w:rPr>
              <w:t>Common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9"/>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jc w:val="center"/>
              <w:ind w:right="40"/>
              <w:spacing w:after="0" w:line="135" w:lineRule="exact"/>
              <w:rPr>
                <w:sz w:val="20"/>
                <w:szCs w:val="20"/>
                <w:color w:val="auto"/>
              </w:rPr>
            </w:pPr>
            <w:r>
              <w:rPr>
                <w:rFonts w:ascii="Arial" w:cs="Arial" w:eastAsia="Arial" w:hAnsi="Arial"/>
                <w:sz w:val="12"/>
                <w:szCs w:val="12"/>
                <w:b w:val="1"/>
                <w:bCs w:val="1"/>
                <w:color w:val="auto"/>
                <w:w w:val="90"/>
              </w:rPr>
              <w:t>Treasury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140"/>
              <w:spacing w:after="0" w:line="135" w:lineRule="exact"/>
              <w:rPr>
                <w:sz w:val="20"/>
                <w:szCs w:val="20"/>
                <w:color w:val="auto"/>
              </w:rPr>
            </w:pPr>
            <w:r>
              <w:rPr>
                <w:rFonts w:ascii="Arial" w:cs="Arial" w:eastAsia="Arial" w:hAnsi="Arial"/>
                <w:sz w:val="12"/>
                <w:szCs w:val="12"/>
                <w:b w:val="1"/>
                <w:bCs w:val="1"/>
                <w:color w:val="auto"/>
                <w:w w:val="90"/>
              </w:rPr>
              <w:t>Retained</w:t>
            </w:r>
          </w:p>
        </w:tc>
        <w:tc>
          <w:tcPr>
            <w:tcW w:w="80" w:type="dxa"/>
            <w:vAlign w:val="bottom"/>
          </w:tcPr>
          <w:p>
            <w:pPr>
              <w:spacing w:after="0"/>
              <w:rPr>
                <w:sz w:val="11"/>
                <w:szCs w:val="11"/>
                <w:color w:val="auto"/>
              </w:rPr>
            </w:pPr>
          </w:p>
        </w:tc>
        <w:tc>
          <w:tcPr>
            <w:tcW w:w="8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88"/>
              </w:rPr>
              <w:t>Stockholders'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43"/>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4"/>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9"/>
              </w:rPr>
              <w:t>Earnings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(Deficit)</w:t>
            </w: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Joint Venture</w:t>
            </w:r>
          </w:p>
        </w:tc>
        <w:tc>
          <w:tcPr>
            <w:tcW w:w="0" w:type="dxa"/>
            <w:vAlign w:val="bottom"/>
          </w:tcPr>
          <w:p>
            <w:pPr>
              <w:spacing w:after="0"/>
              <w:rPr>
                <w:sz w:val="1"/>
                <w:szCs w:val="1"/>
                <w:color w:val="auto"/>
              </w:rPr>
            </w:pPr>
          </w:p>
        </w:tc>
      </w:tr>
      <w:tr>
        <w:trPr>
          <w:trHeight w:val="128"/>
        </w:trPr>
        <w:tc>
          <w:tcPr>
            <w:tcW w:w="19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552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4"/>
              </w:rPr>
              <w:t>$ 1,102,733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(978,619)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(10,923)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95,276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95,901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311,857</w:t>
            </w:r>
          </w:p>
        </w:tc>
        <w:tc>
          <w:tcPr>
            <w:tcW w:w="0" w:type="dxa"/>
            <w:vAlign w:val="bottom"/>
          </w:tcPr>
          <w:p>
            <w:pPr>
              <w:spacing w:after="0"/>
              <w:rPr>
                <w:sz w:val="1"/>
                <w:szCs w:val="1"/>
                <w:color w:val="auto"/>
              </w:rPr>
            </w:pPr>
          </w:p>
        </w:tc>
      </w:tr>
      <w:tr>
        <w:trPr>
          <w:trHeight w:val="135"/>
        </w:trPr>
        <w:tc>
          <w:tcPr>
            <w:tcW w:w="1920" w:type="dxa"/>
            <w:vAlign w:val="bottom"/>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61,320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61,320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437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61,757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(8,659)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8,659</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w w:val="93"/>
              </w:rPr>
              <w:t>Other comprehensive loss, net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(6,292)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(6,292)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(6,292)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Payment of dividends ($0.75 per</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(41,900)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(41,794)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(42,090)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w w:val="97"/>
              </w:rPr>
              <w:t>Restricted stock units and 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(4,080)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3,739</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3,739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3,739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920" w:type="dxa"/>
            <w:vAlign w:val="bottom"/>
            <w:tcBorders>
              <w:bottom w:val="single" w:sz="8" w:color="CCEEFF"/>
            </w:tcBorders>
            <w:shd w:val="clear" w:color="auto" w:fill="CCEEFF"/>
          </w:tcPr>
          <w:p>
            <w:pPr>
              <w:ind w:left="120"/>
              <w:spacing w:after="0" w:line="136" w:lineRule="exact"/>
              <w:rPr>
                <w:sz w:val="20"/>
                <w:szCs w:val="20"/>
                <w:color w:val="auto"/>
              </w:rPr>
            </w:pPr>
            <w:r>
              <w:rPr>
                <w:rFonts w:ascii="Arial" w:cs="Arial" w:eastAsia="Arial" w:hAnsi="Arial"/>
                <w:sz w:val="13"/>
                <w:szCs w:val="13"/>
                <w:color w:val="auto"/>
              </w:rPr>
              <w:t>expense</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auto"/>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gridSpan w:val="2"/>
            <w:vMerge w:val="continue"/>
            <w:shd w:val="clear" w:color="auto" w:fill="CCEEFF"/>
          </w:tcPr>
          <w:p>
            <w:pPr>
              <w:spacing w:after="0"/>
              <w:rPr>
                <w:sz w:val="11"/>
                <w:szCs w:val="11"/>
                <w:color w:val="auto"/>
              </w:rPr>
            </w:pPr>
          </w:p>
        </w:tc>
        <w:tc>
          <w:tcPr>
            <w:tcW w:w="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gridSpan w:val="2"/>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line="129" w:lineRule="exact"/>
              <w:rPr>
                <w:sz w:val="20"/>
                <w:szCs w:val="20"/>
                <w:color w:val="auto"/>
              </w:rPr>
            </w:pPr>
            <w:r>
              <w:rPr>
                <w:rFonts w:ascii="Arial" w:cs="Arial" w:eastAsia="Arial" w:hAnsi="Arial"/>
                <w:sz w:val="13"/>
                <w:szCs w:val="13"/>
                <w:color w:val="auto"/>
              </w:rPr>
              <w:t>BALANCE, March 31, 2023</w:t>
            </w:r>
          </w:p>
        </w:tc>
        <w:tc>
          <w:tcPr>
            <w:tcW w:w="10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553</w:t>
            </w:r>
          </w:p>
        </w:tc>
        <w:tc>
          <w:tcPr>
            <w:tcW w:w="760" w:type="dxa"/>
            <w:vAlign w:val="bottom"/>
            <w:gridSpan w:val="4"/>
          </w:tcPr>
          <w:p>
            <w:pPr>
              <w:jc w:val="right"/>
              <w:ind w:right="40"/>
              <w:spacing w:after="0" w:line="129" w:lineRule="exact"/>
              <w:rPr>
                <w:sz w:val="20"/>
                <w:szCs w:val="20"/>
                <w:color w:val="auto"/>
              </w:rPr>
            </w:pPr>
            <w:r>
              <w:rPr>
                <w:rFonts w:ascii="Arial" w:cs="Arial" w:eastAsia="Arial" w:hAnsi="Arial"/>
                <w:sz w:val="13"/>
                <w:szCs w:val="13"/>
                <w:color w:val="auto"/>
              </w:rPr>
              <w:t>$ 1,093,839</w:t>
            </w:r>
          </w:p>
        </w:tc>
        <w:tc>
          <w:tcPr>
            <w:tcW w:w="680" w:type="dxa"/>
            <w:vAlign w:val="bottom"/>
            <w:gridSpan w:val="5"/>
          </w:tcPr>
          <w:p>
            <w:pPr>
              <w:jc w:val="right"/>
              <w:ind w:right="20"/>
              <w:spacing w:after="0" w:line="129" w:lineRule="exact"/>
              <w:rPr>
                <w:sz w:val="20"/>
                <w:szCs w:val="20"/>
                <w:color w:val="auto"/>
              </w:rPr>
            </w:pPr>
            <w:r>
              <w:rPr>
                <w:rFonts w:ascii="Arial" w:cs="Arial" w:eastAsia="Arial" w:hAnsi="Arial"/>
                <w:sz w:val="13"/>
                <w:szCs w:val="13"/>
                <w:color w:val="auto"/>
              </w:rPr>
              <w:t>$ (18,467)</w:t>
            </w:r>
          </w:p>
        </w:tc>
        <w:tc>
          <w:tcPr>
            <w:tcW w:w="180" w:type="dxa"/>
            <w:vAlign w:val="bottom"/>
            <w:gridSpan w:val="2"/>
          </w:tcPr>
          <w:p>
            <w:pPr>
              <w:ind w:left="10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(959,199)</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(17,215)</w:t>
            </w:r>
          </w:p>
        </w:tc>
        <w:tc>
          <w:tcPr>
            <w:tcW w:w="240" w:type="dxa"/>
            <w:vAlign w:val="bottom"/>
            <w:gridSpan w:val="3"/>
          </w:tcPr>
          <w:p>
            <w:pPr>
              <w:ind w:left="120"/>
              <w:spacing w:after="0" w:line="12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99,511</w:t>
            </w:r>
          </w:p>
        </w:tc>
        <w:tc>
          <w:tcPr>
            <w:tcW w:w="40" w:type="dxa"/>
            <w:vAlign w:val="bottom"/>
          </w:tcPr>
          <w:p>
            <w:pPr>
              <w:spacing w:after="0"/>
              <w:rPr>
                <w:sz w:val="11"/>
                <w:szCs w:val="11"/>
                <w:color w:val="auto"/>
              </w:rPr>
            </w:pPr>
          </w:p>
        </w:tc>
        <w:tc>
          <w:tcPr>
            <w:tcW w:w="18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766</w:t>
            </w:r>
          </w:p>
        </w:tc>
        <w:tc>
          <w:tcPr>
            <w:tcW w:w="20" w:type="dxa"/>
            <w:vAlign w:val="bottom"/>
          </w:tcPr>
          <w:p>
            <w:pPr>
              <w:spacing w:after="0"/>
              <w:rPr>
                <w:sz w:val="11"/>
                <w:szCs w:val="11"/>
                <w:color w:val="auto"/>
              </w:rPr>
            </w:pPr>
          </w:p>
        </w:tc>
        <w:tc>
          <w:tcPr>
            <w:tcW w:w="1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w w:val="85"/>
              </w:rPr>
              <w:t>100,277</w:t>
            </w:r>
          </w:p>
        </w:tc>
        <w:tc>
          <w:tcPr>
            <w:tcW w:w="220" w:type="dxa"/>
            <w:vAlign w:val="bottom"/>
            <w:gridSpan w:val="2"/>
          </w:tcPr>
          <w:p>
            <w:pPr>
              <w:ind w:left="120"/>
              <w:spacing w:after="0" w:line="129"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319,753</w:t>
            </w:r>
          </w:p>
        </w:tc>
        <w:tc>
          <w:tcPr>
            <w:tcW w:w="0" w:type="dxa"/>
            <w:vAlign w:val="bottom"/>
          </w:tcPr>
          <w:p>
            <w:pPr>
              <w:spacing w:after="0"/>
              <w:rPr>
                <w:sz w:val="1"/>
                <w:szCs w:val="1"/>
                <w:color w:val="auto"/>
              </w:rPr>
            </w:pPr>
          </w:p>
        </w:tc>
      </w:tr>
      <w:tr>
        <w:trPr>
          <w:trHeight w:val="128"/>
        </w:trPr>
        <w:tc>
          <w:tcPr>
            <w:tcW w:w="192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66,543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66,543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67,009</w:t>
            </w: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3,134</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interest to redemption value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(4,762)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(4,762)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4,762</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Other comprehensive loss, net of</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(2,424)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20"/>
              <w:spacing w:after="0" w:line="135" w:lineRule="exact"/>
              <w:rPr>
                <w:sz w:val="20"/>
                <w:szCs w:val="20"/>
                <w:color w:val="auto"/>
              </w:rPr>
            </w:pPr>
            <w:r>
              <w:rPr>
                <w:rFonts w:ascii="Arial" w:cs="Arial" w:eastAsia="Arial" w:hAnsi="Arial"/>
                <w:sz w:val="13"/>
                <w:szCs w:val="13"/>
                <w:color w:val="auto"/>
                <w:w w:val="99"/>
              </w:rPr>
              <w:t>Issuance of common stock, net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44</w:t>
            </w:r>
          </w:p>
        </w:tc>
        <w:tc>
          <w:tcPr>
            <w:tcW w:w="76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395,400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395,444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85"/>
              </w:rPr>
              <w:t>395,444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Payment of dividends ($1.00 per</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154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(60,285)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(60,131)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(60,526)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w w:val="97"/>
              </w:rPr>
              <w:t>Restricted stock units and 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(103)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3,801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2023</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597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w w:val="84"/>
              </w:rPr>
              <w:t>$ 1,488,329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(952,941)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(19,639)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497,879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837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498,716</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327,649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w w:val="86"/>
              </w:rPr>
              <w:t>Distributions</w:t>
            </w: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Noncontrolling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w w:val="86"/>
              </w:rPr>
              <w:t>Noncontrolling</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5"/>
          </w:tcPr>
          <w:p>
            <w:pPr>
              <w:jc w:val="right"/>
              <w:ind w:right="160"/>
              <w:spacing w:after="0" w:line="135" w:lineRule="exact"/>
              <w:rPr>
                <w:sz w:val="20"/>
                <w:szCs w:val="20"/>
                <w:color w:val="auto"/>
              </w:rPr>
            </w:pPr>
            <w:r>
              <w:rPr>
                <w:rFonts w:ascii="Arial" w:cs="Arial" w:eastAsia="Arial" w:hAnsi="Arial"/>
                <w:sz w:val="12"/>
                <w:szCs w:val="12"/>
                <w:b w:val="1"/>
                <w:bCs w:val="1"/>
                <w:color w:val="auto"/>
                <w:w w:val="88"/>
              </w:rPr>
              <w:t>in Excess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87"/>
              </w:rPr>
              <w:t>Interest in</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600" w:type="dxa"/>
            <w:vAlign w:val="bottom"/>
            <w:gridSpan w:val="4"/>
          </w:tcPr>
          <w:p>
            <w:pPr>
              <w:jc w:val="right"/>
              <w:ind w:right="120"/>
              <w:spacing w:after="0" w:line="135" w:lineRule="exact"/>
              <w:rPr>
                <w:sz w:val="20"/>
                <w:szCs w:val="20"/>
                <w:color w:val="auto"/>
              </w:rPr>
            </w:pPr>
            <w:r>
              <w:rPr>
                <w:rFonts w:ascii="Arial" w:cs="Arial" w:eastAsia="Arial" w:hAnsi="Arial"/>
                <w:sz w:val="12"/>
                <w:szCs w:val="12"/>
                <w:b w:val="1"/>
                <w:bCs w:val="1"/>
                <w:color w:val="auto"/>
                <w:w w:val="88"/>
              </w:rPr>
              <w:t>Common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Paid-in</w:t>
            </w:r>
          </w:p>
        </w:tc>
        <w:tc>
          <w:tcPr>
            <w:tcW w:w="20" w:type="dxa"/>
            <w:vAlign w:val="bottom"/>
          </w:tcPr>
          <w:p>
            <w:pPr>
              <w:spacing w:after="0"/>
              <w:rPr>
                <w:sz w:val="11"/>
                <w:szCs w:val="11"/>
                <w:color w:val="auto"/>
              </w:rPr>
            </w:pP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Treasury</w:t>
            </w:r>
          </w:p>
        </w:tc>
        <w:tc>
          <w:tcPr>
            <w:tcW w:w="100" w:type="dxa"/>
            <w:vAlign w:val="bottom"/>
          </w:tcPr>
          <w:p>
            <w:pPr>
              <w:spacing w:after="0"/>
              <w:rPr>
                <w:sz w:val="11"/>
                <w:szCs w:val="11"/>
                <w:color w:val="auto"/>
              </w:rPr>
            </w:pPr>
          </w:p>
        </w:tc>
        <w:tc>
          <w:tcPr>
            <w:tcW w:w="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Retained</w:t>
            </w:r>
          </w:p>
        </w:tc>
        <w:tc>
          <w:tcPr>
            <w:tcW w:w="8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3"/>
              </w:rPr>
              <w:t>Comprehensive</w:t>
            </w:r>
          </w:p>
        </w:tc>
        <w:tc>
          <w:tcPr>
            <w:tcW w:w="40" w:type="dxa"/>
            <w:vAlign w:val="bottom"/>
          </w:tcPr>
          <w:p>
            <w:pPr>
              <w:spacing w:after="0"/>
              <w:rPr>
                <w:sz w:val="11"/>
                <w:szCs w:val="11"/>
                <w:color w:val="auto"/>
              </w:rPr>
            </w:pPr>
          </w:p>
        </w:tc>
        <w:tc>
          <w:tcPr>
            <w:tcW w:w="800" w:type="dxa"/>
            <w:vAlign w:val="bottom"/>
            <w:gridSpan w:val="4"/>
          </w:tcPr>
          <w:p>
            <w:pPr>
              <w:jc w:val="right"/>
              <w:ind w:right="60"/>
              <w:spacing w:after="0" w:line="135" w:lineRule="exact"/>
              <w:rPr>
                <w:sz w:val="20"/>
                <w:szCs w:val="20"/>
                <w:color w:val="auto"/>
              </w:rPr>
            </w:pPr>
            <w:r>
              <w:rPr>
                <w:rFonts w:ascii="Arial" w:cs="Arial" w:eastAsia="Arial" w:hAnsi="Arial"/>
                <w:sz w:val="12"/>
                <w:szCs w:val="12"/>
                <w:b w:val="1"/>
                <w:bCs w:val="1"/>
                <w:color w:val="auto"/>
                <w:w w:val="91"/>
              </w:rPr>
              <w:t>Stockholders'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Equity</w:t>
            </w: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143"/>
        </w:trPr>
        <w:tc>
          <w:tcPr>
            <w:tcW w:w="1920" w:type="dxa"/>
            <w:vAlign w:val="bottom"/>
          </w:tcPr>
          <w:p>
            <w:pPr>
              <w:spacing w:after="0"/>
              <w:rPr>
                <w:sz w:val="12"/>
                <w:szCs w:val="12"/>
                <w:color w:val="auto"/>
              </w:rPr>
            </w:pPr>
          </w:p>
        </w:tc>
        <w:tc>
          <w:tcPr>
            <w:tcW w:w="50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89"/>
              </w:rPr>
              <w:t>Capital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w w:val="79"/>
              </w:rPr>
              <w:t>Stock</w:t>
            </w:r>
          </w:p>
        </w:tc>
        <w:tc>
          <w:tcPr>
            <w:tcW w:w="14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Loss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2"/>
              </w:rPr>
              <w:t>Equity (Deficit)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(Deficit)</w:t>
            </w:r>
          </w:p>
        </w:tc>
        <w:tc>
          <w:tcPr>
            <w:tcW w:w="120" w:type="dxa"/>
            <w:vAlign w:val="bottom"/>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Joint Venture</w:t>
            </w:r>
          </w:p>
        </w:tc>
        <w:tc>
          <w:tcPr>
            <w:tcW w:w="0" w:type="dxa"/>
            <w:vAlign w:val="bottom"/>
          </w:tcPr>
          <w:p>
            <w:pPr>
              <w:spacing w:after="0"/>
              <w:rPr>
                <w:sz w:val="1"/>
                <w:szCs w:val="1"/>
                <w:color w:val="auto"/>
              </w:rPr>
            </w:pPr>
          </w:p>
        </w:tc>
      </w:tr>
      <w:tr>
        <w:trPr>
          <w:trHeight w:val="129"/>
        </w:trPr>
        <w:tc>
          <w:tcPr>
            <w:tcW w:w="19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$ 1,112,867</w:t>
            </w:r>
          </w:p>
        </w:tc>
        <w:tc>
          <w:tcPr>
            <w:tcW w:w="100" w:type="dxa"/>
            <w:vAlign w:val="bottom"/>
            <w:shd w:val="clear" w:color="auto" w:fill="CCEEFF"/>
          </w:tcPr>
          <w:p>
            <w:pPr>
              <w:spacing w:after="0"/>
              <w:rPr>
                <w:sz w:val="11"/>
                <w:szCs w:val="11"/>
                <w:color w:val="auto"/>
              </w:rPr>
            </w:pPr>
          </w:p>
        </w:tc>
        <w:tc>
          <w:tcPr>
            <w:tcW w:w="660" w:type="dxa"/>
            <w:vAlign w:val="bottom"/>
            <w:gridSpan w:val="4"/>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1"/>
              </w:rPr>
              <w:t>$ (18,467)</w:t>
            </w:r>
          </w:p>
        </w:tc>
        <w:tc>
          <w:tcPr>
            <w:tcW w:w="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 (1,088,105)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(29,080)</w:t>
            </w:r>
          </w:p>
        </w:tc>
        <w:tc>
          <w:tcPr>
            <w:tcW w:w="1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(22,234)</w:t>
            </w:r>
          </w:p>
        </w:tc>
        <w:tc>
          <w:tcPr>
            <w:tcW w:w="18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(159)</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(22,393)</w:t>
            </w:r>
          </w:p>
        </w:tc>
        <w:tc>
          <w:tcPr>
            <w:tcW w:w="22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2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99"/>
              </w:rPr>
              <w:t>(24,621)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(24,621)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90"/>
              </w:rPr>
              <w:t>(24,797)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of income taxes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w w:val="97"/>
              </w:rPr>
              <w:t>Restricted stock units and 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(3,761)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(3,761)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3,786</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3,786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3,786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920" w:type="dxa"/>
            <w:vAlign w:val="bottom"/>
            <w:tcBorders>
              <w:bottom w:val="single" w:sz="8" w:color="CCEEFF"/>
            </w:tcBorders>
            <w:shd w:val="clear" w:color="auto" w:fill="CCEEFF"/>
          </w:tcPr>
          <w:p>
            <w:pPr>
              <w:ind w:left="120"/>
              <w:spacing w:after="0" w:line="136" w:lineRule="exact"/>
              <w:rPr>
                <w:sz w:val="20"/>
                <w:szCs w:val="20"/>
                <w:color w:val="auto"/>
              </w:rPr>
            </w:pPr>
            <w:r>
              <w:rPr>
                <w:rFonts w:ascii="Arial" w:cs="Arial" w:eastAsia="Arial" w:hAnsi="Arial"/>
                <w:sz w:val="13"/>
                <w:szCs w:val="13"/>
                <w:color w:val="auto"/>
              </w:rPr>
              <w:t>expense</w:t>
            </w: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20" w:type="dxa"/>
            <w:vAlign w:val="bottom"/>
            <w:tcBorders>
              <w:bottom w:val="single" w:sz="8" w:color="CCEEFF"/>
            </w:tcBorders>
            <w:vMerge w:val="continue"/>
            <w:shd w:val="clear" w:color="auto" w:fill="CCEEFF"/>
          </w:tcPr>
          <w:p>
            <w:pPr>
              <w:spacing w:after="0"/>
              <w:rPr>
                <w:sz w:val="11"/>
                <w:szCs w:val="11"/>
                <w:color w:val="auto"/>
              </w:rPr>
            </w:pPr>
          </w:p>
        </w:tc>
        <w:tc>
          <w:tcPr>
            <w:tcW w:w="640" w:type="dxa"/>
            <w:vAlign w:val="bottom"/>
            <w:tcBorders>
              <w:bottom w:val="single" w:sz="8" w:color="auto"/>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tcPr>
          <w:p>
            <w:pPr>
              <w:ind w:left="20"/>
              <w:spacing w:after="0" w:line="129" w:lineRule="exact"/>
              <w:rPr>
                <w:sz w:val="20"/>
                <w:szCs w:val="20"/>
                <w:color w:val="auto"/>
              </w:rPr>
            </w:pPr>
            <w:r>
              <w:rPr>
                <w:rFonts w:ascii="Arial" w:cs="Arial" w:eastAsia="Arial" w:hAnsi="Arial"/>
                <w:sz w:val="13"/>
                <w:szCs w:val="13"/>
                <w:color w:val="auto"/>
              </w:rPr>
              <w:t>BALANCE, March 31, 2022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551</w:t>
            </w:r>
          </w:p>
        </w:tc>
        <w:tc>
          <w:tcPr>
            <w:tcW w:w="100" w:type="dxa"/>
            <w:vAlign w:val="bottom"/>
          </w:tcPr>
          <w:p>
            <w:pPr>
              <w:spacing w:after="0"/>
              <w:rPr>
                <w:sz w:val="11"/>
                <w:szCs w:val="11"/>
                <w:color w:val="auto"/>
              </w:rPr>
            </w:pPr>
          </w:p>
        </w:tc>
        <w:tc>
          <w:tcPr>
            <w:tcW w:w="660" w:type="dxa"/>
            <w:vAlign w:val="bottom"/>
            <w:gridSpan w:val="3"/>
          </w:tcPr>
          <w:p>
            <w:pPr>
              <w:jc w:val="right"/>
              <w:spacing w:after="0" w:line="129" w:lineRule="exact"/>
              <w:rPr>
                <w:sz w:val="20"/>
                <w:szCs w:val="20"/>
                <w:color w:val="auto"/>
              </w:rPr>
            </w:pPr>
            <w:r>
              <w:rPr>
                <w:rFonts w:ascii="Arial" w:cs="Arial" w:eastAsia="Arial" w:hAnsi="Arial"/>
                <w:sz w:val="13"/>
                <w:szCs w:val="13"/>
                <w:color w:val="auto"/>
                <w:w w:val="87"/>
              </w:rPr>
              <w:t>$ 1,112,892</w:t>
            </w:r>
          </w:p>
        </w:tc>
        <w:tc>
          <w:tcPr>
            <w:tcW w:w="100" w:type="dxa"/>
            <w:vAlign w:val="bottom"/>
          </w:tcPr>
          <w:p>
            <w:pPr>
              <w:spacing w:after="0"/>
              <w:rPr>
                <w:sz w:val="11"/>
                <w:szCs w:val="11"/>
                <w:color w:val="auto"/>
              </w:rPr>
            </w:pPr>
          </w:p>
        </w:tc>
        <w:tc>
          <w:tcPr>
            <w:tcW w:w="660" w:type="dxa"/>
            <w:vAlign w:val="bottom"/>
            <w:gridSpan w:val="4"/>
          </w:tcPr>
          <w:p>
            <w:pPr>
              <w:jc w:val="right"/>
              <w:ind w:right="100"/>
              <w:spacing w:after="0" w:line="129" w:lineRule="exact"/>
              <w:rPr>
                <w:sz w:val="20"/>
                <w:szCs w:val="20"/>
                <w:color w:val="auto"/>
              </w:rPr>
            </w:pPr>
            <w:r>
              <w:rPr>
                <w:rFonts w:ascii="Arial" w:cs="Arial" w:eastAsia="Arial" w:hAnsi="Arial"/>
                <w:sz w:val="13"/>
                <w:szCs w:val="13"/>
                <w:color w:val="auto"/>
                <w:w w:val="91"/>
              </w:rPr>
              <w:t>$ (18,467)</w:t>
            </w:r>
          </w:p>
        </w:tc>
        <w:tc>
          <w:tcPr>
            <w:tcW w:w="20" w:type="dxa"/>
            <w:vAlign w:val="bottom"/>
          </w:tcPr>
          <w:p>
            <w:pPr>
              <w:spacing w:after="0"/>
              <w:rPr>
                <w:sz w:val="11"/>
                <w:szCs w:val="11"/>
                <w:color w:val="auto"/>
              </w:rPr>
            </w:pPr>
          </w:p>
        </w:tc>
        <w:tc>
          <w:tcPr>
            <w:tcW w:w="700" w:type="dxa"/>
            <w:vAlign w:val="bottom"/>
            <w:gridSpan w:val="3"/>
          </w:tcPr>
          <w:p>
            <w:pPr>
              <w:jc w:val="right"/>
              <w:spacing w:after="0" w:line="129" w:lineRule="exact"/>
              <w:rPr>
                <w:sz w:val="20"/>
                <w:szCs w:val="20"/>
                <w:color w:val="auto"/>
              </w:rPr>
            </w:pPr>
            <w:r>
              <w:rPr>
                <w:rFonts w:ascii="Arial" w:cs="Arial" w:eastAsia="Arial" w:hAnsi="Arial"/>
                <w:sz w:val="13"/>
                <w:szCs w:val="13"/>
                <w:color w:val="auto"/>
                <w:w w:val="85"/>
              </w:rPr>
              <w:t>$ (1,112,726)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(19,094)</w:t>
            </w:r>
          </w:p>
        </w:tc>
        <w:tc>
          <w:tcPr>
            <w:tcW w:w="120" w:type="dxa"/>
            <w:vAlign w:val="bottom"/>
            <w:gridSpan w:val="2"/>
          </w:tcPr>
          <w:p>
            <w:pPr>
              <w:ind w:left="40"/>
              <w:spacing w:after="0" w:line="129"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(36,844)</w:t>
            </w:r>
          </w:p>
        </w:tc>
        <w:tc>
          <w:tcPr>
            <w:tcW w:w="180" w:type="dxa"/>
            <w:vAlign w:val="bottom"/>
            <w:gridSpan w:val="3"/>
          </w:tcPr>
          <w:p>
            <w:pPr>
              <w:ind w:left="100"/>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(335)</w:t>
            </w:r>
          </w:p>
        </w:tc>
        <w:tc>
          <w:tcPr>
            <w:tcW w:w="1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w w:val="90"/>
              </w:rPr>
              <w:t>(37,179)</w:t>
            </w:r>
          </w:p>
        </w:tc>
        <w:tc>
          <w:tcPr>
            <w:tcW w:w="220" w:type="dxa"/>
            <w:vAlign w:val="bottom"/>
            <w:gridSpan w:val="2"/>
          </w:tcPr>
          <w:p>
            <w:pPr>
              <w:ind w:left="120"/>
              <w:spacing w:after="0" w:line="129"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92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income</w:t>
            </w: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50,284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50,284</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360</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50,644</w:t>
            </w: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w w:val="93"/>
              </w:rPr>
              <w:t>Other comprehensive loss, net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(1,298)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(1,298)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Sale of noncontrolling interest in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OEG</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(9,467)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(9,467)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295,956</w:t>
            </w: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color w:val="auto"/>
                <w:w w:val="97"/>
              </w:rPr>
              <w:t>Restricted stock units and 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(124)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Equity-based compensation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3,654</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3,654</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920" w:type="dxa"/>
            <w:vAlign w:val="bottom"/>
          </w:tcPr>
          <w:p>
            <w:pPr>
              <w:ind w:left="20"/>
              <w:spacing w:after="0" w:line="115" w:lineRule="exact"/>
              <w:rPr>
                <w:sz w:val="20"/>
                <w:szCs w:val="20"/>
                <w:color w:val="auto"/>
              </w:rPr>
            </w:pPr>
            <w:r>
              <w:rPr>
                <w:rFonts w:ascii="Arial" w:cs="Arial" w:eastAsia="Arial" w:hAnsi="Arial"/>
                <w:sz w:val="13"/>
                <w:szCs w:val="13"/>
                <w:color w:val="auto"/>
              </w:rPr>
              <w:t>BALANCE, June 30, 2022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320" w:type="dxa"/>
            <w:vAlign w:val="bottom"/>
          </w:tcPr>
          <w:p>
            <w:pPr>
              <w:jc w:val="right"/>
              <w:spacing w:after="0" w:line="115" w:lineRule="exact"/>
              <w:rPr>
                <w:sz w:val="20"/>
                <w:szCs w:val="20"/>
                <w:color w:val="auto"/>
              </w:rPr>
            </w:pPr>
            <w:r>
              <w:rPr>
                <w:rFonts w:ascii="Arial" w:cs="Arial" w:eastAsia="Arial" w:hAnsi="Arial"/>
                <w:sz w:val="13"/>
                <w:szCs w:val="13"/>
                <w:color w:val="auto"/>
              </w:rPr>
              <w:t>552</w:t>
            </w:r>
          </w:p>
        </w:tc>
        <w:tc>
          <w:tcPr>
            <w:tcW w:w="100" w:type="dxa"/>
            <w:vAlign w:val="bottom"/>
          </w:tcPr>
          <w:p>
            <w:pPr>
              <w:spacing w:after="0"/>
              <w:rPr>
                <w:sz w:val="11"/>
                <w:szCs w:val="11"/>
                <w:color w:val="auto"/>
              </w:rPr>
            </w:pPr>
          </w:p>
        </w:tc>
        <w:tc>
          <w:tcPr>
            <w:tcW w:w="660" w:type="dxa"/>
            <w:vAlign w:val="bottom"/>
            <w:gridSpan w:val="3"/>
          </w:tcPr>
          <w:p>
            <w:pPr>
              <w:jc w:val="right"/>
              <w:spacing w:after="0" w:line="115" w:lineRule="exact"/>
              <w:rPr>
                <w:sz w:val="20"/>
                <w:szCs w:val="20"/>
                <w:color w:val="auto"/>
              </w:rPr>
            </w:pPr>
            <w:r>
              <w:rPr>
                <w:rFonts w:ascii="Arial" w:cs="Arial" w:eastAsia="Arial" w:hAnsi="Arial"/>
                <w:sz w:val="13"/>
                <w:szCs w:val="13"/>
                <w:color w:val="auto"/>
                <w:w w:val="87"/>
              </w:rPr>
              <w:t>$ 1,106,955</w:t>
            </w:r>
          </w:p>
        </w:tc>
        <w:tc>
          <w:tcPr>
            <w:tcW w:w="100" w:type="dxa"/>
            <w:vAlign w:val="bottom"/>
          </w:tcPr>
          <w:p>
            <w:pPr>
              <w:spacing w:after="0"/>
              <w:rPr>
                <w:sz w:val="11"/>
                <w:szCs w:val="11"/>
                <w:color w:val="auto"/>
              </w:rPr>
            </w:pPr>
          </w:p>
        </w:tc>
        <w:tc>
          <w:tcPr>
            <w:tcW w:w="660" w:type="dxa"/>
            <w:vAlign w:val="bottom"/>
            <w:gridSpan w:val="4"/>
          </w:tcPr>
          <w:p>
            <w:pPr>
              <w:jc w:val="right"/>
              <w:ind w:right="100"/>
              <w:spacing w:after="0" w:line="115" w:lineRule="exact"/>
              <w:rPr>
                <w:sz w:val="20"/>
                <w:szCs w:val="20"/>
                <w:color w:val="auto"/>
              </w:rPr>
            </w:pPr>
            <w:r>
              <w:rPr>
                <w:rFonts w:ascii="Arial" w:cs="Arial" w:eastAsia="Arial" w:hAnsi="Arial"/>
                <w:sz w:val="13"/>
                <w:szCs w:val="13"/>
                <w:color w:val="auto"/>
                <w:w w:val="91"/>
              </w:rPr>
              <w:t>$ (18,467)</w:t>
            </w:r>
          </w:p>
        </w:tc>
        <w:tc>
          <w:tcPr>
            <w:tcW w:w="20" w:type="dxa"/>
            <w:vAlign w:val="bottom"/>
          </w:tcPr>
          <w:p>
            <w:pPr>
              <w:spacing w:after="0"/>
              <w:rPr>
                <w:sz w:val="11"/>
                <w:szCs w:val="11"/>
                <w:color w:val="auto"/>
              </w:rPr>
            </w:pPr>
          </w:p>
        </w:tc>
        <w:tc>
          <w:tcPr>
            <w:tcW w:w="700" w:type="dxa"/>
            <w:vAlign w:val="bottom"/>
            <w:gridSpan w:val="3"/>
          </w:tcPr>
          <w:p>
            <w:pPr>
              <w:jc w:val="right"/>
              <w:spacing w:after="0" w:line="115" w:lineRule="exact"/>
              <w:rPr>
                <w:sz w:val="20"/>
                <w:szCs w:val="20"/>
                <w:color w:val="auto"/>
              </w:rPr>
            </w:pPr>
            <w:r>
              <w:rPr>
                <w:rFonts w:ascii="Arial" w:cs="Arial" w:eastAsia="Arial" w:hAnsi="Arial"/>
                <w:sz w:val="13"/>
                <w:szCs w:val="13"/>
                <w:color w:val="auto"/>
                <w:w w:val="85"/>
              </w:rPr>
              <w:t>$ (1,062,442)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line="115"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15" w:lineRule="exact"/>
              <w:rPr>
                <w:sz w:val="20"/>
                <w:szCs w:val="20"/>
                <w:color w:val="auto"/>
              </w:rPr>
            </w:pPr>
            <w:r>
              <w:rPr>
                <w:rFonts w:ascii="Arial" w:cs="Arial" w:eastAsia="Arial" w:hAnsi="Arial"/>
                <w:sz w:val="13"/>
                <w:szCs w:val="13"/>
                <w:color w:val="auto"/>
              </w:rPr>
              <w:t>(20,392)</w:t>
            </w:r>
          </w:p>
        </w:tc>
        <w:tc>
          <w:tcPr>
            <w:tcW w:w="120" w:type="dxa"/>
            <w:vAlign w:val="bottom"/>
            <w:gridSpan w:val="2"/>
          </w:tcPr>
          <w:p>
            <w:pPr>
              <w:ind w:left="40"/>
              <w:spacing w:after="0" w:line="115"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1"/>
                <w:szCs w:val="11"/>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3"/>
                <w:szCs w:val="13"/>
                <w:color w:val="auto"/>
              </w:rPr>
              <w:t>6,206</w:t>
            </w:r>
          </w:p>
        </w:tc>
        <w:tc>
          <w:tcPr>
            <w:tcW w:w="40" w:type="dxa"/>
            <w:vAlign w:val="bottom"/>
          </w:tcPr>
          <w:p>
            <w:pPr>
              <w:spacing w:after="0"/>
              <w:rPr>
                <w:sz w:val="11"/>
                <w:szCs w:val="11"/>
                <w:color w:val="auto"/>
              </w:rPr>
            </w:pPr>
          </w:p>
        </w:tc>
        <w:tc>
          <w:tcPr>
            <w:tcW w:w="180" w:type="dxa"/>
            <w:vAlign w:val="bottom"/>
            <w:gridSpan w:val="3"/>
          </w:tcPr>
          <w:p>
            <w:pPr>
              <w:ind w:left="100"/>
              <w:spacing w:after="0" w:line="11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15" w:lineRule="exact"/>
              <w:rPr>
                <w:sz w:val="20"/>
                <w:szCs w:val="20"/>
                <w:color w:val="auto"/>
              </w:rPr>
            </w:pPr>
            <w:r>
              <w:rPr>
                <w:rFonts w:ascii="Arial" w:cs="Arial" w:eastAsia="Arial" w:hAnsi="Arial"/>
                <w:sz w:val="13"/>
                <w:szCs w:val="13"/>
                <w:color w:val="auto"/>
              </w:rPr>
              <w:t>25</w:t>
            </w:r>
          </w:p>
        </w:tc>
        <w:tc>
          <w:tcPr>
            <w:tcW w:w="20" w:type="dxa"/>
            <w:vAlign w:val="bottom"/>
          </w:tcPr>
          <w:p>
            <w:pPr>
              <w:spacing w:after="0"/>
              <w:rPr>
                <w:sz w:val="11"/>
                <w:szCs w:val="11"/>
                <w:color w:val="auto"/>
              </w:rPr>
            </w:pP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15" w:lineRule="exact"/>
              <w:rPr>
                <w:sz w:val="20"/>
                <w:szCs w:val="20"/>
                <w:color w:val="auto"/>
              </w:rPr>
            </w:pPr>
            <w:r>
              <w:rPr>
                <w:rFonts w:ascii="Arial" w:cs="Arial" w:eastAsia="Arial" w:hAnsi="Arial"/>
                <w:sz w:val="13"/>
                <w:szCs w:val="13"/>
                <w:color w:val="auto"/>
              </w:rPr>
              <w:t>6,231</w:t>
            </w:r>
          </w:p>
        </w:tc>
        <w:tc>
          <w:tcPr>
            <w:tcW w:w="220" w:type="dxa"/>
            <w:vAlign w:val="bottom"/>
            <w:gridSpan w:val="2"/>
          </w:tcPr>
          <w:p>
            <w:pPr>
              <w:ind w:left="120"/>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15" w:lineRule="exact"/>
              <w:rPr>
                <w:sz w:val="20"/>
                <w:szCs w:val="20"/>
                <w:color w:val="auto"/>
              </w:rPr>
            </w:pPr>
            <w:r>
              <w:rPr>
                <w:rFonts w:ascii="Arial" w:cs="Arial" w:eastAsia="Arial" w:hAnsi="Arial"/>
                <w:sz w:val="13"/>
                <w:szCs w:val="13"/>
                <w:color w:val="auto"/>
              </w:rPr>
              <w:t>296,236</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1500" w:right="1500"/>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 See Note 2, “JW Marriott Hill Country Transaction” for further disclosure.</w:t>
      </w:r>
    </w:p>
    <w:p>
      <w:pPr>
        <w:spacing w:after="0" w:line="146"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The Company also owns a controlling 70% equity interest in a business comprised of a number of entertainment and media assets, known as the Opry Entertainment Group,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 the Wildhorse Saloon and the General Jackson Showboat; and as of May 31, 2022, Block 21, a mixed-use entertainment, lodging, office, and retail complex located in Austin, Texas (“Block 21”). See Note 3, “Block 21 Transaction,” for further disclosure regarding Block</w:t>
      </w:r>
    </w:p>
    <w:p>
      <w:pPr>
        <w:spacing w:after="0" w:line="2" w:lineRule="exact"/>
        <w:rPr>
          <w:sz w:val="20"/>
          <w:szCs w:val="20"/>
          <w:color w:val="auto"/>
        </w:rPr>
      </w:pPr>
    </w:p>
    <w:p>
      <w:pPr>
        <w:ind w:left="60" w:right="119" w:hanging="10"/>
        <w:spacing w:after="0" w:line="260" w:lineRule="auto"/>
        <w:tabs>
          <w:tab w:leader="none" w:pos="33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Opry Entertainment Group also owns a 50% interest in a joint venture that creates and distributes a linear multicast and over-the-top channel dedicated to the country music lifestyle (“Circle”).</w:t>
      </w:r>
    </w:p>
    <w:p>
      <w:pPr>
        <w:spacing w:after="0" w:line="14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As further disclosed in Note 1 to the consolidated financial statements included in the Company’s Annual Report on Form 10-K for the year ended December 31, 2022, on June 16, 2022, the Company and certain of its subsidiaries, including OEG Attractions Holdings, LLC (“OEG”), which directly or indirectly owns the assets that comprise the Company’s Entertainment segment, consummated the transactions contemplated by an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Company retains a controlling 70% equity interest in OEG and continues to consolidate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 and any adjustment necessary to reflect the noncontrolling interest at its redemption value is shown in the accompanying condensed consolidated statement of equity (deficit) and noncontrolling interest. See Note 5, “Income Per Share,” for further disclosure.</w:t>
      </w:r>
    </w:p>
    <w:p>
      <w:pPr>
        <w:spacing w:after="0" w:line="15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2022.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8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March 2020, the Financial Accounting Standards Board (“FASB”) issued ASU No. 2020-04, “</w:t>
      </w:r>
      <w:r>
        <w:rPr>
          <w:rFonts w:ascii="Arial" w:cs="Arial" w:eastAsia="Arial" w:hAnsi="Arial"/>
          <w:sz w:val="16"/>
          <w:szCs w:val="16"/>
          <w:i w:val="1"/>
          <w:iCs w:val="1"/>
          <w:color w:val="auto"/>
        </w:rPr>
        <w:t>Reference Rate Reform –</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(“ASU 2020-04”), which provides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expedients and exceptions to the existing guidance on 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In December 2022, the FASB issued ASU No. 2022-06,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Rate Reform – Deferral of the Sunset Date of Topic 848</w:t>
      </w:r>
      <w:r>
        <w:rPr>
          <w:rFonts w:ascii="Arial" w:cs="Arial" w:eastAsia="Arial" w:hAnsi="Arial"/>
          <w:sz w:val="16"/>
          <w:szCs w:val="16"/>
          <w:color w:val="auto"/>
        </w:rPr>
        <w:t>” (“ASU 2022-06”), which extends the transition period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shift from LIBOR to December 2024. The Company has now converted all of its LIBOR-indexed debt and derivatives to SOFR-based indexes. For all derivatives in hedge accounting relationships, the Company utilized the elective relief in ASU 2020-04 and ASU 2022-06 that allows for the continuation of hedge accounting through the transition process.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JW MARRIOTT HILL COUNTRY TRANSACTION:</w:t>
      </w:r>
    </w:p>
    <w:p>
      <w:pPr>
        <w:spacing w:after="0" w:line="189"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On June 30, 2023, the Company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26,000 square foot spa; eight food and beverage outlets; a 9-acre water experience; and TPC San Antonio, which features two 18-hole golf courses. The Company funded the purchase price with approximately $395 million in net proceeds of an underwritten registered public offering of approximately 4.4 million shares of the Company’s common stock (see Note 16, “Equity”), approximately $393 million in net proceeds of a private placement of $400 million aggregate principal amount of 7.25% senior notes due 2028 (see Note 9, “Debt”) and cash on hand. JW Marriott Hill Country assets are reflected in the Company’s Hospitality segment beginning June 30, 2023.</w:t>
      </w:r>
    </w:p>
    <w:p>
      <w:pPr>
        <w:spacing w:after="0" w:line="139"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The Company performed a valuation of the fair value of the acquired assets and liabilities as of June 30, 2023.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values of advanced bookings previously received for the hotel and the values of golf memberships and water rights for the golf course. The Company considers each of these estimates as Level 3 fair value measurements.</w:t>
      </w:r>
    </w:p>
    <w:p>
      <w:pPr>
        <w:spacing w:after="0" w:line="152"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Company determined that the acquisition represents an asset acquisition and has capitalized transaction costs and allocated the purchase price to the relative fair values of assets, intangibles acquired and liabilities assumed, adjusted for working capital adjustments as set forth in the purchase agreement and transaction costs, in the Company’s balance sheet at June 30, 2023 as follows (amounts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772,821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9"/>
              </w:rPr>
              <w:t>Cash and cash equivalents - unrestricted</w:t>
            </w:r>
          </w:p>
        </w:tc>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restricted</w:t>
            </w:r>
          </w:p>
        </w:tc>
        <w:tc>
          <w:tcPr>
            <w:tcW w:w="2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Trade receivables</w:t>
            </w:r>
          </w:p>
        </w:tc>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14,743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Intangible assets</w:t>
            </w:r>
          </w:p>
        </w:tc>
        <w:tc>
          <w:tcPr>
            <w:tcW w:w="2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 acquired</w:t>
            </w:r>
          </w:p>
        </w:tc>
        <w:tc>
          <w:tcPr>
            <w:tcW w:w="2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834,781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(25,148)</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assumed</w:t>
            </w:r>
          </w:p>
        </w:tc>
        <w:tc>
          <w:tcPr>
            <w:tcW w:w="2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(25,148)</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3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809,633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60" w:type="dxa"/>
            <w:vAlign w:val="bottom"/>
            <w:vMerge w:val="restart"/>
          </w:tcPr>
          <w:p>
            <w:pPr>
              <w:jc w:val="right"/>
              <w:ind w:right="2330"/>
              <w:spacing w:after="0"/>
              <w:rPr>
                <w:sz w:val="20"/>
                <w:szCs w:val="20"/>
                <w:color w:val="auto"/>
              </w:rPr>
            </w:pPr>
            <w:r>
              <w:rPr>
                <w:rFonts w:ascii="Arial" w:cs="Arial" w:eastAsia="Arial" w:hAnsi="Arial"/>
                <w:sz w:val="18"/>
                <w:szCs w:val="18"/>
                <w:color w:val="auto"/>
              </w:rPr>
              <w:t>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BLOCK 21 TRANSACTION:</w:t>
      </w:r>
    </w:p>
    <w:p>
      <w:pPr>
        <w:spacing w:after="0" w:line="20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As further disclosed in Note 1 to the consolidated financial statements included in the Company’s Annual Report on Form 10-K for the year ended December 31, 2022, on May 31, 2022, the Company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which Marriott manages,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are reflected in the Company’s Entertainment segment as of May 31, 2022.</w:t>
      </w:r>
    </w:p>
    <w:p>
      <w:pPr>
        <w:spacing w:after="0" w:line="182"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During the first quarter of 2023, the Company concluded its valuation of the fair value of the acquired assets and liabilities as of May 31, 2022, and no significant changes were made to the provisional amounts disclosed in the Company’s Annual Report on Form 10-K for the year ended December 31, 2022.</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REVENUES:</w:t>
      </w:r>
    </w:p>
    <w:p>
      <w:pPr>
        <w:spacing w:after="0" w:line="18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7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48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48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$ 120,334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$ 110,464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$ 240,847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$ 172,942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Hotel transient rooms</w:t>
            </w:r>
          </w:p>
        </w:tc>
        <w:tc>
          <w:tcPr>
            <w:tcW w:w="800" w:type="dxa"/>
            <w:vAlign w:val="bottom"/>
          </w:tcPr>
          <w:p>
            <w:pPr>
              <w:jc w:val="right"/>
              <w:spacing w:after="0"/>
              <w:rPr>
                <w:sz w:val="20"/>
                <w:szCs w:val="20"/>
                <w:color w:val="auto"/>
              </w:rPr>
            </w:pPr>
            <w:r>
              <w:rPr>
                <w:rFonts w:ascii="Arial" w:cs="Arial" w:eastAsia="Arial" w:hAnsi="Arial"/>
                <w:sz w:val="18"/>
                <w:szCs w:val="18"/>
                <w:color w:val="auto"/>
              </w:rPr>
              <w:t>48,158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88,896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90,157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203,334</w:t>
            </w: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800" w:type="dxa"/>
            <w:vAlign w:val="bottom"/>
          </w:tcPr>
          <w:p>
            <w:pPr>
              <w:jc w:val="right"/>
              <w:spacing w:after="0"/>
              <w:rPr>
                <w:sz w:val="20"/>
                <w:szCs w:val="20"/>
                <w:color w:val="auto"/>
              </w:rPr>
            </w:pPr>
            <w:r>
              <w:rPr>
                <w:rFonts w:ascii="Arial" w:cs="Arial" w:eastAsia="Arial" w:hAnsi="Arial"/>
                <w:sz w:val="18"/>
                <w:szCs w:val="18"/>
                <w:color w:val="auto"/>
              </w:rPr>
              <w:t>59,246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57,573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114,551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96,865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99,615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800" w:type="dxa"/>
            <w:vAlign w:val="bottom"/>
          </w:tcPr>
          <w:p>
            <w:pPr>
              <w:jc w:val="right"/>
              <w:spacing w:after="0"/>
              <w:rPr>
                <w:sz w:val="20"/>
                <w:szCs w:val="20"/>
                <w:color w:val="auto"/>
              </w:rPr>
            </w:pPr>
            <w:r>
              <w:rPr>
                <w:rFonts w:ascii="Arial" w:cs="Arial" w:eastAsia="Arial" w:hAnsi="Arial"/>
                <w:sz w:val="18"/>
                <w:szCs w:val="18"/>
                <w:color w:val="auto"/>
              </w:rPr>
              <w:t>34,103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56,259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42,282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38,397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Entertainment produced content</w:t>
            </w:r>
          </w:p>
        </w:tc>
        <w:tc>
          <w:tcPr>
            <w:tcW w:w="800" w:type="dxa"/>
            <w:vAlign w:val="bottom"/>
          </w:tcPr>
          <w:p>
            <w:pPr>
              <w:jc w:val="right"/>
              <w:spacing w:after="0"/>
              <w:rPr>
                <w:sz w:val="20"/>
                <w:szCs w:val="20"/>
                <w:color w:val="auto"/>
              </w:rPr>
            </w:pPr>
            <w:r>
              <w:rPr>
                <w:rFonts w:ascii="Arial" w:cs="Arial" w:eastAsia="Arial" w:hAnsi="Arial"/>
                <w:sz w:val="18"/>
                <w:szCs w:val="18"/>
                <w:color w:val="auto"/>
              </w:rPr>
              <w:t>960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2,559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23,188</w:t>
            </w: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 revenues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$ 504,843</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$ 470,204</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$ 996,562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$ 769,339</w:t>
            </w:r>
          </w:p>
        </w:tc>
      </w:tr>
      <w:tr>
        <w:trPr>
          <w:trHeight w:val="20"/>
        </w:trPr>
        <w:tc>
          <w:tcPr>
            <w:tcW w:w="3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5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52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78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$ 110,475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$ 105,497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$ 222,281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$ 179,016</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Gaylord Palms</w:t>
            </w:r>
          </w:p>
        </w:tc>
        <w:tc>
          <w:tcPr>
            <w:tcW w:w="800" w:type="dxa"/>
            <w:vAlign w:val="bottom"/>
          </w:tcPr>
          <w:p>
            <w:pPr>
              <w:jc w:val="right"/>
              <w:spacing w:after="0"/>
              <w:rPr>
                <w:sz w:val="20"/>
                <w:szCs w:val="20"/>
                <w:color w:val="auto"/>
              </w:rPr>
            </w:pPr>
            <w:r>
              <w:rPr>
                <w:rFonts w:ascii="Arial" w:cs="Arial" w:eastAsia="Arial" w:hAnsi="Arial"/>
                <w:sz w:val="18"/>
                <w:szCs w:val="18"/>
                <w:color w:val="auto"/>
              </w:rPr>
              <w:t>73,829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68,289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158,375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128,137</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134,301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Gaylord National</w:t>
            </w:r>
          </w:p>
        </w:tc>
        <w:tc>
          <w:tcPr>
            <w:tcW w:w="800" w:type="dxa"/>
            <w:vAlign w:val="bottom"/>
          </w:tcPr>
          <w:p>
            <w:pPr>
              <w:jc w:val="right"/>
              <w:spacing w:after="0"/>
              <w:rPr>
                <w:sz w:val="20"/>
                <w:szCs w:val="20"/>
                <w:color w:val="auto"/>
              </w:rPr>
            </w:pPr>
            <w:r>
              <w:rPr>
                <w:rFonts w:ascii="Arial" w:cs="Arial" w:eastAsia="Arial" w:hAnsi="Arial"/>
                <w:sz w:val="18"/>
                <w:szCs w:val="18"/>
                <w:color w:val="auto"/>
              </w:rPr>
              <w:t>77,014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72,223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149,786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104,810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105,542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 Hotel</w:t>
            </w:r>
          </w:p>
        </w:tc>
        <w:tc>
          <w:tcPr>
            <w:tcW w:w="800" w:type="dxa"/>
            <w:vAlign w:val="bottom"/>
          </w:tcPr>
          <w:p>
            <w:pPr>
              <w:jc w:val="right"/>
              <w:spacing w:after="0"/>
              <w:rPr>
                <w:sz w:val="20"/>
                <w:szCs w:val="20"/>
                <w:color w:val="auto"/>
              </w:rPr>
            </w:pPr>
            <w:r>
              <w:rPr>
                <w:rFonts w:ascii="Arial" w:cs="Arial" w:eastAsia="Arial" w:hAnsi="Arial"/>
                <w:sz w:val="18"/>
                <w:szCs w:val="18"/>
                <w:color w:val="auto"/>
              </w:rPr>
              <w:t>3,401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4,868</w:t>
            </w:r>
          </w:p>
        </w:tc>
      </w:tr>
      <w:tr>
        <w:trPr>
          <w:trHeight w:val="21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 Hospitality segment revenues</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$ 417,685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$ 401,802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$ 842,124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$ 662,913</w:t>
            </w:r>
          </w:p>
        </w:tc>
      </w:tr>
      <w:tr>
        <w:trPr>
          <w:trHeight w:val="20"/>
        </w:trPr>
        <w:tc>
          <w:tcPr>
            <w:tcW w:w="3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majority of the Company’s Entertainment segment revenues are concentrated in Nashville, Tennessee and Austin, Texas.</w:t>
      </w:r>
    </w:p>
    <w:p>
      <w:pPr>
        <w:spacing w:after="0" w:line="143"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The Company records deferred revenues when cash payments are received in advance of its performance obligations, primarily related to advanced deposits on hotel rooms and advanced ticketing at its OEG venues. At June 30, 2023 and December 31, 2022, the Company had $161.7 million and $136.5 million, respectively, in deferred revenues, which are included in accounts payable and accrued liabilities in the accompanying condensed consolidated balance sheets. Of the amount outstanding at December 31, 2022, approximately $87.7 million was recognized in revenue during the six months ended June 30, 2023.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PER SHARE: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computation of basic and diluted earnings per common share is as follows (in thousands, except per share data):</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5"/>
          </w:tcPr>
          <w:p>
            <w:pPr>
              <w:ind w:left="4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Net income available to common stockholders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66,543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50,284</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127,863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Net income attributable to noncontrolling interest in consolidated</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joint venture</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Net income available to common stockholders - if-converted</w:t>
            </w:r>
          </w:p>
        </w:tc>
        <w:tc>
          <w:tcPr>
            <w:tcW w:w="120" w:type="dxa"/>
            <w:vAlign w:val="bottom"/>
            <w:gridSpan w:val="2"/>
            <w:vMerge w:val="restart"/>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4"/>
              </w:rPr>
              <w:t>69,677</w:t>
            </w:r>
          </w:p>
        </w:tc>
        <w:tc>
          <w:tcPr>
            <w:tcW w:w="240" w:type="dxa"/>
            <w:vAlign w:val="bottom"/>
            <w:gridSpan w:val="2"/>
            <w:vMerge w:val="restart"/>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50,564</w:t>
            </w:r>
          </w:p>
        </w:tc>
        <w:tc>
          <w:tcPr>
            <w:tcW w:w="260" w:type="dxa"/>
            <w:vAlign w:val="bottom"/>
            <w:gridSpan w:val="3"/>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130,234</w:t>
            </w:r>
          </w:p>
        </w:tc>
        <w:tc>
          <w:tcPr>
            <w:tcW w:w="240" w:type="dxa"/>
            <w:vAlign w:val="bottom"/>
            <w:gridSpan w:val="2"/>
            <w:vMerge w:val="restart"/>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25,663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120"/>
              <w:spacing w:after="0" w:line="203" w:lineRule="exact"/>
              <w:rPr>
                <w:sz w:val="20"/>
                <w:szCs w:val="20"/>
                <w:color w:val="auto"/>
              </w:rPr>
            </w:pPr>
            <w:r>
              <w:rPr>
                <w:rFonts w:ascii="Arial" w:cs="Arial" w:eastAsia="Arial" w:hAnsi="Arial"/>
                <w:sz w:val="18"/>
                <w:szCs w:val="18"/>
                <w:color w:val="auto"/>
              </w:rPr>
              <w:t>method</w:t>
            </w:r>
          </w:p>
        </w:tc>
        <w:tc>
          <w:tcPr>
            <w:tcW w:w="1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56,329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Effect of dilutive stock-based compensation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dilutive put rights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60,489</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55,862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59,973</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55,321</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Basic income per share available to common stockholders</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per share available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As more fully discussed in Note 1 to the consolidated financial statements included in the Company’s Annual Report on Form 10-K for the year ended December 31, 2022, although currently not exercisable, the OEG Investor has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OEG Investor’s noncontrolling equity interest was redeemed in exchange for shares of the Company’s common stock.</w:t>
      </w:r>
    </w:p>
    <w:p>
      <w:pPr>
        <w:spacing w:after="0" w:line="137"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operating partnership units (“OP Units”) held by the noncontrolling interest holders in RHP Hotel Properties, LP (the “Operating Partnership”) have been excluded from the denominator of the diluted income per share calculation for the three and six months ended June 30, 2023 and 2022 as there would be no effect on the calculation of diluted income per share because the income attributable to the OP Units held by the noncontrolling interest holders would also be subtracted to derive net income available to common stockholders.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ACCUMULATED OTHER COMPREHENSIVE LOSS:</w:t>
      </w:r>
    </w:p>
    <w:p>
      <w:pPr>
        <w:spacing w:after="0" w:line="189"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discussed in Note 13, “Pension Plans,” interest rate derivatives designated as cash flow hedges related to the Company’s outstanding debt as discussed in Note 9, “Debt,” and amounts related to an other-than-temporary impairment of a held-to-maturity investment that existed prior to 2020 with respect to the notes receivable discussed in Note 8, “Notes Receivable,” to the condensed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Changes in accumulated other comprehensive loss by component for the six months ended June 30, 2023 and 2022 consisted of the following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Other-Than-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Temporary</w:t>
            </w:r>
          </w:p>
        </w:tc>
        <w:tc>
          <w:tcPr>
            <w:tcW w:w="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Impairment of</w:t>
            </w: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(3,087)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10,185</w:t>
            </w:r>
          </w:p>
        </w:tc>
        <w:tc>
          <w:tcPr>
            <w:tcW w:w="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(10,923)</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(10,183)</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6"/>
                <w:szCs w:val="16"/>
                <w:color w:val="auto"/>
              </w:rPr>
              <w:t>Net other comprehensive income (loss)</w:t>
            </w:r>
          </w:p>
        </w:tc>
        <w:tc>
          <w:tcPr>
            <w:tcW w:w="4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(8,716)</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(2,983)</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3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(19,639)</w:t>
            </w:r>
          </w:p>
        </w:tc>
        <w:tc>
          <w:tcPr>
            <w:tcW w:w="0" w:type="dxa"/>
            <w:vAlign w:val="bottom"/>
          </w:tcPr>
          <w:p>
            <w:pPr>
              <w:spacing w:after="0"/>
              <w:rPr>
                <w:sz w:val="1"/>
                <w:szCs w:val="1"/>
                <w:color w:val="auto"/>
              </w:rPr>
            </w:pPr>
          </w:p>
        </w:tc>
      </w:tr>
      <w:tr>
        <w:trPr>
          <w:trHeight w:val="349"/>
        </w:trPr>
        <w:tc>
          <w:tcPr>
            <w:tcW w:w="46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Temporary</w:t>
            </w:r>
          </w:p>
        </w:tc>
        <w:tc>
          <w:tcPr>
            <w:tcW w:w="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2"/>
              <w:spacing w:after="0"/>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(29,080)</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6"/>
                <w:szCs w:val="16"/>
                <w:color w:val="auto"/>
              </w:rPr>
              <w:t>Gains (losses)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8,189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other comprehensive income (loss)</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w:t>
      </w:r>
    </w:p>
    <w:p>
      <w:pPr>
        <w:spacing w:after="0" w:line="18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Property and equipment, including right-of-use finance lease assets, at June 30, 2023 and December 31, 2022 is recorded at cost (except for right-of-use finance lease assets) and summarized as follows (in thousands):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r>
      <w:tr>
        <w:trPr>
          <w:trHeight w:val="210"/>
        </w:trPr>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443,469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4,363,387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3,785,968</w:t>
            </w:r>
          </w:p>
        </w:tc>
      </w:tr>
      <w:tr>
        <w:trPr>
          <w:trHeight w:val="216"/>
        </w:trPr>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1,112,397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1,015,078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50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50,312</w:t>
            </w:r>
          </w:p>
        </w:tc>
      </w:tr>
      <w:tr>
        <w:trPr>
          <w:trHeight w:val="210"/>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6,148,200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5,296,440</w:t>
            </w:r>
          </w:p>
        </w:tc>
      </w:tr>
      <w:tr>
        <w:trPr>
          <w:trHeight w:val="216"/>
        </w:trPr>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(2,217,123)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(2,124,732)</w:t>
            </w:r>
          </w:p>
        </w:tc>
      </w:tr>
      <w:tr>
        <w:trPr>
          <w:trHeight w:val="20"/>
        </w:trPr>
        <w:tc>
          <w:tcPr>
            <w:tcW w:w="50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3,931,077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3,171,708</w:t>
            </w: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NOTES RECEIVABLE:</w:t>
      </w:r>
    </w:p>
    <w:p>
      <w:pPr>
        <w:spacing w:after="0" w:line="20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As further discussed in the Company’s Annual Report on Form 10-K for the year ended December 31, 2022, in connection with the development of Gaylord National, the Company holds two issuances of governmental bonds (“Series A bond” and “Series B bond”) with a total carrying value and approximate fair value of $65.5 million and $67.6 million at June 30, 2023 and December 31, 2022, respectively, net of credit loss reserve of $38.0 million at each of June 30, 2023 and December 31, 2022.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38"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Series B bond is fully reserved. The Series A bond is of higher priority than other tranches which fall between the Company’s two issuances.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During each of the three months ended June 30, 2023 and 2022, the Company recorded interest income of $1.3 million on these bonds. During the six months ended June 30, 2023 and 2022, the Company recorded interest income of $2.5 million and $2.7 million, respectively, on these bonds. The Company received payments of $4.7 million and $5.1 million during the six months ended June 30, 2023 and 2022, respectively, relating to these bonds. At June 30, 2023 and December 31, 2022, before consideration of the credit loss reserve, the Company had accrued interest receivable related to these bonds of $41.1 million and $41.0 million, respectively.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debt and finance lease obligations at June 30, 2023 and December 31, 2022 consisted of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0" w:type="dxa"/>
            <w:vAlign w:val="bottom"/>
            <w:tcBorders>
              <w:bottom w:val="single" w:sz="8" w:color="CCEEFF"/>
            </w:tcBorders>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r>
      <w:tr>
        <w:trPr>
          <w:trHeight w:val="20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$700M Revolving Credit Facility, interest at SOFR plus 1.50%, maturing May 18, 2027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$500M Term Loan B, interest at SOFR plus 2.75%, maturing May 18, 2030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371,250</w:t>
            </w: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$400M Senior Notes, interest at 7.25%, maturing July 15, 2028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4"/>
              </w:rPr>
              <w:t>$600M</w:t>
            </w:r>
          </w:p>
        </w:tc>
        <w:tc>
          <w:tcPr>
            <w:tcW w:w="6120" w:type="dxa"/>
            <w:vAlign w:val="bottom"/>
          </w:tcPr>
          <w:p>
            <w:pPr>
              <w:ind w:left="20"/>
              <w:spacing w:after="0"/>
              <w:rPr>
                <w:sz w:val="20"/>
                <w:szCs w:val="20"/>
                <w:color w:val="auto"/>
              </w:rPr>
            </w:pPr>
            <w:r>
              <w:rPr>
                <w:rFonts w:ascii="Arial" w:cs="Arial" w:eastAsia="Arial" w:hAnsi="Arial"/>
                <w:sz w:val="18"/>
                <w:szCs w:val="18"/>
                <w:color w:val="auto"/>
              </w:rPr>
              <w:t>Senior Notes, interest at 4.50%, maturing February 15, 2029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16"/>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$700M</w:t>
            </w: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at 4.75%, maturing October 15, 2027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4"/>
              </w:rPr>
              <w:t>$800M</w:t>
            </w:r>
          </w:p>
        </w:tc>
        <w:tc>
          <w:tcPr>
            <w:tcW w:w="6120" w:type="dxa"/>
            <w:vAlign w:val="bottom"/>
          </w:tcPr>
          <w:p>
            <w:pPr>
              <w:ind w:left="20"/>
              <w:spacing w:after="0"/>
              <w:rPr>
                <w:sz w:val="20"/>
                <w:szCs w:val="20"/>
                <w:color w:val="auto"/>
              </w:rPr>
            </w:pPr>
            <w:r>
              <w:rPr>
                <w:rFonts w:ascii="Arial" w:cs="Arial" w:eastAsia="Arial" w:hAnsi="Arial"/>
                <w:sz w:val="18"/>
                <w:szCs w:val="18"/>
                <w:color w:val="auto"/>
                <w:w w:val="94"/>
              </w:rPr>
              <w:t>Gaylord Rockies Term Loan, interest at SOFR plus 2.50%, maturing July 2, 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$300M</w:t>
            </w: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OEG Term Loan, interest at SOFR plus 5.00%, maturing June 16, 2029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299,250</w:t>
            </w: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$65M OEG Revolver, interest at SOFR plus 4.75%, maturing June 16, 2027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Block 21 CMBS Loan, interest at 5.58%, maturing January 5, 2026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134,636</w:t>
            </w: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(41,998)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(30,482)</w:t>
            </w: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Unamortized discounts and premiums,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(15,446)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(12,747)</w:t>
            </w:r>
          </w:p>
        </w:tc>
      </w:tr>
      <w:tr>
        <w:trPr>
          <w:trHeight w:val="20"/>
        </w:trPr>
        <w:tc>
          <w:tcPr>
            <w:tcW w:w="5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3,380,063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2,862,592</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Amounts due within one year of the balance sheet date consist of the amortization payments for the $500 million term loan B of 1.0% of the original principal balance, amortization payments for the $300 million OEG term loan of 1.0% of the original principal balance, and amortization of the Block 21 CMBS loan based on a 30-year amortization. The Gaylord Rockies term loan has two, one-year extension options remaining, subject to certain requirements in the Gaylord Rockies term loan.</w:t>
      </w:r>
    </w:p>
    <w:p>
      <w:pPr>
        <w:spacing w:after="0" w:line="161" w:lineRule="exact"/>
        <w:rPr>
          <w:sz w:val="20"/>
          <w:szCs w:val="20"/>
          <w:color w:val="auto"/>
        </w:rPr>
      </w:pPr>
    </w:p>
    <w:p>
      <w:pPr>
        <w:ind w:left="60" w:right="1439"/>
        <w:spacing w:after="0" w:line="453" w:lineRule="auto"/>
        <w:rPr>
          <w:sz w:val="20"/>
          <w:szCs w:val="20"/>
          <w:color w:val="auto"/>
        </w:rPr>
      </w:pPr>
      <w:r>
        <w:rPr>
          <w:rFonts w:ascii="Arial" w:cs="Arial" w:eastAsia="Arial" w:hAnsi="Arial"/>
          <w:sz w:val="18"/>
          <w:szCs w:val="18"/>
          <w:color w:val="auto"/>
        </w:rPr>
        <w:t xml:space="preserve">At June 30, 2023, there were no defaults under the covenants related to the Company’s outstanding debt. </w:t>
      </w:r>
      <w:r>
        <w:rPr>
          <w:rFonts w:ascii="Arial" w:cs="Arial" w:eastAsia="Arial" w:hAnsi="Arial"/>
          <w:sz w:val="18"/>
          <w:szCs w:val="18"/>
          <w:i w:val="1"/>
          <w:iCs w:val="1"/>
          <w:color w:val="auto"/>
        </w:rPr>
        <w:t>Credit Facility</w:t>
      </w:r>
    </w:p>
    <w:p>
      <w:pPr>
        <w:spacing w:after="0" w:line="2" w:lineRule="exact"/>
        <w:rPr>
          <w:sz w:val="20"/>
          <w:szCs w:val="20"/>
          <w:color w:val="auto"/>
        </w:rPr>
      </w:pPr>
    </w:p>
    <w:p>
      <w:pPr>
        <w:ind w:left="60" w:right="439"/>
        <w:spacing w:after="0" w:line="279" w:lineRule="auto"/>
        <w:rPr>
          <w:sz w:val="20"/>
          <w:szCs w:val="20"/>
          <w:color w:val="auto"/>
        </w:rPr>
      </w:pPr>
      <w:r>
        <w:rPr>
          <w:rFonts w:ascii="Arial" w:cs="Arial" w:eastAsia="Arial" w:hAnsi="Arial"/>
          <w:sz w:val="17"/>
          <w:szCs w:val="17"/>
          <w:color w:val="auto"/>
        </w:rPr>
        <w:t>On May 18, 2023, the Company entered into a Credit Agreement (the “Credit Agreement”) among the Company, as a guarantor, its subsidiary RHP Hotel Properties, LP (the “Borrower”), as borrower, certain other subsidiaries of the Company party thereto, as guarantors, certain subsidiaries of the Company party thereto, as pledgors, the lenders party thereto and Wells Fargo Bank, National Association, as administrative agent.</w:t>
      </w:r>
    </w:p>
    <w:p>
      <w:pPr>
        <w:spacing w:after="0" w:line="144"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Credit Agreement provides a $700 million revolving credit facility (the “Revolver”) and $500 million term loan B (the “Term Loan B”), as well as an accordion feature that will allow Borrower to increase the facilities following the closing date by an aggregate total of up to $475 million, which may be allocated between the Revolver and the Term Loan B at the option of the Borrower. The Revolver replaced the Company’s previous $700 million revolving credit facility, and a portion of the proceeds of the Term Loan B were used to repay in full the approximately $370 million balance of the Company’s previous term loan B. The Revolver was undrawn at closing.</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Borrowings under the Revolver under the Credit Agreement bear interest at an annual rate equal to, at the Company’s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option, either (i) Adjusted Term SOFR plus the applicable margin ranging from 1.40% to 2.00%, dependent upon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Company’s funded debt to total asset value ratio (as defined in the Credit Agreement), (ii) Adjusted Daily Simple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SOFR plus the applicable margin ranging from 1.40% to 2.00%, dependent upon the Company’s funded debt to total asset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value ratio (as defined in the Credit Agreement) or (iii) a base rate as set forth in the Credit Agreement plus the applicable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margin ranging from 0.40% to 1.00%, dependent upon the Company’s funded debt to total asset value ratio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(as defined in the Credit Agreement). Borrowings under the Term Loan B bear interest at an annual rate equal to, at the Company’s option, (i) Term SOFR plus 2.75%, (ii) Daily Simple SOFR plus 2.75% or (iii) a base rate as set forth in the Credit Agreement plus 1.75%. The Revolver matures on May 18, 2027, with the option to extend the maturity date for a maximum of one additional year through either (i) a single 12-month extension option or (ii) two individual 6-month extensions, and the Term Loan B matures on May 18, 2030.</w:t>
      </w:r>
    </w:p>
    <w:p>
      <w:pPr>
        <w:spacing w:after="0" w:line="161"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Revolver and the Term Loan B are subject to certain events of default which can be triggered by failing to meet customary financial covenants. If an event of default shall occur and be continuing, the principal amount outstanding under the Revolver and Term Loan B, together with all accrued and unpaid interest and other amounts owing in respect thereof, may be declared immediately due and payable.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$400 Million 7.25% Senior Notes due 2028</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June 22, 2023, the Operating Partnership and RHP Finance Corporation (collectively, the “issuing subsidiaries”)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completed the private placement of $400.0 million in aggregate principal amount of 7.25% senior notes due 2028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“$400 Million 7.25% Senior Notes”), which are guaranteed by the Company and its subsidiaries that guarantee the Credit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Agreement.</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Company’s $700 million in aggregate principal amount of 4.75% senior notes due 2027 and $600 million in aggregate principal amount of 4.50% senior notes due 2029, and senior in right of payment to future subordinated indebtedness, if any.</w:t>
      </w:r>
    </w:p>
    <w:p>
      <w:pPr>
        <w:spacing w:after="0" w:line="125"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37"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net proceeds from the issuance of the $400 Million 7.25% Senior Notes totaled approximately $393 million, after deducting the initial purchasers’ discounts, commissions and offering expenses. The Company used these proceeds to pay a portion of the purchase price for JW Marriott Hill Country discussed in Note 2.</w:t>
      </w:r>
    </w:p>
    <w:p>
      <w:pPr>
        <w:spacing w:after="0" w:line="157"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The $400 Million 7.25% Senior Notes are redeemable before July 15, 2025, in whole or in part, at 100.00%, plus accrued and unpaid interest thereon to, but not including, the redemption date, plus a make-whole premium. The $400 Million</w:t>
      </w:r>
    </w:p>
    <w:p>
      <w:pPr>
        <w:ind w:left="60" w:right="159"/>
        <w:spacing w:after="0" w:line="253" w:lineRule="auto"/>
        <w:rPr>
          <w:sz w:val="20"/>
          <w:szCs w:val="20"/>
          <w:color w:val="auto"/>
        </w:rPr>
      </w:pPr>
      <w:r>
        <w:rPr>
          <w:rFonts w:ascii="Arial" w:cs="Arial" w:eastAsia="Arial" w:hAnsi="Arial"/>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18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 has entered into or previously entered into interest rate swaps to manage interest rate risk associated with the Company’s previous term loan B, the Gaylord Rockies $800 million term loan and the $300 million OEG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$2.2 million will be reclassified from accumulated other comprehensive income as a reduction to interest expense in the next twelve months.</w:t>
      </w:r>
    </w:p>
    <w:p>
      <w:pPr>
        <w:spacing w:after="0" w:line="16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June 30, 2023 and December 31, 2022 is as follows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Strike</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Notional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2"/>
              </w:rPr>
              <w:t>Asset (Liability) Balance</w:t>
            </w:r>
          </w:p>
        </w:tc>
        <w:tc>
          <w:tcPr>
            <w:tcW w:w="0" w:type="dxa"/>
            <w:vAlign w:val="bottom"/>
          </w:tcPr>
          <w:p>
            <w:pPr>
              <w:spacing w:after="0"/>
              <w:rPr>
                <w:sz w:val="1"/>
                <w:szCs w:val="1"/>
                <w:color w:val="auto"/>
              </w:rPr>
            </w:pPr>
          </w:p>
        </w:tc>
      </w:tr>
      <w:tr>
        <w:trPr>
          <w:trHeight w:val="119"/>
        </w:trPr>
        <w:tc>
          <w:tcPr>
            <w:tcW w:w="1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Hedged Debt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1"/>
              </w:rPr>
              <w:t>Type</w:t>
            </w: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Index</w:t>
            </w:r>
          </w:p>
        </w:tc>
        <w:tc>
          <w:tcPr>
            <w:tcW w:w="6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1.2235%</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87,500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center"/>
              <w:ind w:right="51"/>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Term Loan B</w:t>
            </w:r>
          </w:p>
        </w:tc>
        <w:tc>
          <w:tcPr>
            <w:tcW w:w="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Interest Rate Swap</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1.2235%</w:t>
            </w:r>
          </w:p>
        </w:tc>
        <w:tc>
          <w:tcPr>
            <w:tcW w:w="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8"/>
              </w:rPr>
              <w:t>1-month LIBOR</w:t>
            </w:r>
          </w:p>
        </w:tc>
        <w:tc>
          <w:tcPr>
            <w:tcW w:w="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11, 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87,500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Interest Rate Swap</w:t>
            </w:r>
          </w:p>
        </w:tc>
        <w:tc>
          <w:tcPr>
            <w:tcW w:w="6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1.2235%</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1-month LIBOR</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May 11, 2023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Term Loan B</w:t>
            </w:r>
          </w:p>
        </w:tc>
        <w:tc>
          <w:tcPr>
            <w:tcW w:w="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Interest Rate Swap</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1.2315%</w:t>
            </w:r>
          </w:p>
        </w:tc>
        <w:tc>
          <w:tcPr>
            <w:tcW w:w="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8"/>
              </w:rPr>
              <w:t>1-month LIBOR</w:t>
            </w:r>
          </w:p>
        </w:tc>
        <w:tc>
          <w:tcPr>
            <w:tcW w:w="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11, 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87,500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Term Loan</w:t>
            </w:r>
          </w:p>
        </w:tc>
        <w:tc>
          <w:tcPr>
            <w:tcW w:w="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Interest Rate Swap</w:t>
            </w:r>
          </w:p>
        </w:tc>
        <w:tc>
          <w:tcPr>
            <w:tcW w:w="6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3.3410%</w:t>
            </w: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1-month LIBOR</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August 1, 2023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6,969</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w w:val="98"/>
              </w:rPr>
              <w:t>Gaylord Rockies Term Loan (1)</w:t>
            </w:r>
          </w:p>
        </w:tc>
        <w:tc>
          <w:tcPr>
            <w:tcW w:w="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Interest Rate Swap</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5.2105%</w:t>
            </w:r>
          </w:p>
        </w:tc>
        <w:tc>
          <w:tcPr>
            <w:tcW w:w="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7"/>
              </w:rPr>
              <w:t>Daily SOFR</w:t>
            </w:r>
          </w:p>
        </w:tc>
        <w:tc>
          <w:tcPr>
            <w:tcW w:w="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2"/>
              </w:rPr>
              <w:t>July 2, 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OEG Term Loan</w:t>
            </w:r>
          </w:p>
        </w:tc>
        <w:tc>
          <w:tcPr>
            <w:tcW w:w="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Interest Rate Swap</w:t>
            </w:r>
          </w:p>
        </w:tc>
        <w:tc>
          <w:tcPr>
            <w:tcW w:w="680" w:type="dxa"/>
            <w:vAlign w:val="bottom"/>
            <w:tcBorders>
              <w:bottom w:val="single" w:sz="8" w:color="CCEEFF"/>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4.5330%</w:t>
            </w:r>
          </w:p>
        </w:tc>
        <w:tc>
          <w:tcPr>
            <w:tcW w:w="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3-month SOFR</w:t>
            </w:r>
          </w:p>
        </w:tc>
        <w:tc>
          <w:tcPr>
            <w:tcW w:w="6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December 18, 2025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1,496</w:t>
            </w:r>
          </w:p>
        </w:tc>
        <w:tc>
          <w:tcPr>
            <w:tcW w:w="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10,186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rate swap is effective August 1, 2023.</w:t>
      </w:r>
    </w:p>
    <w:p>
      <w:pPr>
        <w:spacing w:after="0" w:line="208"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8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center"/>
              <w:ind w:right="5"/>
              <w:spacing w:after="0"/>
              <w:rPr>
                <w:sz w:val="20"/>
                <w:szCs w:val="20"/>
                <w:color w:val="auto"/>
              </w:rPr>
            </w:pPr>
            <w:r>
              <w:rPr>
                <w:rFonts w:ascii="Arial" w:cs="Arial" w:eastAsia="Arial" w:hAnsi="Arial"/>
                <w:sz w:val="14"/>
                <w:szCs w:val="14"/>
                <w:b w:val="1"/>
                <w:bCs w:val="1"/>
                <w:color w:val="auto"/>
                <w:w w:val="92"/>
              </w:rPr>
              <w:t>Amount of Gain (Loss)</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r>
      <w:tr>
        <w:trPr>
          <w:trHeight w:val="148"/>
        </w:trPr>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4"/>
          </w:tcPr>
          <w:p>
            <w:pPr>
              <w:jc w:val="center"/>
              <w:ind w:right="5"/>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Reclassified from Accumulated</w:t>
            </w:r>
          </w:p>
        </w:tc>
      </w:tr>
      <w:tr>
        <w:trPr>
          <w:trHeight w:val="17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center"/>
              <w:ind w:right="5"/>
              <w:spacing w:after="0"/>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r>
      <w:tr>
        <w:trPr>
          <w:trHeight w:val="119"/>
        </w:trPr>
        <w:tc>
          <w:tcPr>
            <w:tcW w:w="3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Borders>
              <w:top w:val="single" w:sz="8" w:color="auto"/>
            </w:tcBorders>
            <w:gridSpan w:val="4"/>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158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4"/>
          </w:tcPr>
          <w:p>
            <w:pPr>
              <w:jc w:val="center"/>
              <w:ind w:right="65"/>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r>
      <w:tr>
        <w:trPr>
          <w:trHeight w:val="17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47"/>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8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32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lef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2,477</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40" w:type="dxa"/>
            <w:vAlign w:val="bottom"/>
          </w:tcPr>
          <w:p>
            <w:pPr>
              <w:ind w:left="160"/>
              <w:spacing w:after="0"/>
              <w:rPr>
                <w:sz w:val="20"/>
                <w:szCs w:val="20"/>
                <w:color w:val="auto"/>
              </w:rPr>
            </w:pPr>
            <w:r>
              <w:rPr>
                <w:rFonts w:ascii="Arial" w:cs="Arial" w:eastAsia="Arial" w:hAnsi="Arial"/>
                <w:sz w:val="15"/>
                <w:szCs w:val="15"/>
                <w:color w:val="auto"/>
                <w:w w:val="95"/>
              </w:rPr>
              <w:t>2,119</w:t>
            </w: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5"/>
                <w:szCs w:val="15"/>
                <w:color w:val="auto"/>
                <w:w w:val="88"/>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4,888</w:t>
            </w:r>
          </w:p>
        </w:tc>
        <w:tc>
          <w:tcPr>
            <w:tcW w:w="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(2,175)</w:t>
            </w:r>
          </w:p>
        </w:tc>
        <w:tc>
          <w:tcPr>
            <w:tcW w:w="100" w:type="dxa"/>
            <w:vAlign w:val="bottom"/>
          </w:tcPr>
          <w:p>
            <w:pPr>
              <w:spacing w:after="0"/>
              <w:rPr>
                <w:sz w:val="17"/>
                <w:szCs w:val="17"/>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32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320" w:type="dxa"/>
            <w:vAlign w:val="bottom"/>
            <w:tcBorders>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2,477</w:t>
            </w:r>
          </w:p>
        </w:tc>
        <w:tc>
          <w:tcPr>
            <w:tcW w:w="260" w:type="dxa"/>
            <w:vAlign w:val="bottom"/>
            <w:tcBorders>
              <w:left w:val="single" w:sz="8" w:color="CCEEFF"/>
            </w:tcBorders>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2,119</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4,888</w:t>
            </w:r>
          </w:p>
        </w:tc>
        <w:tc>
          <w:tcPr>
            <w:tcW w:w="340" w:type="dxa"/>
            <w:vAlign w:val="bottom"/>
            <w:tcBorders>
              <w:left w:val="single" w:sz="8" w:color="CCEEFF"/>
            </w:tcBorders>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(2,175)</w:t>
            </w:r>
          </w:p>
        </w:tc>
        <w:tc>
          <w:tcPr>
            <w:tcW w:w="100" w:type="dxa"/>
            <w:vAlign w:val="bottom"/>
            <w:shd w:val="clear" w:color="auto" w:fill="CCEEFF"/>
          </w:tcPr>
          <w:p>
            <w:pPr>
              <w:spacing w:after="0"/>
              <w:rPr>
                <w:sz w:val="14"/>
                <w:szCs w:val="14"/>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36"/>
        </w:trPr>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r>
      <w:tr>
        <w:trPr>
          <w:trHeight w:val="148"/>
        </w:trPr>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r>
      <w:tr>
        <w:trPr>
          <w:trHeight w:val="17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center"/>
              <w:ind w:right="5"/>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r>
      <w:tr>
        <w:trPr>
          <w:trHeight w:val="119"/>
        </w:trPr>
        <w:tc>
          <w:tcPr>
            <w:tcW w:w="3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15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Reclassified from</w:t>
            </w:r>
          </w:p>
        </w:tc>
        <w:tc>
          <w:tcPr>
            <w:tcW w:w="12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4"/>
          </w:tcPr>
          <w:p>
            <w:pPr>
              <w:jc w:val="center"/>
              <w:ind w:right="65"/>
              <w:spacing w:after="0" w:line="119" w:lineRule="exact"/>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0"/>
                <w:szCs w:val="10"/>
                <w:color w:val="auto"/>
              </w:rPr>
            </w:pPr>
          </w:p>
        </w:tc>
      </w:tr>
      <w:tr>
        <w:trPr>
          <w:trHeight w:val="17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67"/>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5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into Income (Expense)</w:t>
            </w:r>
          </w:p>
        </w:tc>
        <w:tc>
          <w:tcPr>
            <w:tcW w:w="120" w:type="dxa"/>
            <w:vAlign w:val="bottom"/>
          </w:tcPr>
          <w:p>
            <w:pPr>
              <w:spacing w:after="0"/>
              <w:rPr>
                <w:sz w:val="12"/>
                <w:szCs w:val="12"/>
                <w:color w:val="auto"/>
              </w:rPr>
            </w:pPr>
          </w:p>
        </w:tc>
        <w:tc>
          <w:tcPr>
            <w:tcW w:w="840" w:type="dxa"/>
            <w:vAlign w:val="bottom"/>
          </w:tcPr>
          <w:p>
            <w:pPr>
              <w:jc w:val="right"/>
              <w:ind w:right="247"/>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65"/>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55"/>
        </w:trPr>
        <w:tc>
          <w:tcPr>
            <w:tcW w:w="32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32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1,467</w:t>
            </w:r>
          </w:p>
        </w:tc>
        <w:tc>
          <w:tcPr>
            <w:tcW w:w="2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ind w:left="160"/>
              <w:spacing w:after="0" w:line="162" w:lineRule="exact"/>
              <w:rPr>
                <w:sz w:val="20"/>
                <w:szCs w:val="20"/>
                <w:color w:val="auto"/>
              </w:rPr>
            </w:pPr>
            <w:r>
              <w:rPr>
                <w:rFonts w:ascii="Arial" w:cs="Arial" w:eastAsia="Arial" w:hAnsi="Arial"/>
                <w:sz w:val="15"/>
                <w:szCs w:val="15"/>
                <w:color w:val="auto"/>
                <w:w w:val="95"/>
              </w:rPr>
              <w:t>8,189</w:t>
            </w:r>
          </w:p>
        </w:tc>
        <w:tc>
          <w:tcPr>
            <w:tcW w:w="120" w:type="dxa"/>
            <w:vAlign w:val="bottom"/>
          </w:tcPr>
          <w:p>
            <w:pPr>
              <w:spacing w:after="0"/>
              <w:rPr>
                <w:sz w:val="14"/>
                <w:szCs w:val="14"/>
                <w:color w:val="auto"/>
              </w:rPr>
            </w:pPr>
          </w:p>
        </w:tc>
        <w:tc>
          <w:tcPr>
            <w:tcW w:w="1580" w:type="dxa"/>
            <w:vAlign w:val="bottom"/>
            <w:gridSpan w:val="3"/>
          </w:tcPr>
          <w:p>
            <w:pPr>
              <w:jc w:val="center"/>
              <w:ind w:right="100"/>
              <w:spacing w:after="0" w:line="162" w:lineRule="exact"/>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10,156</w:t>
            </w:r>
          </w:p>
        </w:tc>
        <w:tc>
          <w:tcPr>
            <w:tcW w:w="3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(6,124)</w:t>
            </w:r>
          </w:p>
        </w:tc>
        <w:tc>
          <w:tcPr>
            <w:tcW w:w="100" w:type="dxa"/>
            <w:vAlign w:val="bottom"/>
          </w:tcPr>
          <w:p>
            <w:pPr>
              <w:spacing w:after="0"/>
              <w:rPr>
                <w:sz w:val="14"/>
                <w:szCs w:val="14"/>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2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Total derivatives</w:t>
            </w:r>
          </w:p>
        </w:tc>
        <w:tc>
          <w:tcPr>
            <w:tcW w:w="3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1,467</w:t>
            </w:r>
          </w:p>
        </w:tc>
        <w:tc>
          <w:tcPr>
            <w:tcW w:w="260" w:type="dxa"/>
            <w:vAlign w:val="bottom"/>
            <w:tcBorders>
              <w:lef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160"/>
              <w:spacing w:after="0" w:line="142" w:lineRule="exact"/>
              <w:rPr>
                <w:sz w:val="20"/>
                <w:szCs w:val="20"/>
                <w:color w:val="auto"/>
              </w:rPr>
            </w:pPr>
            <w:r>
              <w:rPr>
                <w:rFonts w:ascii="Arial" w:cs="Arial" w:eastAsia="Arial" w:hAnsi="Arial"/>
                <w:sz w:val="15"/>
                <w:szCs w:val="15"/>
                <w:color w:val="auto"/>
                <w:w w:val="95"/>
              </w:rPr>
              <w:t>8,189</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10,156</w:t>
            </w:r>
          </w:p>
        </w:tc>
        <w:tc>
          <w:tcPr>
            <w:tcW w:w="340" w:type="dxa"/>
            <w:vAlign w:val="bottom"/>
            <w:tcBorders>
              <w:left w:val="single" w:sz="8" w:color="CCEEFF"/>
            </w:tcBorders>
            <w:gridSpan w:val="2"/>
            <w:shd w:val="clear" w:color="auto" w:fill="CCEEFF"/>
          </w:tcPr>
          <w:p>
            <w:pPr>
              <w:jc w:val="right"/>
              <w:ind w:right="200"/>
              <w:spacing w:after="0" w:line="14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(6,124)</w:t>
            </w:r>
          </w:p>
        </w:tc>
        <w:tc>
          <w:tcPr>
            <w:tcW w:w="100" w:type="dxa"/>
            <w:vAlign w:val="bottom"/>
            <w:shd w:val="clear" w:color="auto" w:fill="CCEEFF"/>
          </w:tcPr>
          <w:p>
            <w:pPr>
              <w:spacing w:after="0"/>
              <w:rPr>
                <w:sz w:val="15"/>
                <w:szCs w:val="15"/>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right w:val="single" w:sz="8" w:color="auto"/>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June 30, 2023 and 2022 was $49.2 million and $34.0 million, respectively, and for the six months ended June 30, 2023 and 2022 was $91.7 million and $65.9 million, respectively.</w:t>
      </w:r>
    </w:p>
    <w:p>
      <w:pPr>
        <w:spacing w:after="0" w:line="160"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As of June 30, 2023, the Company has not posted any collateral related to these agreements and was not in breach of any agreement provisions. In addition, the Company has an agreement with its derivative counterparty that contains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provision whereby the Company could be declared in default on its derivative obligations if repayment of the underlying indebtedness is accelerated by the lender due to the Company’s default on the indebtedness.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0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The Company is a lessee of a 65.3-acre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and, as a result, are not included in the Company’s calculation of its right-of-use assets and lease liabilities.</w:t>
      </w:r>
    </w:p>
    <w:p>
      <w:pPr>
        <w:spacing w:after="0" w:line="178" w:lineRule="exact"/>
        <w:rPr>
          <w:sz w:val="20"/>
          <w:szCs w:val="20"/>
          <w:color w:val="auto"/>
        </w:rPr>
      </w:pPr>
    </w:p>
    <w:p>
      <w:pPr>
        <w:jc w:val="both"/>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lease costs for the three and six months ended June 30, 2023 and 2022 are as follows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7,345</w:t>
            </w:r>
          </w:p>
        </w:tc>
        <w:tc>
          <w:tcPr>
            <w:tcW w:w="12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Finance lease cost: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right-of-use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7,424</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non-cancelable leases at June 30, 2023 are as follows (in thousands):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Finance</w:t>
            </w:r>
          </w:p>
        </w:tc>
      </w:tr>
      <w:tr>
        <w:trPr>
          <w:trHeight w:val="171"/>
        </w:trPr>
        <w:tc>
          <w:tcPr>
            <w:tcW w:w="9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Leases</w:t>
            </w:r>
          </w:p>
        </w:tc>
      </w:tr>
      <w:tr>
        <w:trPr>
          <w:trHeight w:val="210"/>
        </w:trPr>
        <w:tc>
          <w:tcPr>
            <w:tcW w:w="90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Years thereafter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(478,150)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6180" w:type="dxa"/>
            <w:vAlign w:val="bottom"/>
            <w:gridSpan w:val="2"/>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9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90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87"/>
              </w:rPr>
              <w:t>43.5 years</w:t>
            </w:r>
          </w:p>
        </w:tc>
      </w:tr>
      <w:tr>
        <w:trPr>
          <w:trHeight w:val="216"/>
        </w:trPr>
        <w:tc>
          <w:tcPr>
            <w:tcW w:w="90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10.5 years</w:t>
            </w:r>
          </w:p>
        </w:tc>
      </w:tr>
      <w:tr>
        <w:trPr>
          <w:trHeight w:val="216"/>
        </w:trPr>
        <w:tc>
          <w:tcPr>
            <w:tcW w:w="9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7.0 %</w:t>
            </w:r>
          </w:p>
        </w:tc>
        <w:tc>
          <w:tcPr>
            <w:tcW w:w="40" w:type="dxa"/>
            <w:vAlign w:val="bottom"/>
            <w:shd w:val="clear" w:color="auto" w:fill="CCEEFF"/>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right"/>
              <w:ind w:right="133"/>
              <w:spacing w:after="0"/>
              <w:rPr>
                <w:sz w:val="20"/>
                <w:szCs w:val="20"/>
                <w:color w:val="auto"/>
              </w:rPr>
            </w:pPr>
            <w:r>
              <w:rPr>
                <w:rFonts w:ascii="Arial" w:cs="Arial" w:eastAsia="Arial" w:hAnsi="Arial"/>
                <w:sz w:val="18"/>
                <w:szCs w:val="18"/>
                <w:color w:val="auto"/>
              </w:rPr>
              <w:t>3.7 %</w:t>
            </w:r>
          </w:p>
        </w:tc>
        <w:tc>
          <w:tcPr>
            <w:tcW w:w="40" w:type="dxa"/>
            <w:vAlign w:val="bottom"/>
          </w:tcPr>
          <w:p>
            <w:pPr>
              <w:spacing w:after="0"/>
              <w:rPr>
                <w:sz w:val="20"/>
                <w:szCs w:val="20"/>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 PLANS:</w:t>
      </w:r>
    </w:p>
    <w:p>
      <w:pPr>
        <w:spacing w:after="0" w:line="202"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During the six months ended June 30, 2023, the Company granted 0.2 million restricted stock units with a weighted-average grant date fair value of $87.13 per unit. There were 0.6 million restricted stock units outstanding at each of June 30, 2023 and December 31, 2022.</w:t>
      </w:r>
    </w:p>
    <w:p>
      <w:pPr>
        <w:spacing w:after="0" w:line="143"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Compensation expense for the Company’s stock-based compensation plans was $3.8 million and $3.7 million for the three months ended June 30, 2023 and 2022, respectively, and $7.5 million and $7.4 million for the six months ended June 30, 2023 and 2022, respectively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PENSION PLANS:</w:t>
      </w:r>
    </w:p>
    <w:p>
      <w:pPr>
        <w:spacing w:after="0" w:line="189" w:lineRule="exact"/>
        <w:rPr>
          <w:sz w:val="20"/>
          <w:szCs w:val="20"/>
          <w:color w:val="auto"/>
        </w:rPr>
      </w:pPr>
    </w:p>
    <w:p>
      <w:pPr>
        <w:ind w:left="60" w:right="639"/>
        <w:spacing w:after="0" w:line="342" w:lineRule="auto"/>
        <w:rPr>
          <w:sz w:val="20"/>
          <w:szCs w:val="20"/>
          <w:color w:val="auto"/>
        </w:rPr>
      </w:pPr>
      <w:r>
        <w:rPr>
          <w:rFonts w:ascii="Arial" w:cs="Arial" w:eastAsia="Arial" w:hAnsi="Arial"/>
          <w:sz w:val="16"/>
          <w:szCs w:val="16"/>
          <w:color w:val="auto"/>
        </w:rPr>
        <w:t>Net periodic pension expense reflected in other gains and (losses), net in the accompanying condensed consolidated statements of operations included the following components for the respective periods (in thousands):</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(729)</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(1,031)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(2,062)</w:t>
            </w:r>
          </w:p>
        </w:tc>
        <w:tc>
          <w:tcPr>
            <w:tcW w:w="160" w:type="dxa"/>
            <w:vAlign w:val="bottom"/>
          </w:tcPr>
          <w:p>
            <w:pPr>
              <w:spacing w:after="0"/>
              <w:rPr>
                <w:sz w:val="18"/>
                <w:szCs w:val="18"/>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9"/>
                <w:szCs w:val="19"/>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settlement loss</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8"/>
                <w:szCs w:val="18"/>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For the three months ended June 30, 2023 and 2022, the Company recorded an income tax provision of $3.5 million and $17.6 million, respectively, related to its TRSs. For the six months ended June 30, 2023 and 2022, the Company recorded an income tax provision of $5.2 million and $17.6 million, respectively, related to its TRSs. The decrease in the income tax provision for the three and six months ended June 30, 2023, as compared to the same periods in the prior year, primarily relates to a decrease in income at the Company’s TRSs.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30, 2023 and December 31, 2022, the Company had no unrecognized tax benefits.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189"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Company has entered into limited repayment and carry guaranties related to the Second Amended and Restated Loan Agreement, as amended, related to Gaylord Rockies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and (ii) customary non-recourse carve-outs.</w:t>
      </w:r>
    </w:p>
    <w:p>
      <w:pPr>
        <w:spacing w:after="0" w:line="165"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In connection with the purchase of Block 21, the Company provided (i) limited guarantees to the Block 21 lenders under the Block 21 CMBS Loan via a guaranty agreement, a guaranty of completion agreement and an environmental indemnity, and (ii) a letter of credit drawable by the Block 21 lenders in the event of a default of the Block 21 CMBS Loan.</w:t>
      </w:r>
    </w:p>
    <w:p>
      <w:pPr>
        <w:spacing w:after="0" w:line="10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In April 2019, a subsidiary of the Company acquired a 50% equity interest in Circle and has made capital contributions of $39.0 million through June 30, 2023. In addition, the Company intends to contribute up to an additional $4.2 million through December 31, 2023 for working capital needs. The Company accounts for its investment in this joint venture under the equity method of accounting.</w:t>
      </w:r>
    </w:p>
    <w:p>
      <w:pPr>
        <w:spacing w:after="0" w:line="14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43"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w:t>
      </w:r>
    </w:p>
    <w:p>
      <w:pPr>
        <w:spacing w:after="0" w:line="198" w:lineRule="exact"/>
        <w:rPr>
          <w:sz w:val="20"/>
          <w:szCs w:val="20"/>
          <w:color w:val="auto"/>
        </w:rPr>
      </w:pPr>
    </w:p>
    <w:p>
      <w:pPr>
        <w:jc w:val="both"/>
        <w:ind w:left="60" w:right="159"/>
        <w:spacing w:after="0" w:line="301" w:lineRule="auto"/>
        <w:rPr>
          <w:sz w:val="20"/>
          <w:szCs w:val="20"/>
          <w:color w:val="auto"/>
        </w:rPr>
      </w:pPr>
      <w:r>
        <w:rPr>
          <w:rFonts w:ascii="Arial" w:cs="Arial" w:eastAsia="Arial" w:hAnsi="Arial"/>
          <w:sz w:val="16"/>
          <w:szCs w:val="16"/>
          <w:color w:val="auto"/>
        </w:rPr>
        <w:t>In June 2023, the Company completed an underwritten public offering of approximately 4.4 million shares of its common stock, par value $0.01 per share, at a price to the public of $93.25 per share. Net proceeds to the Company, after deducting underwriting discounts and commissions and other expenses paid by the Company, were approximately $395 million. The Company used these proceeds to pay a portion of the purchase price for JW Marriott Hill Country discussed in Note 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On February 23, 2023, the Company’s board of directors declared the Company’s first quarter 2023 cash dividend in the amount of $0.75 per share of common stock, or an aggregate of approximately $41.7 million in cash, which was paid on April 17, 2023 to stockholders of record as of the close of business on March 31, 2023. On May 3, 2023, the Company’s board of directors declared the Company’s second quarter 2023 cash dividend in the amount of $1.00 per share of common stock, or an aggregate of approximately $60.1 million in cash, which was paid on July 17, 2023 to stockholders of record as of the close of business on June 30, 2023. Any future dividend is subject to the Company’s board of directors’ determination as to the amount of distributions and the timing thereof.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the Operating Partnership</w:t>
      </w:r>
    </w:p>
    <w:p>
      <w:pPr>
        <w:spacing w:after="0" w:line="198"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June 30, 2023, 0.4 million outstanding OP Units, or less than 1%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(“ATM”) Equity Distribution Agreement</w:t>
      </w:r>
    </w:p>
    <w:p>
      <w:pPr>
        <w:spacing w:after="0" w:line="18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4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Credit Agreement. Net proceeds which are not used for the repayment of outstanding indebtedness (to the extent then permitted by the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shares were issued under the ATM Agreement during the six months ended June 30, 2023.</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FAIR VALUE MEASUREMENTS:</w:t>
      </w:r>
    </w:p>
    <w:p>
      <w:pPr>
        <w:spacing w:after="0" w:line="202"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4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34"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The Company’s assets and liabilities measured at fair value on a recurring basis at June 30, 2023 and December 31, 2022, were as follows (in thousands):</w:t>
      </w:r>
    </w:p>
    <w:tbl>
      <w:tblPr>
        <w:tblLayout w:type="fixed"/>
        <w:tblInd w:w="4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Variable to fixed interest rate swaps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24"/>
                <w:szCs w:val="2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investments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Variable to fixed interest rate swaps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to fixed interest rate swaps</w:t>
            </w: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2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1,164</w:t>
            </w:r>
          </w:p>
        </w:tc>
        <w:tc>
          <w:tcPr>
            <w:tcW w:w="260" w:type="dxa"/>
            <w:vAlign w:val="bottom"/>
            <w:gridSpan w:val="4"/>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remainder of the assets and liabilities held by the Company at June 30, 2023 are not required to be recorded at fair value, and the carrying value of these assets and liabilities approximates fair value, except as described below.</w:t>
      </w:r>
    </w:p>
    <w:p>
      <w:pPr>
        <w:spacing w:after="0" w:line="83"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The Company has outstanding $600.0 million in aggregate principal amount of $600 million 4.50% senior notes. The carrying value of these notes at June 30, 2023 was $592.4 million, net of unamortized deferred financing costs (“DFCs”). The fair value of these notes, based upon quoted market prices (Level 1), was $531.6 million at June 30, 2023.</w:t>
      </w:r>
    </w:p>
    <w:p>
      <w:pPr>
        <w:spacing w:after="0" w:line="122"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The Company has outstanding $700.0 million in aggregate principal amount of $700 million 4.75% senior notes. The carrying value of these notes at June 30, 2023 was $694.3 million, net of unamortized DFCs and premiums. The fair value of these notes, based upon quoted market prices (Level 1), was $652.0 million at June 30, 2023.</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FINANCIAL REPORTING BY BUSINESS SEGMENTS: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98" w:lineRule="exact"/>
        <w:rPr>
          <w:sz w:val="20"/>
          <w:szCs w:val="20"/>
          <w:color w:val="auto"/>
        </w:rPr>
      </w:pPr>
    </w:p>
    <w:p>
      <w:pPr>
        <w:ind w:left="720" w:right="319" w:hanging="319"/>
        <w:spacing w:after="0" w:line="25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JW Marriott Hill Country (effective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Inn at Opryland and the AC Hotel;</w:t>
      </w:r>
    </w:p>
    <w:p>
      <w:pPr>
        <w:spacing w:after="0" w:line="1" w:lineRule="exact"/>
        <w:rPr>
          <w:rFonts w:ascii="Arial" w:cs="Arial" w:eastAsia="Arial" w:hAnsi="Arial"/>
          <w:sz w:val="18"/>
          <w:szCs w:val="18"/>
          <w:color w:val="auto"/>
        </w:rPr>
      </w:pPr>
    </w:p>
    <w:p>
      <w:pPr>
        <w:ind w:left="720" w:right="21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OEG business, specifically the Grand Ole Opry, the Ryman Auditorium,</w:t>
      </w:r>
      <w:r>
        <w:rPr>
          <w:rFonts w:ascii="Arial" w:cs="Arial" w:eastAsia="Arial" w:hAnsi="Arial"/>
          <w:sz w:val="18"/>
          <w:szCs w:val="18"/>
          <w:i w:val="1"/>
          <w:iCs w:val="1"/>
          <w:color w:val="auto"/>
        </w:rPr>
        <w:t xml:space="preserve"> </w:t>
      </w:r>
      <w:r>
        <w:rPr>
          <w:rFonts w:ascii="Arial" w:cs="Arial" w:eastAsia="Arial" w:hAnsi="Arial"/>
          <w:sz w:val="18"/>
          <w:szCs w:val="18"/>
          <w:color w:val="auto"/>
        </w:rPr>
        <w:t>WSM-AM, Ole Red, Block 21, the Company’s equity investment in Circle, and the Company’s Nashville-based attractions; and</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2"/>
                <w:szCs w:val="12"/>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417,685</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$ 401,802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842,124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9"/>
              </w:rPr>
              <w:t>$ 662,913</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154,438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106,426</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50"/>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504,843</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$ 470,204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996,562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$ 769,339</w:t>
            </w:r>
          </w:p>
        </w:tc>
        <w:tc>
          <w:tcPr>
            <w:tcW w:w="140" w:type="dxa"/>
            <w:vAlign w:val="bottom"/>
            <w:shd w:val="clear" w:color="auto" w:fill="CCEEFF"/>
          </w:tcPr>
          <w:p>
            <w:pPr>
              <w:spacing w:after="0"/>
              <w:rPr>
                <w:sz w:val="21"/>
                <w:szCs w:val="21"/>
                <w:color w:val="auto"/>
              </w:rPr>
            </w:pPr>
          </w:p>
        </w:tc>
      </w:tr>
      <w:tr>
        <w:trPr>
          <w:trHeight w:val="197"/>
        </w:trPr>
        <w:tc>
          <w:tcPr>
            <w:tcW w:w="37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42,646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52,016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85,521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9"/>
              </w:rPr>
              <w:t>$ 104,287</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r>
      <w:tr>
        <w:trPr>
          <w:trHeight w:val="250"/>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56,715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96,614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$ 112,743</w:t>
            </w:r>
          </w:p>
        </w:tc>
        <w:tc>
          <w:tcPr>
            <w:tcW w:w="140" w:type="dxa"/>
            <w:vAlign w:val="bottom"/>
            <w:shd w:val="clear" w:color="auto" w:fill="CCEEFF"/>
          </w:tcPr>
          <w:p>
            <w:pPr>
              <w:spacing w:after="0"/>
              <w:rPr>
                <w:sz w:val="21"/>
                <w:szCs w:val="21"/>
                <w:color w:val="auto"/>
              </w:rPr>
            </w:pPr>
          </w:p>
        </w:tc>
      </w:tr>
      <w:tr>
        <w:trPr>
          <w:trHeight w:val="197"/>
        </w:trPr>
        <w:tc>
          <w:tcPr>
            <w:tcW w:w="37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107,733</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$ 100,573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213,803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9"/>
              </w:rPr>
              <w:t>$ 116,241</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(10,094)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(22,386)</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Loss on sale of assets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122,240</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105,968</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227,890</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113,842</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(33,958)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(65,895)</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7,865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2,760</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Loss from unconsolidated joint ventures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(5,628)</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gains and (losses), net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73,687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68,558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136,314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43,696</w:t>
            </w:r>
          </w:p>
        </w:tc>
        <w:tc>
          <w:tcPr>
            <w:tcW w:w="14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63"/>
        </w:trPr>
        <w:tc>
          <w:tcPr>
            <w:tcW w:w="3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auto"/>
            </w:tcBorders>
          </w:tcPr>
          <w:p>
            <w:pPr>
              <w:spacing w:after="0"/>
              <w:rPr>
                <w:sz w:val="14"/>
                <w:szCs w:val="14"/>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9"/>
              </w:rPr>
              <w:t>4,021,742</w:t>
            </w:r>
          </w:p>
        </w:tc>
        <w:tc>
          <w:tcPr>
            <w:tcW w:w="2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3,314,444</w:t>
            </w: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529,764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502,913</w:t>
            </w: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439,149</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223,266</w:t>
            </w:r>
          </w:p>
        </w:tc>
      </w:tr>
      <w:tr>
        <w:trPr>
          <w:trHeight w:val="250"/>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identifiable assets</w:t>
            </w:r>
          </w:p>
        </w:tc>
        <w:tc>
          <w:tcPr>
            <w:tcW w:w="1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4,990,655</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4,040,623</w:t>
            </w:r>
          </w:p>
        </w:tc>
      </w:tr>
      <w:tr>
        <w:trPr>
          <w:trHeight w:val="872"/>
        </w:trPr>
        <w:tc>
          <w:tcPr>
            <w:tcW w:w="370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ind w:left="60" w:right="2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2022, included in our Annual Report on Form 10-K that was filed with the SEC on February 24, 2023.</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and other business or operational issues;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2023; (x) our ability to borrow available funds under our credit facility; (xi) our expectations about successfully amending the agreements governing our indebtedness should the need arise; (xii) the effects of inflation and increased costs on our business and on our customers, including group customers at our hotels; (xiii) risks associated with our acquisition of the JW Marriott San Antonio Hill Country Resort &amp; Spa; and (xiv) any other business or operational matters. We have based these forward-looking statements on our current expectations and projections about future events.</w:t>
      </w:r>
    </w:p>
    <w:p>
      <w:pPr>
        <w:spacing w:after="0" w:line="13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on our business, including the effects on costs of labor and supplies and effects on group customers at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any effects of COVID-19 on us and the hospitality and entertainment industries generally, and those factors described elsewhere in this Quarterly Report on Form 10-Q and our Annual Report on Form 10-K for the year ended December 31, 2022 or described from time to time in our other reports filed with the SEC.</w:t>
      </w:r>
    </w:p>
    <w:p>
      <w:pPr>
        <w:spacing w:after="0" w:line="13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6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97 years; the Ryman Auditorium, the storied live music venue and former home of the Grand Ole Opry located in downtown Nashville; WSM-AM, the Opry’s radio home; Ole Red, a brand of Blake Shelton-themed bar, music venue and event spaces; two Nashville-based assets – the Wildhorse Saloon and the General Jackson Showboat; and as of May 31, 2022, Block 21, a mixed-use entertainment, lodging, office, and retail complex located in Austin, Texas (“Block 21”). OEG owns a 50% interest in a joint venture that creates and distributes a linear multicast and over-the-top channel dedicated to the country music lifestyle (“Circle”). See “OEG Transaction” below for additional disclosure regarding our sale of a 30% interest in OEG effective June 16, 2022.</w:t>
      </w:r>
    </w:p>
    <w:p>
      <w:pPr>
        <w:spacing w:after="0" w:line="14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2022 for important information regarding forward-looking statements made in this report and risks and uncertainties we face.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JW Marriott San Antonio Hill Country</w:t>
      </w:r>
    </w:p>
    <w:p>
      <w:pPr>
        <w:spacing w:after="0" w:line="225"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On June 30, 2023, we purchased JW Marriott Hill Country for approximately $800 million. Located amid approximately 600 acres in the Texas Hill Country region outside of San Antonio, JW Marriott Hill Country, which opened in 2010, is a premier group-oriented resort with 1,002 rooms and 268,000 total square feet of indoor and outdoor meeting and event space. The resort’s amenities include a 26,000 square foot spa; eight food and beverage outlets; a 9-acre water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experience; and TPC San Antonio, which features two 18-hole golf courses. We funded the purchase price with approximately $395 million in net proceeds of an underwritten registered public offering of approximately 4.4 million shares of the Company’s common stock, approximately $393 million in net proceeds of a private placement of $400 million aggregate principal amount of 7.25% senior notes due 2028 and cash on hand. JW Marriott Hill Country assets are reflected in our Hospitality segment beginning June 30,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 Refinancing</w:t>
      </w:r>
    </w:p>
    <w:p>
      <w:pPr>
        <w:spacing w:after="0" w:line="225"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In May 2023, we completed the refinancing of our previous credit facility by entering into a new credit agreement, which extends the maturity of our $700 million revolving credit facility to 2027 and an increased $500 million term loan B to 2030. The new credit facility also includes an accordion feature that will allow us to increase the facilities by an aggregate total of up to $475 million. A portion of the proceeds of the term loan B were used to repay in full the approximately $370 million balance of our previous term loan B. The revolver was undrawn at closing.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$400 Million 7.25% Senior Notes due 2028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22, 2023, the Operating Partnership and RHP Finance Corporation completed the private placement</w:t>
      </w:r>
    </w:p>
    <w:p>
      <w:pPr>
        <w:spacing w:after="0" w:line="23" w:lineRule="exact"/>
        <w:rPr>
          <w:sz w:val="20"/>
          <w:szCs w:val="20"/>
          <w:color w:val="auto"/>
        </w:rPr>
      </w:pPr>
    </w:p>
    <w:p>
      <w:pPr>
        <w:ind w:left="60" w:right="119"/>
        <w:spacing w:after="0" w:line="290" w:lineRule="auto"/>
        <w:rPr>
          <w:sz w:val="20"/>
          <w:szCs w:val="20"/>
          <w:color w:val="auto"/>
        </w:rPr>
      </w:pPr>
      <w:r>
        <w:rPr>
          <w:rFonts w:ascii="Arial" w:cs="Arial" w:eastAsia="Arial" w:hAnsi="Arial"/>
          <w:sz w:val="17"/>
          <w:szCs w:val="17"/>
          <w:color w:val="auto"/>
        </w:rPr>
        <w:t>of $400.0 million in aggregate principal amount of 7.25% senior notes due 2028 (the “$400 Million 7.25% Senior Notes”), which are guaranteed by the Company and its subsidiaries that guarantee our credit agreement.</w:t>
      </w:r>
    </w:p>
    <w:p>
      <w:pPr>
        <w:spacing w:after="0" w:line="16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Offering</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In June 2023, we completed an underwritten public offering of approximately 4.4 million shares of our common stock, par value $0.01 per share, at a price to the public of $93.25 per share. Our net proceeds, after deducting underwriting discounts and commissions and other expenses paid by us, were approximately $395 million. We used these proceeds to pay a portion of the purchase price for JW Marriott Hill Country discussed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OEG Transaction</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As more fully described in Note 1, “OEG Transaction,” to the consolidated financial statements included in our Annual Report on Form 10-K for the year ended December 31, 2022, on June 16, 2022, we and certain of our subsidiaries, including OEG Attractions Holdings, LLC, which directly or indirectly owns the assets that comprise our Entertainment Segment,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purchase price for the OEG Transaction may be increased by $30.0 million if OEG achieves certain financial objectives in 2023 or 2024.</w:t>
      </w:r>
    </w:p>
    <w:p>
      <w:pPr>
        <w:spacing w:after="0" w:line="178"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retained a controlling 70% equity interest in OEG and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below), to repay the then-outstanding balance of our former $300 million term loan A and to pay down substantially all borrowings then outstanding under our revolving credit facility.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98" w:lineRule="exact"/>
        <w:rPr>
          <w:sz w:val="20"/>
          <w:szCs w:val="20"/>
          <w:color w:val="auto"/>
        </w:rPr>
      </w:pPr>
    </w:p>
    <w:p>
      <w:pPr>
        <w:jc w:val="both"/>
        <w:ind w:left="60" w:right="99"/>
        <w:spacing w:after="0" w:line="286" w:lineRule="auto"/>
        <w:rPr>
          <w:sz w:val="20"/>
          <w:szCs w:val="20"/>
          <w:color w:val="auto"/>
        </w:rPr>
      </w:pPr>
      <w:r>
        <w:rPr>
          <w:rFonts w:ascii="Arial" w:cs="Arial" w:eastAsia="Arial" w:hAnsi="Arial"/>
          <w:sz w:val="17"/>
          <w:szCs w:val="17"/>
          <w:color w:val="auto"/>
        </w:rPr>
        <w:t>In September 2022, our board of directors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directors (as otherwise permitted by our credit agreement) and certain provisions of our agreements governing our other indebtedness may prohibit us from paying dividends in accordance with any policy we may adopt.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Gaylord Hotels properties focus on the large group meetings market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61"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Part of our long-term growth strategy includes acquisitions or developments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40"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i w:val="1"/>
          <w:iCs w:val="1"/>
          <w:color w:val="auto"/>
        </w:rPr>
        <w:t>Continued Investment in Our Existing Properties</w:t>
      </w:r>
      <w:r>
        <w:rPr>
          <w:rFonts w:ascii="Arial" w:cs="Arial" w:eastAsia="Arial" w:hAnsi="Arial"/>
          <w:sz w:val="16"/>
          <w:szCs w:val="16"/>
          <w:color w:val="auto"/>
        </w:rPr>
        <w:t>. We continuously evaluate and invest in our current portfolio and consider</w:t>
      </w:r>
      <w:r>
        <w:rPr>
          <w:rFonts w:ascii="Arial" w:cs="Arial" w:eastAsia="Arial" w:hAnsi="Arial"/>
          <w:sz w:val="16"/>
          <w:szCs w:val="16"/>
          <w:i w:val="1"/>
          <w:iCs w:val="1"/>
          <w:color w:val="auto"/>
        </w:rPr>
        <w:t xml:space="preserve"> </w:t>
      </w:r>
      <w:r>
        <w:rPr>
          <w:rFonts w:ascii="Arial" w:cs="Arial" w:eastAsia="Arial" w:hAnsi="Arial"/>
          <w:sz w:val="16"/>
          <w:szCs w:val="16"/>
          <w:color w:val="auto"/>
        </w:rPr>
        <w:t>enhancements or expansions as part of our long-term strategic plan. In 2021, we completed our $158 million expansion of Gaylord Palms, and we also completed our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w:t>
      </w:r>
    </w:p>
    <w:p>
      <w:pPr>
        <w:spacing w:after="0" w:line="121"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i w:val="1"/>
          <w:iCs w:val="1"/>
          <w:color w:val="auto"/>
        </w:rPr>
        <w:t>Leverage Brand Name Awareness</w:t>
      </w:r>
      <w:r>
        <w:rPr>
          <w:rFonts w:ascii="Arial" w:cs="Arial" w:eastAsia="Arial" w:hAnsi="Arial"/>
          <w:sz w:val="16"/>
          <w:szCs w:val="16"/>
          <w:color w:val="auto"/>
        </w:rPr>
        <w:t>. We believe the Grand Ole Opry is one of the most recognized entertainment brands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as well as Circle, purchased Block 21, and in April 2023 announced a partnership with Luke Combs for an entertainment venue concept expected to be completed in 2024. Further, in 2022, we completed a strategic transaction to sell a minority interest in OEG to an affiliate of Atairos and its strategic partner NBCUniversal, who we believe will be able to help us expand the distribution of our OEG brands.</w:t>
      </w:r>
    </w:p>
    <w:p>
      <w:pPr>
        <w:spacing w:after="0" w:line="145"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i w:val="1"/>
          <w:iCs w:val="1"/>
          <w:color w:val="auto"/>
        </w:rPr>
        <w:t>Short-Term Capital Allocation</w:t>
      </w:r>
      <w:r>
        <w:rPr>
          <w:rFonts w:ascii="Arial" w:cs="Arial" w:eastAsia="Arial" w:hAnsi="Arial"/>
          <w:sz w:val="17"/>
          <w:szCs w:val="17"/>
          <w:color w:val="auto"/>
        </w:rPr>
        <w:t>. Our short-term capital allocation strategy is focused on returning capital to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right="21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JW Marriott Hill Country (effective June 30, 2023), the Inn at Opryland and the AC Hotel.</w:t>
      </w:r>
    </w:p>
    <w:p>
      <w:pPr>
        <w:spacing w:after="0" w:line="129"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Block 21, our equity investment in Circle, and our other Nashville-based attractions.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For the three and six months ended June 30, 2023 and 2022, our total revenues were divided among these business segments as follows: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5"/>
              </w:rPr>
              <w:t>Three Months Ended</w:t>
            </w:r>
          </w:p>
        </w:tc>
        <w:tc>
          <w:tcPr>
            <w:tcW w:w="158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102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2022</w:t>
            </w:r>
          </w:p>
        </w:tc>
        <w:tc>
          <w:tcPr>
            <w:tcW w:w="400" w:type="dxa"/>
            <w:vAlign w:val="bottom"/>
          </w:tcPr>
          <w:p>
            <w:pPr>
              <w:spacing w:after="0"/>
              <w:rPr>
                <w:sz w:val="12"/>
                <w:szCs w:val="12"/>
                <w:color w:val="auto"/>
              </w:rPr>
            </w:pPr>
          </w:p>
        </w:tc>
        <w:tc>
          <w:tcPr>
            <w:tcW w:w="4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15 %</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0 %</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8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61"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hotel occupancy – a volume indicator calculated by dividing total rooms sold by total rooms available;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720" w:right="5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43" w:lineRule="exact"/>
        <w:rPr>
          <w:rFonts w:ascii="Arial" w:cs="Arial" w:eastAsia="Arial" w:hAnsi="Arial"/>
          <w:sz w:val="18"/>
          <w:szCs w:val="18"/>
          <w:color w:val="auto"/>
        </w:rPr>
      </w:pPr>
    </w:p>
    <w:p>
      <w:pPr>
        <w:ind w:left="720" w:right="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3" w:lineRule="exact"/>
        <w:rPr>
          <w:rFonts w:ascii="Arial" w:cs="Arial" w:eastAsia="Arial" w:hAnsi="Arial"/>
          <w:sz w:val="18"/>
          <w:szCs w:val="18"/>
          <w:color w:val="auto"/>
        </w:rPr>
      </w:pPr>
    </w:p>
    <w:p>
      <w:pPr>
        <w:ind w:left="720" w:right="25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definite group room nights booked – a volume indicator which represents the total number of definite group bookings for future room nights at our hotels confirmed during the applicable period, net of cancellations.</w:t>
      </w:r>
    </w:p>
    <w:p>
      <w:pPr>
        <w:spacing w:after="0" w:line="83"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7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and</w:t>
      </w:r>
    </w:p>
    <w:p>
      <w:pPr>
        <w:spacing w:after="0" w:line="143"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Funds From Operations (“FFO”) available to common stockholders and unit holders and Adjusted FFO available to common stockholders and unit 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98"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jc w:val="both"/>
        <w:ind w:left="60" w:right="299"/>
        <w:spacing w:after="0" w:line="286" w:lineRule="auto"/>
        <w:rPr>
          <w:sz w:val="20"/>
          <w:szCs w:val="20"/>
          <w:color w:val="auto"/>
        </w:rPr>
      </w:pPr>
      <w:r>
        <w:rPr>
          <w:rFonts w:ascii="Arial" w:cs="Arial" w:eastAsia="Arial" w:hAnsi="Arial"/>
          <w:sz w:val="17"/>
          <w:szCs w:val="17"/>
          <w:color w:val="auto"/>
        </w:rPr>
        <w:t>The following table contains our unaudited selected summary financial data for the three and six months ended June 30, 2023 and 2022.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Unaudited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center"/>
              <w:ind w:left="188"/>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560" w:type="dxa"/>
            <w:vAlign w:val="bottom"/>
            <w:gridSpan w:val="2"/>
          </w:tcPr>
          <w:p>
            <w:pPr>
              <w:jc w:val="center"/>
              <w:ind w:left="6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168,492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33.4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161,506</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34.3</w:t>
            </w:r>
          </w:p>
        </w:tc>
        <w:tc>
          <w:tcPr>
            <w:tcW w:w="82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$ 329,743</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33.1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w w:val="82"/>
              </w:rPr>
              <w:t>% $</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263,099</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197,908</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188,083</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413,712</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300,199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Other hotel revenue</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51,285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52,213</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11.1</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98,669</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99,615</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87,158</w:t>
            </w: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68,402</w:t>
            </w: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154,438</w:t>
            </w:r>
          </w:p>
        </w:tc>
        <w:tc>
          <w:tcPr>
            <w:tcW w:w="14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106,426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3460" w:type="dxa"/>
            <w:vAlign w:val="bottom"/>
            <w:gridSpan w:val="2"/>
          </w:tcPr>
          <w:p>
            <w:pPr>
              <w:ind w:left="180"/>
              <w:spacing w:after="0"/>
              <w:rPr>
                <w:sz w:val="20"/>
                <w:szCs w:val="20"/>
                <w:color w:val="auto"/>
              </w:rPr>
            </w:pPr>
            <w:r>
              <w:rPr>
                <w:rFonts w:ascii="Arial" w:cs="Arial" w:eastAsia="Arial" w:hAnsi="Arial"/>
                <w:sz w:val="14"/>
                <w:szCs w:val="14"/>
                <w:color w:val="auto"/>
              </w:rPr>
              <w:t>Total revenues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504,843</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470,204</w:t>
            </w: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100.0</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996,562</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769,339</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40,272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41,238</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82,331</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71,374</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107,026</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97,489</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222,207</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168,818</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Other hotel expenses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104,590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99,284</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21.1</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207,649</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20.8</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185,927</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Hotel management fees, net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15,418</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30,613</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16,266</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Entertainment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57,088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45,670</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9.7</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108,522</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10.9</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77,401</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12,417</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20,479</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21,974</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221</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525</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on sale of assets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perscript"/>
              </w:rPr>
              <w:t>%</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perscript"/>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Hospitality</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42,646</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52,016</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85,521</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104,287</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gridSpan w:val="2"/>
          </w:tcPr>
          <w:p>
            <w:pPr>
              <w:ind w:left="180"/>
              <w:spacing w:after="0"/>
              <w:rPr>
                <w:sz w:val="20"/>
                <w:szCs w:val="20"/>
                <w:color w:val="auto"/>
              </w:rPr>
            </w:pPr>
            <w:r>
              <w:rPr>
                <w:rFonts w:ascii="Arial" w:cs="Arial" w:eastAsia="Arial" w:hAnsi="Arial"/>
                <w:sz w:val="14"/>
                <w:szCs w:val="14"/>
                <w:color w:val="auto"/>
              </w:rPr>
              <w:t>Entertainment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5,402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4,492</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10,667</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8,044</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tcPr>
          <w:p>
            <w:pPr>
              <w:spacing w:after="0"/>
              <w:rPr>
                <w:sz w:val="13"/>
                <w:szCs w:val="13"/>
                <w:color w:val="auto"/>
              </w:rPr>
            </w:pPr>
          </w:p>
        </w:tc>
        <w:tc>
          <w:tcPr>
            <w:tcW w:w="3460" w:type="dxa"/>
            <w:vAlign w:val="bottom"/>
            <w:tcBorders>
              <w:bottom w:val="single" w:sz="8" w:color="CCEEFF"/>
            </w:tcBorders>
            <w:gridSpan w:val="2"/>
          </w:tcPr>
          <w:p>
            <w:pPr>
              <w:ind w:left="300"/>
              <w:spacing w:after="0" w:line="155" w:lineRule="exact"/>
              <w:rPr>
                <w:sz w:val="20"/>
                <w:szCs w:val="20"/>
                <w:color w:val="auto"/>
              </w:rPr>
            </w:pPr>
            <w:r>
              <w:rPr>
                <w:rFonts w:ascii="Arial" w:cs="Arial" w:eastAsia="Arial" w:hAnsi="Arial"/>
                <w:sz w:val="14"/>
                <w:szCs w:val="14"/>
                <w:color w:val="auto"/>
              </w:rPr>
              <w:t>Total depreciation and amortization</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48,257</w:t>
            </w:r>
          </w:p>
        </w:tc>
        <w:tc>
          <w:tcPr>
            <w:tcW w:w="56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9.6</w:t>
            </w:r>
          </w:p>
        </w:tc>
        <w:tc>
          <w:tcPr>
            <w:tcW w:w="20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56,715</w:t>
            </w: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12.1</w:t>
            </w:r>
          </w:p>
        </w:tc>
        <w:tc>
          <w:tcPr>
            <w:tcW w:w="180" w:type="dxa"/>
            <w:vAlign w:val="bottom"/>
            <w:tcBorders>
              <w:bottom w:val="single" w:sz="8" w:color="CCEEFF"/>
            </w:tcBorders>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96,614</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112,743</w:t>
            </w:r>
          </w:p>
        </w:tc>
        <w:tc>
          <w:tcPr>
            <w:tcW w:w="1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14.7</w:t>
            </w:r>
          </w:p>
        </w:tc>
        <w:tc>
          <w:tcPr>
            <w:tcW w:w="1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382,603</w:t>
            </w:r>
          </w:p>
        </w:tc>
        <w:tc>
          <w:tcPr>
            <w:tcW w:w="56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75.8</w:t>
            </w:r>
          </w:p>
        </w:tc>
        <w:tc>
          <w:tcPr>
            <w:tcW w:w="2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364,236</w:t>
            </w: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77.5</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768,672</w:t>
            </w:r>
          </w:p>
        </w:tc>
        <w:tc>
          <w:tcPr>
            <w:tcW w:w="14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655,497</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85.2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50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Hospitality</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107,733</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100,573</w:t>
            </w: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213,803</w:t>
            </w:r>
          </w:p>
        </w:tc>
        <w:tc>
          <w:tcPr>
            <w:tcW w:w="14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116,241</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Entertainment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24,668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28.3</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18,240</w:t>
            </w: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26.7</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35,249</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20,981</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(10,094)</w:t>
            </w:r>
          </w:p>
        </w:tc>
        <w:tc>
          <w:tcPr>
            <w:tcW w:w="14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(12,624)</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center"/>
              <w:ind w:right="9"/>
              <w:spacing w:after="0" w:line="149" w:lineRule="exact"/>
              <w:rPr>
                <w:sz w:val="20"/>
                <w:szCs w:val="20"/>
                <w:color w:val="auto"/>
              </w:rPr>
            </w:pPr>
            <w:r>
              <w:rPr>
                <w:rFonts w:ascii="Arial" w:cs="Arial" w:eastAsia="Arial" w:hAnsi="Arial"/>
                <w:sz w:val="14"/>
                <w:szCs w:val="14"/>
                <w:color w:val="auto"/>
              </w:rPr>
              <w:t>(A)</w:t>
            </w: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(20,905)</w:t>
            </w:r>
          </w:p>
        </w:tc>
        <w:tc>
          <w:tcPr>
            <w:tcW w:w="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(22,386)</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w:t>
            </w:r>
          </w:p>
        </w:tc>
        <w:tc>
          <w:tcPr>
            <w:tcW w:w="76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(221)</w:t>
            </w:r>
          </w:p>
        </w:tc>
        <w:tc>
          <w:tcPr>
            <w:tcW w:w="180" w:type="dxa"/>
            <w:vAlign w:val="bottom"/>
          </w:tcPr>
          <w:p>
            <w:pPr>
              <w:spacing w:after="0"/>
              <w:rPr>
                <w:sz w:val="15"/>
                <w:szCs w:val="15"/>
                <w:color w:val="auto"/>
              </w:rPr>
            </w:pPr>
          </w:p>
        </w:tc>
        <w:tc>
          <w:tcPr>
            <w:tcW w:w="580" w:type="dxa"/>
            <w:vAlign w:val="bottom"/>
            <w:gridSpan w:val="2"/>
          </w:tcPr>
          <w:p>
            <w:pPr>
              <w:jc w:val="right"/>
              <w:ind w:right="19"/>
              <w:spacing w:after="0" w:line="176" w:lineRule="exact"/>
              <w:rPr>
                <w:sz w:val="20"/>
                <w:szCs w:val="20"/>
                <w:color w:val="auto"/>
              </w:rPr>
            </w:pPr>
            <w:r>
              <w:rPr>
                <w:rFonts w:ascii="Arial" w:cs="Arial" w:eastAsia="Arial" w:hAnsi="Arial"/>
                <w:sz w:val="12"/>
                <w:szCs w:val="12"/>
                <w:color w:val="auto"/>
              </w:rPr>
              <w:t>(0.0)</w:t>
            </w:r>
            <w:r>
              <w:rPr>
                <w:rFonts w:ascii="Arial" w:cs="Arial" w:eastAsia="Arial" w:hAnsi="Arial"/>
                <w:sz w:val="20"/>
                <w:szCs w:val="20"/>
                <w:color w:val="auto"/>
                <w:vertAlign w:val="superscript"/>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Loss on sale of assets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perscript"/>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Total operating income</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122,240</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24.2</w:t>
            </w:r>
          </w:p>
        </w:tc>
        <w:tc>
          <w:tcPr>
            <w:tcW w:w="200" w:type="dxa"/>
            <w:vAlign w:val="bottom"/>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105,968</w:t>
            </w:r>
          </w:p>
        </w:tc>
        <w:tc>
          <w:tcPr>
            <w:tcW w:w="1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22.5</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227,890</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22.9</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113,842</w:t>
            </w:r>
          </w:p>
        </w:tc>
        <w:tc>
          <w:tcPr>
            <w:tcW w:w="14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14.8</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3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(49,179)</w:t>
            </w:r>
          </w:p>
        </w:tc>
        <w:tc>
          <w:tcPr>
            <w:tcW w:w="14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(33,958)</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center"/>
              <w:ind w:right="9"/>
              <w:spacing w:after="0" w:line="149" w:lineRule="exact"/>
              <w:rPr>
                <w:sz w:val="20"/>
                <w:szCs w:val="20"/>
                <w:color w:val="auto"/>
              </w:rPr>
            </w:pPr>
            <w:r>
              <w:rPr>
                <w:rFonts w:ascii="Arial" w:cs="Arial" w:eastAsia="Arial" w:hAnsi="Arial"/>
                <w:sz w:val="14"/>
                <w:szCs w:val="14"/>
                <w:color w:val="auto"/>
              </w:rPr>
              <w:t>(A)</w:t>
            </w: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(91,707)</w:t>
            </w:r>
          </w:p>
        </w:tc>
        <w:tc>
          <w:tcPr>
            <w:tcW w:w="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(65,895)</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gridSpan w:val="3"/>
          </w:tcPr>
          <w:p>
            <w:pPr>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5,318</w:t>
            </w:r>
          </w:p>
        </w:tc>
        <w:tc>
          <w:tcPr>
            <w:tcW w:w="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1,379</w:t>
            </w:r>
          </w:p>
        </w:tc>
        <w:tc>
          <w:tcPr>
            <w:tcW w:w="180" w:type="dxa"/>
            <w:vAlign w:val="bottom"/>
          </w:tcPr>
          <w:p>
            <w:pPr>
              <w:spacing w:after="0"/>
              <w:rPr>
                <w:sz w:val="14"/>
                <w:szCs w:val="14"/>
                <w:color w:val="auto"/>
              </w:rPr>
            </w:pPr>
          </w:p>
        </w:tc>
        <w:tc>
          <w:tcPr>
            <w:tcW w:w="400" w:type="dxa"/>
            <w:vAlign w:val="bottom"/>
          </w:tcPr>
          <w:p>
            <w:pPr>
              <w:jc w:val="center"/>
              <w:ind w:right="9"/>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7,865</w:t>
            </w:r>
          </w:p>
        </w:tc>
        <w:tc>
          <w:tcPr>
            <w:tcW w:w="1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rPr>
              <w: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2,760</w:t>
            </w:r>
          </w:p>
        </w:tc>
        <w:tc>
          <w:tcPr>
            <w:tcW w:w="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rPr>
              <w:t>(A)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w:t>
            </w:r>
          </w:p>
        </w:tc>
        <w:tc>
          <w:tcPr>
            <w:tcW w:w="14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center"/>
              <w:ind w:right="9"/>
              <w:spacing w:after="0" w:line="149" w:lineRule="exact"/>
              <w:rPr>
                <w:sz w:val="20"/>
                <w:szCs w:val="20"/>
                <w:color w:val="auto"/>
              </w:rPr>
            </w:pPr>
            <w:r>
              <w:rPr>
                <w:rFonts w:ascii="Arial" w:cs="Arial" w:eastAsia="Arial" w:hAnsi="Arial"/>
                <w:sz w:val="14"/>
                <w:szCs w:val="14"/>
                <w:color w:val="auto"/>
              </w:rPr>
              <w:t>(A)</w:t>
            </w: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(2,252)</w:t>
            </w:r>
          </w:p>
        </w:tc>
        <w:tc>
          <w:tcPr>
            <w:tcW w:w="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(1,547)</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3"/>
          </w:tcPr>
          <w:p>
            <w:pPr>
              <w:spacing w:after="0" w:line="149" w:lineRule="exact"/>
              <w:rPr>
                <w:sz w:val="20"/>
                <w:szCs w:val="20"/>
                <w:color w:val="auto"/>
              </w:rPr>
            </w:pPr>
            <w:r>
              <w:rPr>
                <w:rFonts w:ascii="Arial" w:cs="Arial" w:eastAsia="Arial" w:hAnsi="Arial"/>
                <w:sz w:val="14"/>
                <w:szCs w:val="14"/>
                <w:color w:val="auto"/>
              </w:rPr>
              <w:t>Loss from unconsolidated joint ventures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(2,153)</w:t>
            </w:r>
          </w:p>
        </w:tc>
        <w:tc>
          <w:tcPr>
            <w:tcW w:w="1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(3,001)</w:t>
            </w:r>
          </w:p>
        </w:tc>
        <w:tc>
          <w:tcPr>
            <w:tcW w:w="180" w:type="dxa"/>
            <w:vAlign w:val="bottom"/>
          </w:tcPr>
          <w:p>
            <w:pPr>
              <w:spacing w:after="0"/>
              <w:rPr>
                <w:sz w:val="12"/>
                <w:szCs w:val="12"/>
                <w:color w:val="auto"/>
              </w:rPr>
            </w:pPr>
          </w:p>
        </w:tc>
        <w:tc>
          <w:tcPr>
            <w:tcW w:w="400" w:type="dxa"/>
            <w:vAlign w:val="bottom"/>
          </w:tcPr>
          <w:p>
            <w:pPr>
              <w:jc w:val="center"/>
              <w:ind w:right="9"/>
              <w:spacing w:after="0" w:line="14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(4,959)</w:t>
            </w: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(5,628)</w:t>
            </w: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gains and (losses), net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14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center"/>
              <w:ind w:right="9"/>
              <w:spacing w:after="0" w:line="149" w:lineRule="exact"/>
              <w:rPr>
                <w:sz w:val="20"/>
                <w:szCs w:val="20"/>
                <w:color w:val="auto"/>
              </w:rPr>
            </w:pPr>
            <w:r>
              <w:rPr>
                <w:rFonts w:ascii="Arial" w:cs="Arial" w:eastAsia="Arial" w:hAnsi="Arial"/>
                <w:sz w:val="14"/>
                <w:szCs w:val="14"/>
                <w:color w:val="auto"/>
              </w:rPr>
              <w:t>(A)</w:t>
            </w: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(523)</w:t>
            </w:r>
          </w:p>
        </w:tc>
        <w:tc>
          <w:tcPr>
            <w:tcW w:w="4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gridSpan w:val="3"/>
          </w:tcPr>
          <w:p>
            <w:pPr>
              <w:spacing w:after="0" w:line="149" w:lineRule="exact"/>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(3,544)</w:t>
            </w:r>
          </w:p>
        </w:tc>
        <w:tc>
          <w:tcPr>
            <w:tcW w:w="1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(17,634)</w:t>
            </w:r>
          </w:p>
        </w:tc>
        <w:tc>
          <w:tcPr>
            <w:tcW w:w="180" w:type="dxa"/>
            <w:vAlign w:val="bottom"/>
          </w:tcPr>
          <w:p>
            <w:pPr>
              <w:spacing w:after="0"/>
              <w:rPr>
                <w:sz w:val="12"/>
                <w:szCs w:val="12"/>
                <w:color w:val="auto"/>
              </w:rPr>
            </w:pPr>
          </w:p>
        </w:tc>
        <w:tc>
          <w:tcPr>
            <w:tcW w:w="400" w:type="dxa"/>
            <w:vAlign w:val="bottom"/>
          </w:tcPr>
          <w:p>
            <w:pPr>
              <w:jc w:val="center"/>
              <w:ind w:right="9"/>
              <w:spacing w:after="0" w:line="14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(5,177)</w:t>
            </w: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(17,569)</w:t>
            </w: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70,143</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50,924</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CCEEFF"/>
              <w:right w:val="single" w:sz="8" w:color="CCEEFF"/>
            </w:tcBorders>
            <w:shd w:val="clear" w:color="auto" w:fill="CCEEFF"/>
          </w:tcPr>
          <w:p>
            <w:pPr>
              <w:jc w:val="center"/>
              <w:ind w:right="9"/>
              <w:spacing w:after="0" w:line="142" w:lineRule="exact"/>
              <w:rPr>
                <w:sz w:val="20"/>
                <w:szCs w:val="20"/>
                <w:color w:val="auto"/>
              </w:rPr>
            </w:pPr>
            <w:r>
              <w:rPr>
                <w:rFonts w:ascii="Arial" w:cs="Arial" w:eastAsia="Arial" w:hAnsi="Arial"/>
                <w:sz w:val="14"/>
                <w:szCs w:val="14"/>
                <w:color w:val="auto"/>
              </w:rPr>
              <w:t>(A)</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131,137</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26,127</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4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Net income attributable to noncontrolling interest in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460" w:type="dxa"/>
            <w:vAlign w:val="bottom"/>
            <w:gridSpan w:val="2"/>
          </w:tcPr>
          <w:p>
            <w:pPr>
              <w:ind w:left="80"/>
              <w:spacing w:after="0"/>
              <w:rPr>
                <w:sz w:val="20"/>
                <w:szCs w:val="20"/>
                <w:color w:val="auto"/>
              </w:rPr>
            </w:pPr>
            <w:r>
              <w:rPr>
                <w:rFonts w:ascii="Arial" w:cs="Arial" w:eastAsia="Arial" w:hAnsi="Arial"/>
                <w:sz w:val="14"/>
                <w:szCs w:val="14"/>
                <w:color w:val="auto"/>
              </w:rPr>
              <w:t>consolidated joint venture</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(3,134)</w:t>
            </w:r>
          </w:p>
        </w:tc>
        <w:tc>
          <w:tcPr>
            <w:tcW w:w="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w:t>
            </w:r>
          </w:p>
        </w:tc>
        <w:tc>
          <w:tcPr>
            <w:tcW w:w="180" w:type="dxa"/>
            <w:vAlign w:val="bottom"/>
          </w:tcPr>
          <w:p>
            <w:pPr>
              <w:spacing w:after="0"/>
              <w:rPr>
                <w:sz w:val="14"/>
                <w:szCs w:val="14"/>
                <w:color w:val="auto"/>
              </w:rPr>
            </w:pPr>
          </w:p>
        </w:tc>
        <w:tc>
          <w:tcPr>
            <w:tcW w:w="400" w:type="dxa"/>
            <w:vAlign w:val="bottom"/>
          </w:tcPr>
          <w:p>
            <w:pPr>
              <w:jc w:val="center"/>
              <w:ind w:right="9"/>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(2,371)</w:t>
            </w:r>
          </w:p>
        </w:tc>
        <w:tc>
          <w:tcPr>
            <w:tcW w:w="440" w:type="dxa"/>
            <w:vAlign w:val="bottom"/>
          </w:tcPr>
          <w:p>
            <w:pPr>
              <w:jc w:val="center"/>
              <w:spacing w:after="0"/>
              <w:rPr>
                <w:sz w:val="20"/>
                <w:szCs w:val="20"/>
                <w:color w:val="auto"/>
              </w:rPr>
            </w:pPr>
            <w:r>
              <w:rPr>
                <w:rFonts w:ascii="Arial" w:cs="Arial" w:eastAsia="Arial" w:hAnsi="Arial"/>
                <w:sz w:val="14"/>
                <w:szCs w:val="14"/>
                <w:color w:val="auto"/>
              </w:rPr>
              <w: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(280)</w:t>
            </w:r>
          </w:p>
        </w:tc>
        <w:tc>
          <w:tcPr>
            <w:tcW w:w="420" w:type="dxa"/>
            <w:vAlign w:val="bottom"/>
          </w:tcPr>
          <w:p>
            <w:pPr>
              <w:jc w:val="center"/>
              <w:spacing w:after="0"/>
              <w:rPr>
                <w:sz w:val="20"/>
                <w:szCs w:val="20"/>
                <w:color w:val="auto"/>
              </w:rPr>
            </w:pPr>
            <w:r>
              <w:rPr>
                <w:rFonts w:ascii="Arial" w:cs="Arial" w:eastAsia="Arial" w:hAnsi="Arial"/>
                <w:sz w:val="14"/>
                <w:szCs w:val="14"/>
                <w:color w:val="auto"/>
              </w:rPr>
              <w:t>(A)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34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Net income attributable to noncontrolling interest in the</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4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8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40" w:type="dxa"/>
            <w:vAlign w:val="bottom"/>
            <w:vMerge w:val="restart"/>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(184)</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 w:type="dxa"/>
            <w:vAlign w:val="bottom"/>
            <w:shd w:val="clear" w:color="auto" w:fill="CCEEFF"/>
          </w:tcPr>
          <w:p>
            <w:pPr>
              <w:spacing w:after="0"/>
              <w:rPr>
                <w:sz w:val="13"/>
                <w:szCs w:val="13"/>
                <w:color w:val="auto"/>
              </w:rPr>
            </w:pPr>
          </w:p>
        </w:tc>
        <w:tc>
          <w:tcPr>
            <w:tcW w:w="3460" w:type="dxa"/>
            <w:vAlign w:val="bottom"/>
            <w:gridSpan w:val="2"/>
            <w:shd w:val="clear" w:color="auto" w:fill="CCEEFF"/>
          </w:tcPr>
          <w:p>
            <w:pPr>
              <w:ind w:left="80"/>
              <w:spacing w:after="0" w:line="154" w:lineRule="exact"/>
              <w:rPr>
                <w:sz w:val="20"/>
                <w:szCs w:val="20"/>
                <w:color w:val="auto"/>
              </w:rPr>
            </w:pPr>
            <w:r>
              <w:rPr>
                <w:rFonts w:ascii="Arial" w:cs="Arial" w:eastAsia="Arial" w:hAnsi="Arial"/>
                <w:sz w:val="14"/>
                <w:szCs w:val="14"/>
                <w:color w:val="auto"/>
              </w:rPr>
              <w:t>Operating Partnership</w:t>
            </w: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jc w:val="center"/>
              <w:spacing w:after="0" w:line="154" w:lineRule="exact"/>
              <w:rPr>
                <w:sz w:val="20"/>
                <w:szCs w:val="20"/>
                <w:color w:val="auto"/>
              </w:rPr>
            </w:pPr>
            <w:r>
              <w:rPr>
                <w:rFonts w:ascii="Arial" w:cs="Arial" w:eastAsia="Arial" w:hAnsi="Arial"/>
                <w:sz w:val="14"/>
                <w:szCs w:val="14"/>
                <w:color w:val="auto"/>
              </w:rPr>
              <w:t>(A)</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center"/>
              <w:ind w:right="9"/>
              <w:spacing w:after="0" w:line="154" w:lineRule="exact"/>
              <w:rPr>
                <w:sz w:val="20"/>
                <w:szCs w:val="20"/>
                <w:color w:val="auto"/>
              </w:rPr>
            </w:pPr>
            <w:r>
              <w:rPr>
                <w:rFonts w:ascii="Arial" w:cs="Arial" w:eastAsia="Arial" w:hAnsi="Arial"/>
                <w:sz w:val="14"/>
                <w:szCs w:val="14"/>
                <w:color w:val="auto"/>
              </w:rPr>
              <w:t>(A)</w:t>
            </w: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center"/>
              <w:spacing w:after="0" w:line="154"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6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Net income available to common stockholders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66,543</w:t>
            </w:r>
          </w:p>
        </w:tc>
        <w:tc>
          <w:tcPr>
            <w:tcW w:w="140" w:type="dxa"/>
            <w:vAlign w:val="bottom"/>
          </w:tcPr>
          <w:p>
            <w:pPr>
              <w:spacing w:after="0"/>
              <w:rPr>
                <w:sz w:val="13"/>
                <w:szCs w:val="13"/>
                <w:color w:val="auto"/>
              </w:rPr>
            </w:pPr>
          </w:p>
        </w:tc>
        <w:tc>
          <w:tcPr>
            <w:tcW w:w="420" w:type="dxa"/>
            <w:vAlign w:val="bottom"/>
          </w:tcPr>
          <w:p>
            <w:pPr>
              <w:jc w:val="center"/>
              <w:spacing w:after="0" w:line="155"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50,284</w:t>
            </w:r>
          </w:p>
        </w:tc>
        <w:tc>
          <w:tcPr>
            <w:tcW w:w="180" w:type="dxa"/>
            <w:vAlign w:val="bottom"/>
          </w:tcPr>
          <w:p>
            <w:pPr>
              <w:spacing w:after="0"/>
              <w:rPr>
                <w:sz w:val="13"/>
                <w:szCs w:val="13"/>
                <w:color w:val="auto"/>
              </w:rPr>
            </w:pPr>
          </w:p>
        </w:tc>
        <w:tc>
          <w:tcPr>
            <w:tcW w:w="400" w:type="dxa"/>
            <w:vAlign w:val="bottom"/>
          </w:tcPr>
          <w:p>
            <w:pPr>
              <w:jc w:val="center"/>
              <w:ind w:right="9"/>
              <w:spacing w:after="0" w:line="155"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9"/>
              </w:rPr>
              <w:t>$ 127,863</w:t>
            </w:r>
          </w:p>
        </w:tc>
        <w:tc>
          <w:tcPr>
            <w:tcW w:w="140" w:type="dxa"/>
            <w:vAlign w:val="bottom"/>
          </w:tcPr>
          <w:p>
            <w:pPr>
              <w:spacing w:after="0"/>
              <w:rPr>
                <w:sz w:val="13"/>
                <w:szCs w:val="13"/>
                <w:color w:val="auto"/>
              </w:rPr>
            </w:pPr>
          </w:p>
        </w:tc>
        <w:tc>
          <w:tcPr>
            <w:tcW w:w="440" w:type="dxa"/>
            <w:vAlign w:val="bottom"/>
          </w:tcPr>
          <w:p>
            <w:pPr>
              <w:jc w:val="center"/>
              <w:spacing w:after="0" w:line="155" w:lineRule="exact"/>
              <w:rPr>
                <w:sz w:val="20"/>
                <w:szCs w:val="20"/>
                <w:color w:val="auto"/>
              </w:rPr>
            </w:pPr>
            <w:r>
              <w:rPr>
                <w:rFonts w:ascii="Arial" w:cs="Arial" w:eastAsia="Arial" w:hAnsi="Arial"/>
                <w:sz w:val="14"/>
                <w:szCs w:val="14"/>
                <w:color w:val="auto"/>
              </w:rPr>
              <w:t>(A)</w:t>
            </w: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25,663</w:t>
            </w:r>
          </w:p>
        </w:tc>
        <w:tc>
          <w:tcPr>
            <w:tcW w:w="140" w:type="dxa"/>
            <w:vAlign w:val="bottom"/>
          </w:tcPr>
          <w:p>
            <w:pPr>
              <w:spacing w:after="0"/>
              <w:rPr>
                <w:sz w:val="13"/>
                <w:szCs w:val="13"/>
                <w:color w:val="auto"/>
              </w:rPr>
            </w:pPr>
          </w:p>
        </w:tc>
        <w:tc>
          <w:tcPr>
            <w:tcW w:w="420" w:type="dxa"/>
            <w:vAlign w:val="bottom"/>
          </w:tcPr>
          <w:p>
            <w:pPr>
              <w:jc w:val="center"/>
              <w:spacing w:after="0" w:line="155" w:lineRule="exact"/>
              <w:rPr>
                <w:sz w:val="20"/>
                <w:szCs w:val="20"/>
                <w:color w:val="auto"/>
              </w:rPr>
            </w:pPr>
            <w:r>
              <w:rPr>
                <w:rFonts w:ascii="Arial" w:cs="Arial" w:eastAsia="Arial" w:hAnsi="Arial"/>
                <w:sz w:val="14"/>
                <w:szCs w:val="14"/>
                <w:color w:val="auto"/>
              </w:rPr>
              <w:t>(A)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left="4420" w:right="739" w:hanging="4370"/>
        <w:spacing w:after="0" w:line="77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The following table summarizes our financial results for the three and six months ended June 30, 2023 and 2022 (in thousands, except percentages and per share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3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9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8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$ 504,843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$ 470,204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$ 996,562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$ 769,339</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382,603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364,236</w:t>
            </w:r>
          </w:p>
        </w:tc>
        <w:tc>
          <w:tcPr>
            <w:tcW w:w="16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5.0 %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768,672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655,497</w:t>
            </w:r>
          </w:p>
        </w:tc>
        <w:tc>
          <w:tcPr>
            <w:tcW w:w="1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15.4 %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227,890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6"/>
              </w:rPr>
              <w:t>100.2 %</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70,143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50,924</w:t>
            </w:r>
          </w:p>
        </w:tc>
        <w:tc>
          <w:tcPr>
            <w:tcW w:w="16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37.7 %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131,137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26,127</w:t>
            </w:r>
          </w:p>
        </w:tc>
        <w:tc>
          <w:tcPr>
            <w:tcW w:w="14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w w:val="96"/>
              </w:rPr>
              <w:t>401.9 %</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available to common</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50,284</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32.3 %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25,663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6"/>
              </w:rPr>
              <w:t>398.2 %</w:t>
            </w: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line="201" w:lineRule="exact"/>
              <w:rPr>
                <w:sz w:val="20"/>
                <w:szCs w:val="20"/>
                <w:color w:val="auto"/>
              </w:rPr>
            </w:pPr>
            <w:r>
              <w:rPr>
                <w:rFonts w:ascii="Arial" w:cs="Arial" w:eastAsia="Arial" w:hAnsi="Arial"/>
                <w:sz w:val="18"/>
                <w:szCs w:val="18"/>
                <w:color w:val="auto"/>
              </w:rPr>
              <w:t>Net income available to common</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stockholders per share - diluted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26.4 %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w w:val="96"/>
              </w:rPr>
              <w:t>371.7 %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85"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The increase in our total revenues for the three months ended June 30, 2023, as compared to the same period in 2022, is attributable to increases in our Hospitality segment and Entertainment segment of $15.9 million and $18.8 million, respectively, as presented in the tables below. The increase in our total revenues for the six months ended June 30, 2023, as compared to the same period in 2022, is attributable to increases in our Hospitality segment and Entertainment segment of $179.2 million and $48.0 million, respectively, as presented in the tables below.</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98"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increase in our total operating expenses for the three months ended June 30, 2023, as compared to the same period in 2022, is primarily the result of increases in our Hospitality segment and Entertainment segment of $18.1 million and $11.4 million, respectively, partially offset by a decrease in depreciation expense of $8.5 million, as presented in the tables below. The increase in our total operating expenses for the six months ended June 30, 2023, as compared to the same period in 2022, is primarily the result of increases in our Hospitality segment and Entertainment segment of $100.4 million and $31.1 million, respectively, partially offset by a decrease in depreciation expense of $16.1 million, as presented in the tables below.</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Our net income of $70.1 million for the three months ended June 30, 2023, as compared to net income of $50.9 million for the same period in 2022, was primarily due to the changes in our revenues and operating expenses reflected above, and the following factors, each as described more fully below:</w:t>
      </w:r>
    </w:p>
    <w:p>
      <w:pPr>
        <w:spacing w:after="0" w:line="157"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$15.2 million increase in interest expense in the 2023 period, as compared to the 2022 period.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$14.1 million decrease in the provision for income taxes in the 2023 period, as compared to the 2022 period.</w:t>
      </w:r>
    </w:p>
    <w:p>
      <w:pPr>
        <w:spacing w:after="0" w:line="208"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Our net income of $131.1 million for the six months ended June 30, 2023, as compared to net income of $26.1 million for the same period in 2022, was primarily due to the changes in our revenues and operating expenses reflected above, and the following factors, each as described more fully below:</w:t>
      </w:r>
    </w:p>
    <w:p>
      <w:pPr>
        <w:spacing w:after="0" w:line="157"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$25.8 million increase in interest expense in the 2023 period, as compared to the 2022 period.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$12.4 million decrease in the provision for income taxes in the 2023 period, as compared to the 2022 period.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Factors and Trends Contributing to Performance and Current Environment</w:t>
      </w:r>
    </w:p>
    <w:p>
      <w:pPr>
        <w:spacing w:after="0" w:line="198"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Important factors and trends contributing to our performance during the three months ended June 30, 2023, compared to the three months ended June 30, 2022, were:</w:t>
      </w:r>
    </w:p>
    <w:p>
      <w:pPr>
        <w:spacing w:after="0" w:line="130"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Hotel ADR of $244.77 in the 2023 period, an increase of 4.4% over the 2022 period.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group rooms traveled in the 2023 period of 3.6% over the 2022 period.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in cancelled room nights at our hotels of 20.6% in the 2023 period, as compared to the 2022 period.</w:t>
      </w:r>
    </w:p>
    <w:p>
      <w:pPr>
        <w:spacing w:after="0" w:line="207" w:lineRule="exact"/>
        <w:rPr>
          <w:rFonts w:ascii="Arial" w:cs="Arial" w:eastAsia="Arial" w:hAnsi="Arial"/>
          <w:sz w:val="16"/>
          <w:szCs w:val="16"/>
          <w:color w:val="auto"/>
        </w:rPr>
      </w:pPr>
    </w:p>
    <w:p>
      <w:pPr>
        <w:ind w:left="720" w:right="359" w:hanging="319"/>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Entertainment revenue of 27.4% in the 2023 period, as compared to the 2022 period, primarily attributable to the addition of Block 21, as well as a revenue increase at the Grand Ole Opry as a result of increased attendance. Excluding the addition of Block 21, Entertainment revenue increased 10.7% in the 2023 period, as compared to the 2022 period.</w:t>
      </w:r>
    </w:p>
    <w:p>
      <w:pPr>
        <w:spacing w:after="0" w:line="146"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Important factors and trends contributing to our performance during the six months ended June 30, 2023, compared to the six months ended June 30, 2022, which was partially impacted by the Omicron variant of COVID-19, were:</w:t>
      </w:r>
    </w:p>
    <w:p>
      <w:pPr>
        <w:spacing w:after="0" w:line="119" w:lineRule="exact"/>
        <w:rPr>
          <w:sz w:val="20"/>
          <w:szCs w:val="20"/>
          <w:color w:val="auto"/>
        </w:rPr>
      </w:pPr>
    </w:p>
    <w:p>
      <w:pPr>
        <w:ind w:left="720" w:right="21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Hotel occupancy of 72.5% and ADR of $241.38 in the 2023 period, an increase of 12.4 points of occupancy and 3.9%, respectively, over the 2022 period.</w:t>
      </w:r>
    </w:p>
    <w:p>
      <w:pPr>
        <w:spacing w:after="0" w:line="129"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28.2% in outside-the-room spend at our hotels in the 2023 period, as compared to the 2022 period, with group catering revenue particularly strong.</w:t>
      </w:r>
    </w:p>
    <w:p>
      <w:pPr>
        <w:spacing w:after="0" w:line="129" w:lineRule="exact"/>
        <w:rPr>
          <w:rFonts w:ascii="Arial" w:cs="Arial" w:eastAsia="Arial" w:hAnsi="Arial"/>
          <w:sz w:val="18"/>
          <w:szCs w:val="18"/>
          <w:color w:val="auto"/>
        </w:rPr>
      </w:pPr>
    </w:p>
    <w:p>
      <w:pPr>
        <w:ind w:left="720" w:right="299" w:hanging="319"/>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decrease in cancelled room nights at our hotels of 53.6% in the 2023 period, as compared to the 2022 period, and a decrease in group attrition at our hotels from 23.9% in the 2022 period to 15.9% in the 2023 period.</w:t>
      </w:r>
    </w:p>
    <w:p>
      <w:pPr>
        <w:spacing w:after="0" w:line="96" w:lineRule="exact"/>
        <w:rPr>
          <w:rFonts w:ascii="Arial" w:cs="Arial" w:eastAsia="Arial" w:hAnsi="Arial"/>
          <w:sz w:val="16"/>
          <w:szCs w:val="16"/>
          <w:color w:val="auto"/>
        </w:rPr>
      </w:pPr>
    </w:p>
    <w:p>
      <w:pPr>
        <w:ind w:left="720" w:right="319" w:hanging="319"/>
        <w:spacing w:after="0" w:line="27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Entertainment revenue of 45.1% in the 2023 period, as compared to the 2022 period, primarily attributable to the addition of Block 21, as well as revenue increases throughout our other OEG businesses as a result of increased attendance or volume, as applicable. Excluding the addition of Block 21, Entertainment revenue increased 19.3% in the 2023 period, as compared to the 2022 period.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Important factors and trends for the three and six months ended, and as of, June 30, 2023 include:</w:t>
      </w:r>
    </w:p>
    <w:p>
      <w:pPr>
        <w:spacing w:after="0" w:line="185" w:lineRule="exact"/>
        <w:rPr>
          <w:sz w:val="20"/>
          <w:szCs w:val="20"/>
          <w:color w:val="auto"/>
        </w:rPr>
      </w:pPr>
    </w:p>
    <w:p>
      <w:pPr>
        <w:ind w:left="720" w:right="379" w:hanging="319"/>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Group room nights on the books for all future years at our hotels at June 30, 2023 are in line with those on the books at the same point in 2022. In addition, the ADR on those group nights on the books at June 30, 2023 is 5.2% higher than the same point in 2022.</w:t>
      </w:r>
    </w:p>
    <w:p>
      <w:pPr>
        <w:spacing w:after="0" w:line="156" w:lineRule="exact"/>
        <w:rPr>
          <w:rFonts w:ascii="Arial" w:cs="Arial" w:eastAsia="Arial" w:hAnsi="Arial"/>
          <w:sz w:val="18"/>
          <w:szCs w:val="18"/>
          <w:color w:val="auto"/>
        </w:rPr>
      </w:pPr>
    </w:p>
    <w:p>
      <w:pPr>
        <w:ind w:left="720" w:right="399" w:hanging="319"/>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attrition and cancellation fee collections in the 2023 periods of $5.1 million and $15.0 million, respectively, as compared to the prior year periods, as cancellations and the related fee collections continue to decline. As these collections have no direct associated expenses, this decrease has had a negative impact on operating income as a percentage of revenue, or margin.</w:t>
      </w:r>
    </w:p>
    <w:p>
      <w:pPr>
        <w:spacing w:after="0" w:line="146" w:lineRule="exact"/>
        <w:rPr>
          <w:rFonts w:ascii="Arial" w:cs="Arial" w:eastAsia="Arial" w:hAnsi="Arial"/>
          <w:sz w:val="18"/>
          <w:szCs w:val="18"/>
          <w:color w:val="auto"/>
        </w:rPr>
      </w:pPr>
    </w:p>
    <w:p>
      <w:pPr>
        <w:ind w:left="720" w:right="239" w:hanging="319"/>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improved performance noted above has mitigated increasing costs in the current inflationary environment, which include increased wages and interest rates, which drove higher interest expense on our higher debt levels.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Hospitality segment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and 2022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0"/>
                <w:szCs w:val="10"/>
                <w:color w:val="auto"/>
              </w:rPr>
            </w:pPr>
          </w:p>
        </w:tc>
        <w:tc>
          <w:tcPr>
            <w:tcW w:w="48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0"/>
                <w:szCs w:val="10"/>
                <w:color w:val="auto"/>
              </w:rPr>
            </w:pPr>
          </w:p>
        </w:tc>
        <w:tc>
          <w:tcPr>
            <w:tcW w:w="48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3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Revenues:</w:t>
            </w:r>
          </w:p>
        </w:tc>
        <w:tc>
          <w:tcPr>
            <w:tcW w:w="6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Rooms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168,492</w:t>
            </w: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161,506</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4.3 %</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329,743</w:t>
            </w: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263,099</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Food and beverage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197,908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188,083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413,712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300,199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37.8 %</w:t>
            </w:r>
          </w:p>
        </w:tc>
        <w:tc>
          <w:tcPr>
            <w:tcW w:w="0" w:type="dxa"/>
            <w:vAlign w:val="bottom"/>
          </w:tcPr>
          <w:p>
            <w:pPr>
              <w:spacing w:after="0"/>
              <w:rPr>
                <w:sz w:val="1"/>
                <w:szCs w:val="1"/>
                <w:color w:val="auto"/>
              </w:rPr>
            </w:pPr>
          </w:p>
        </w:tc>
      </w:tr>
      <w:tr>
        <w:trPr>
          <w:trHeight w:val="148"/>
        </w:trPr>
        <w:tc>
          <w:tcPr>
            <w:tcW w:w="3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hotel revenue</w:t>
            </w: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51,285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52,213</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98,669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99,615</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33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417,685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401,802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842,124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662,913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27.0 %</w:t>
            </w:r>
          </w:p>
        </w:tc>
        <w:tc>
          <w:tcPr>
            <w:tcW w:w="0" w:type="dxa"/>
            <w:vAlign w:val="bottom"/>
          </w:tcPr>
          <w:p>
            <w:pPr>
              <w:spacing w:after="0"/>
              <w:rPr>
                <w:sz w:val="1"/>
                <w:szCs w:val="1"/>
                <w:color w:val="auto"/>
              </w:rPr>
            </w:pPr>
          </w:p>
        </w:tc>
      </w:tr>
      <w:tr>
        <w:trPr>
          <w:trHeight w:val="148"/>
        </w:trPr>
        <w:tc>
          <w:tcPr>
            <w:tcW w:w="3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Hospitality operating expenses: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Rooms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40,272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41,238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82,331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71,374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162"/>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Food and beverage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107,026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97,489</w:t>
            </w:r>
          </w:p>
        </w:tc>
        <w:tc>
          <w:tcPr>
            <w:tcW w:w="2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222,207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168,818</w:t>
            </w:r>
          </w:p>
        </w:tc>
        <w:tc>
          <w:tcPr>
            <w:tcW w:w="2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31.6 %</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hotel expenses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104,590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99,284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5.3 %</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207,649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185,927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48"/>
        </w:trPr>
        <w:tc>
          <w:tcPr>
            <w:tcW w:w="3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Management fees, net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15,418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11,202</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37.6 %</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30,613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16,266</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88.2 %</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42,646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52,016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85,521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104,287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309,952</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301,229</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gridSpan w:val="2"/>
          </w:tcPr>
          <w:p>
            <w:pPr>
              <w:jc w:val="right"/>
              <w:ind w:right="220"/>
              <w:spacing w:after="0" w:line="142" w:lineRule="exact"/>
              <w:rPr>
                <w:sz w:val="20"/>
                <w:szCs w:val="20"/>
                <w:color w:val="auto"/>
              </w:rPr>
            </w:pPr>
            <w:r>
              <w:rPr>
                <w:rFonts w:ascii="Arial" w:cs="Arial" w:eastAsia="Arial" w:hAnsi="Arial"/>
                <w:sz w:val="14"/>
                <w:szCs w:val="14"/>
                <w:color w:val="auto"/>
              </w:rPr>
              <w:t>2.9 %</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628,321</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546,672</w:t>
            </w: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gridSpan w:val="2"/>
          </w:tcPr>
          <w:p>
            <w:pPr>
              <w:jc w:val="right"/>
              <w:ind w:right="200"/>
              <w:spacing w:after="0" w:line="142" w:lineRule="exact"/>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Hospitality operating income</w:t>
            </w: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107,733</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100,573</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7.1 %</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213,803</w:t>
            </w:r>
          </w:p>
        </w:tc>
        <w:tc>
          <w:tcPr>
            <w:tcW w:w="1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116,241</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83.9 %</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color w:val="auto"/>
              </w:rPr>
              <w:t>Hospitality performance metrics:</w:t>
            </w: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Occupancy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72.7 %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72.7 %</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 pts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72.5 %</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60.1 %</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12.4 pts</w:t>
            </w:r>
          </w:p>
        </w:tc>
        <w:tc>
          <w:tcPr>
            <w:tcW w:w="0" w:type="dxa"/>
            <w:vAlign w:val="bottom"/>
          </w:tcPr>
          <w:p>
            <w:pPr>
              <w:spacing w:after="0"/>
              <w:rPr>
                <w:sz w:val="1"/>
                <w:szCs w:val="1"/>
                <w:color w:val="auto"/>
              </w:rPr>
            </w:pPr>
          </w:p>
        </w:tc>
      </w:tr>
      <w:tr>
        <w:trPr>
          <w:trHeight w:val="148"/>
        </w:trPr>
        <w:tc>
          <w:tcPr>
            <w:tcW w:w="3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ADR</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244.77</w:t>
            </w: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234.50</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4.4 %</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241.38</w:t>
            </w: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232.41</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RevPAR (1)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177.83</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174.97</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49"/>
        </w:trPr>
        <w:tc>
          <w:tcPr>
            <w:tcW w:w="3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 RevPAR (2)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440.12</w:t>
            </w: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424.07</w:t>
            </w:r>
          </w:p>
        </w:tc>
        <w:tc>
          <w:tcPr>
            <w:tcW w:w="2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3.8 %</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446.49</w:t>
            </w:r>
          </w:p>
        </w:tc>
        <w:tc>
          <w:tcPr>
            <w:tcW w:w="1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351.76</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Net Definite Group Room Nights Booked (3)</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450,269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413,042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9.0 %</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700,587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578,710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1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129" w:lineRule="exact"/>
        <w:rPr>
          <w:rFonts w:ascii="Arial" w:cs="Arial" w:eastAsia="Arial" w:hAnsi="Arial"/>
          <w:sz w:val="18"/>
          <w:szCs w:val="18"/>
          <w:color w:val="auto"/>
        </w:rPr>
      </w:pPr>
    </w:p>
    <w:p>
      <w:pPr>
        <w:ind w:left="380" w:right="21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56" w:lineRule="exact"/>
        <w:rPr>
          <w:rFonts w:ascii="Arial" w:cs="Arial" w:eastAsia="Arial" w:hAnsi="Arial"/>
          <w:sz w:val="18"/>
          <w:szCs w:val="18"/>
          <w:color w:val="auto"/>
        </w:rPr>
      </w:pPr>
    </w:p>
    <w:p>
      <w:pPr>
        <w:ind w:left="380" w:right="399" w:hanging="330"/>
        <w:spacing w:after="0" w:line="286"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definite group room nights booked includes approximately 57,000 and 72,000 group room cancellations in the three months ended June 30, 2023 and 2022, respectively, and approximately 116,000 and 250,000 group room cancellations in the six months ended June 30, 2023 and 2022, respectively.</w:t>
      </w:r>
    </w:p>
    <w:p>
      <w:pPr>
        <w:spacing w:after="0" w:line="1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increase in total Hospitality segment revenue in the three months ended June 30, 2023, as compared to the same period in 2022, is primarily due to increases of $5.5 million, $5.0 million, $4.8 million and $3.8 million at Gaylord Palms, Gaylord Opryland, Gaylord National and Gaylord Texan, respectively, partially offset by a decrease of $3.6 million at Gaylord Rockies, as presented in the tables below.</w:t>
      </w:r>
    </w:p>
    <w:p>
      <w:pPr>
        <w:spacing w:after="0" w:line="14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increase in total Hospitality segment revenue in the six months ended June 30, 2023, as compared to the same period in 2022, is primarily due to increases of $45.0 million, $43.3 million, $33.6 million, $30.2 million and $25.6 million at Gaylord National, Gaylord Opryland, Gaylord Texan, Gaylord Palms and Gaylord Rockies, respectively, as presented in the tables below.</w:t>
      </w:r>
    </w:p>
    <w:p>
      <w:pPr>
        <w:spacing w:after="0" w:line="160"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Total Hospitality segment revenues in the three and six months ended June 30, 2023 include $10.3 million and $20.0 million, respectively, in attrition and cancellation fee revenue, a decrease of $5.1 million and $15.0 million, respectively, in attrition and cancellation fees from the 2022 periods, as cancellations and the related fee collections continue to decline.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3780" w:type="dxa"/>
            <w:vAlign w:val="bottom"/>
          </w:tcPr>
          <w:p>
            <w:pPr>
              <w:spacing w:after="0"/>
              <w:rPr>
                <w:sz w:val="14"/>
                <w:szCs w:val="14"/>
                <w:color w:val="auto"/>
              </w:rPr>
            </w:pPr>
          </w:p>
        </w:tc>
        <w:tc>
          <w:tcPr>
            <w:tcW w:w="96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7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2022</w:t>
            </w:r>
          </w:p>
        </w:tc>
        <w:tc>
          <w:tcPr>
            <w:tcW w:w="4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74 %</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78 %</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71 %</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26 %</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r>
    </w:tbl>
    <w:p>
      <w:pPr>
        <w:spacing w:after="0" w:line="187"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Rooms expenses decreased slightly in the three months ended June 30, 2023, as compared to the same period in 2022. The increase in rooms expenses in the six months ended June 30, 2023, as compared to the same period in 2022, is primarily due to increases of $4.0 million, $2.4 million and $1.9 million at Gaylord National, Gaylord Palms and Gaylord Rockies, respectively, as presented in the tables below.</w:t>
      </w:r>
    </w:p>
    <w:p>
      <w:pPr>
        <w:spacing w:after="0" w:line="14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increase in food and beverage expenses in the three months ended June 30, 2023, as compared to the same period in 2022, is primarily due to increases of $3.0 million, $2.5 million and $1.8 million, at Gaylord National, Gaylord Palms and Gaylord Opryland, respectively, as presented in the tables below.</w:t>
      </w:r>
    </w:p>
    <w:p>
      <w:pPr>
        <w:spacing w:after="0" w:line="157"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increase in food and beverage expenses in the six months ended June 30, 2023, as compared to the same period in 2022, is primarily due to increases of $13.1 million, $10.9 million, $10.7 million, $9.6 million and $8.9 million at Gaylord National, Gaylord Opryland, Gaylord Texan, Gaylord Palms and Gaylord Rockies, respectively, as presented in the tables below.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hotel expenses for the three and six months ended June 30, 2023 and 2022 consist of the following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left="295"/>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left="275"/>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employment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$ 37,604</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9,690</w:t>
            </w:r>
          </w:p>
        </w:tc>
        <w:tc>
          <w:tcPr>
            <w:tcW w:w="140" w:type="dxa"/>
            <w:vAlign w:val="bottom"/>
          </w:tcPr>
          <w:p>
            <w:pPr>
              <w:spacing w:after="0"/>
              <w:rPr>
                <w:sz w:val="18"/>
                <w:szCs w:val="18"/>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17,237</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42,441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78,854</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104,590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$ 99,284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207,649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185,927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and six months ended June 30, 2023, as compared to the same periods in 2022, primarily due to increases at Gaylord Opryland and Gaylord National associated with increased business levels. Utility costs decreased during the three months ended June 30, 2023, as compared to the same period in 2022, primarily due to a decrease at Gaylord Rockies associated with decreased usage. Utility costs increased during the six months ended June 30, 2023, as compared to the same period in 2022, primarily due to an increase at Gaylord Opryland associated with increased usage. Property taxes decreased during the three and six months ended June 30, 2023, as compared to the 2022 periods, primarily due to a decrease at Gaylord National due to a settlement of an appeal from prior tax years. Other expenses, which include supplies, advertising, maintenance costs and consulting costs, increased during the three and six months ended June 30, 2023, as compared to the same periods in 2022, primarily as a result of various increases at each of our Gaylord Hotels properties.</w:t>
      </w:r>
    </w:p>
    <w:p>
      <w:pPr>
        <w:spacing w:after="0" w:line="138"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In the three months ended June 30, 2023 and 2022, we incurred $9.2 million and $9.0 million, respectively, and in the six months ended June 30, 2023 and 2022, we incurred $18.4 million and $14.6 million, respectively, related to base management fees for our Hospitality segment.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In the three months ended June 30, 2023 and 2022, we incurred $7.0 million and $3.0 million, respectively, and in the six months ended June 30, 2023 and 2022, we incurred $13.8 million and $3.2 million, respectively, related to incentive management fees for our Hospitality segment. Management fees are presented throughout this Quarterly Report on Form 10-Q net of the amortization of the deferred management rights proceeds discussed in Note 10, “Deferred Management Rights Proceeds,” to the accompanying condensed consolidated financial statements included herein.</w:t>
      </w:r>
    </w:p>
    <w:p>
      <w:pPr>
        <w:spacing w:after="0" w:line="134" w:lineRule="exact"/>
        <w:rPr>
          <w:sz w:val="20"/>
          <w:szCs w:val="20"/>
          <w:color w:val="auto"/>
        </w:rPr>
      </w:pPr>
    </w:p>
    <w:p>
      <w:pPr>
        <w:ind w:left="60" w:right="439"/>
        <w:spacing w:after="0" w:line="259" w:lineRule="auto"/>
        <w:rPr>
          <w:sz w:val="20"/>
          <w:szCs w:val="20"/>
          <w:color w:val="auto"/>
        </w:rPr>
      </w:pPr>
      <w:r>
        <w:rPr>
          <w:rFonts w:ascii="Arial" w:cs="Arial" w:eastAsia="Arial" w:hAnsi="Arial"/>
          <w:sz w:val="18"/>
          <w:szCs w:val="18"/>
          <w:color w:val="auto"/>
        </w:rPr>
        <w:t>Total Hospitality segment depreciation and amortization expense decreased in the three and six months ended June 30, 2023, as compared to the same periods in 2022, primarily as a result of the intangible asset associated with advanced bookings at Gaylord Rockies when we purchased an additional interest in Gaylord Rockies in 2018 becoming fully amortized during 2022.</w:t>
      </w:r>
    </w:p>
    <w:p>
      <w:pPr>
        <w:spacing w:after="0" w:line="14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2023 and 2022.</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and six months ended June 30, 2023 and 2022 are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0"/>
                <w:szCs w:val="10"/>
                <w:color w:val="auto"/>
              </w:rPr>
            </w:pPr>
          </w:p>
        </w:tc>
        <w:tc>
          <w:tcPr>
            <w:tcW w:w="50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6"/>
                <w:szCs w:val="16"/>
                <w:color w:val="auto"/>
              </w:rPr>
              <w:t>Rooms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47,142</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46,125</w:t>
            </w:r>
          </w:p>
        </w:tc>
        <w:tc>
          <w:tcPr>
            <w:tcW w:w="20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92,473</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76,531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42,469</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6.4 %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95,303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69,508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37.1 %</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6"/>
                <w:szCs w:val="16"/>
                <w:color w:val="auto"/>
              </w:rPr>
              <w:t>Other hotel revenue</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16,903</w:t>
            </w:r>
          </w:p>
        </w:tc>
        <w:tc>
          <w:tcPr>
            <w:tcW w:w="20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32,977</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110,475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105,497</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222,281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179,016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11,461</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19,703</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1"/>
        </w:trPr>
        <w:tc>
          <w:tcPr>
            <w:tcW w:w="350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21,672</w:t>
            </w:r>
          </w:p>
        </w:tc>
        <w:tc>
          <w:tcPr>
            <w:tcW w:w="2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49,510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38,585</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28.3 %</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28,324</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5,435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3,612</w:t>
            </w:r>
          </w:p>
        </w:tc>
        <w:tc>
          <w:tcPr>
            <w:tcW w:w="20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50.5 %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10,753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4,982</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115.8 %</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6"/>
        </w:trPr>
        <w:tc>
          <w:tcPr>
            <w:tcW w:w="350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78,464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73,626</w:t>
            </w:r>
          </w:p>
        </w:tc>
        <w:tc>
          <w:tcPr>
            <w:tcW w:w="20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158,575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131,590</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71.2 %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75.1 %</w:t>
            </w: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(3.9)pts</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71.9 %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62.0 %</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9.9 pts</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252.01</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233.68</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246.07</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6"/>
                <w:szCs w:val="16"/>
                <w:color w:val="auto"/>
              </w:rPr>
              <w:t>RevPAR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179.38</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175.51</w:t>
            </w:r>
          </w:p>
        </w:tc>
        <w:tc>
          <w:tcPr>
            <w:tcW w:w="20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176.90</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146.41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420.36</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401.42</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and six months ended June 30, 2023 and 2022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5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0"/>
                <w:szCs w:val="10"/>
                <w:color w:val="auto"/>
              </w:rPr>
            </w:pPr>
          </w:p>
        </w:tc>
        <w:tc>
          <w:tcPr>
            <w:tcW w:w="52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Rooms</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$ 28,856</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$ 27,012</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6.8 %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60,520</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49,024</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32,046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Other hotel revenue</w:t>
            </w:r>
          </w:p>
        </w:tc>
        <w:tc>
          <w:tcPr>
            <w:tcW w:w="640" w:type="dxa"/>
            <w:vAlign w:val="bottom"/>
          </w:tcPr>
          <w:p>
            <w:pPr>
              <w:jc w:val="right"/>
              <w:spacing w:after="0"/>
              <w:rPr>
                <w:sz w:val="20"/>
                <w:szCs w:val="20"/>
                <w:color w:val="auto"/>
              </w:rPr>
            </w:pPr>
            <w:r>
              <w:rPr>
                <w:rFonts w:ascii="Arial" w:cs="Arial" w:eastAsia="Arial" w:hAnsi="Arial"/>
                <w:sz w:val="16"/>
                <w:szCs w:val="16"/>
                <w:color w:val="auto"/>
              </w:rPr>
              <w:t>8,121</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9,231</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17,221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19,671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73,829</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68,289</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8.1 %</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158,375</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128,137</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5,556</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10,047</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23.8 %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640" w:type="dxa"/>
            <w:vAlign w:val="bottom"/>
          </w:tcPr>
          <w:p>
            <w:pPr>
              <w:jc w:val="right"/>
              <w:spacing w:after="0"/>
              <w:rPr>
                <w:sz w:val="20"/>
                <w:szCs w:val="20"/>
                <w:color w:val="auto"/>
              </w:rPr>
            </w:pPr>
            <w:r>
              <w:rPr>
                <w:rFonts w:ascii="Arial" w:cs="Arial" w:eastAsia="Arial" w:hAnsi="Arial"/>
                <w:sz w:val="16"/>
                <w:szCs w:val="16"/>
                <w:color w:val="auto"/>
              </w:rPr>
              <w:t>19,299</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16,823</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14.7 %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40,487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30,862</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20,317</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39,135</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640" w:type="dxa"/>
            <w:vAlign w:val="bottom"/>
          </w:tcPr>
          <w:p>
            <w:pPr>
              <w:jc w:val="right"/>
              <w:spacing w:after="0"/>
              <w:rPr>
                <w:sz w:val="20"/>
                <w:szCs w:val="20"/>
                <w:color w:val="auto"/>
              </w:rPr>
            </w:pPr>
            <w:r>
              <w:rPr>
                <w:rFonts w:ascii="Arial" w:cs="Arial" w:eastAsia="Arial" w:hAnsi="Arial"/>
                <w:sz w:val="16"/>
                <w:szCs w:val="16"/>
                <w:color w:val="auto"/>
              </w:rPr>
              <w:t>2,892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1,809</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59.9 %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2,899</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106.6 %</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11,153</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11,118</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96"/>
        </w:trPr>
        <w:tc>
          <w:tcPr>
            <w:tcW w:w="36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6"/>
                <w:szCs w:val="16"/>
                <w:color w:val="auto"/>
              </w:rPr>
              <w:t>55,507</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50,071</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112,419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94,061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75.8 %</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74.6 %</w:t>
            </w:r>
          </w:p>
        </w:tc>
        <w:tc>
          <w:tcPr>
            <w:tcW w:w="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1.2 pts</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65.1 %</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12.5 pts</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$ 243.55</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$ 231.53</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250.74</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241.99</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RevPAR</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$ 184.58</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$ 172.78</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6.8 %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194.62</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157.65</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$ 472.24</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$ 436.80</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509.31</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412.07</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and six months ended June 30, 2023 and 2022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5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0"/>
                <w:szCs w:val="10"/>
                <w:color w:val="auto"/>
              </w:rPr>
            </w:pPr>
          </w:p>
        </w:tc>
        <w:tc>
          <w:tcPr>
            <w:tcW w:w="52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Rooms</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$ 29,133</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$ 28,350</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2.8 %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58,177</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49,258</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38,979</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10.2 %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41.7 %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Other hotel revenue</w:t>
            </w:r>
          </w:p>
        </w:tc>
        <w:tc>
          <w:tcPr>
            <w:tcW w:w="640" w:type="dxa"/>
            <w:vAlign w:val="bottom"/>
          </w:tcPr>
          <w:p>
            <w:pPr>
              <w:jc w:val="right"/>
              <w:spacing w:after="0"/>
              <w:rPr>
                <w:sz w:val="20"/>
                <w:szCs w:val="20"/>
                <w:color w:val="auto"/>
              </w:rPr>
            </w:pPr>
            <w:r>
              <w:rPr>
                <w:rFonts w:ascii="Arial" w:cs="Arial" w:eastAsia="Arial" w:hAnsi="Arial"/>
                <w:sz w:val="16"/>
                <w:szCs w:val="16"/>
                <w:color w:val="auto"/>
              </w:rPr>
              <w:t>9,380</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10,336</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19,914</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81,479</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77,665</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4.9 %</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167,877</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134,301</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6,345</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11,361</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640" w:type="dxa"/>
            <w:vAlign w:val="bottom"/>
          </w:tcPr>
          <w:p>
            <w:pPr>
              <w:jc w:val="right"/>
              <w:spacing w:after="0"/>
              <w:rPr>
                <w:sz w:val="20"/>
                <w:szCs w:val="20"/>
                <w:color w:val="auto"/>
              </w:rPr>
            </w:pPr>
            <w:r>
              <w:rPr>
                <w:rFonts w:ascii="Arial" w:cs="Arial" w:eastAsia="Arial" w:hAnsi="Arial"/>
                <w:sz w:val="16"/>
                <w:szCs w:val="16"/>
                <w:color w:val="auto"/>
              </w:rPr>
              <w:t>21,722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20,174</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46,272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35,605</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17,533</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33,160</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640" w:type="dxa"/>
            <w:vAlign w:val="bottom"/>
          </w:tcPr>
          <w:p>
            <w:pPr>
              <w:jc w:val="right"/>
              <w:spacing w:after="0"/>
              <w:rPr>
                <w:sz w:val="20"/>
                <w:szCs w:val="20"/>
                <w:color w:val="auto"/>
              </w:rPr>
            </w:pPr>
            <w:r>
              <w:rPr>
                <w:rFonts w:ascii="Arial" w:cs="Arial" w:eastAsia="Arial" w:hAnsi="Arial"/>
                <w:sz w:val="16"/>
                <w:szCs w:val="16"/>
                <w:color w:val="auto"/>
              </w:rPr>
              <w:t>3,572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2,081</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71.6 %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3,085</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124.3 %</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11,484</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12,440</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6"/>
        </w:trPr>
        <w:tc>
          <w:tcPr>
            <w:tcW w:w="36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6"/>
                <w:szCs w:val="16"/>
                <w:color w:val="auto"/>
              </w:rPr>
              <w:t>55,374</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51,931</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113,684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95,651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18.9 %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75.1 %</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74.3 %</w:t>
            </w:r>
          </w:p>
        </w:tc>
        <w:tc>
          <w:tcPr>
            <w:tcW w:w="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0.8 pts</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76.1 %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66.1 %</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10.0 pts</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$ 234.86</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$ 231.22</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RevPAR</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$ 176.49</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$ 171.74</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2.8 %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177.19</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150.02</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$ 493.59</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$ 470.48</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4.9 %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511.30</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409.04</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and six months ended June 30, 2023 and 2022 are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5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0"/>
                <w:szCs w:val="10"/>
                <w:color w:val="auto"/>
              </w:rPr>
            </w:pPr>
          </w:p>
        </w:tc>
        <w:tc>
          <w:tcPr>
            <w:tcW w:w="52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0"/>
                <w:szCs w:val="10"/>
                <w:color w:val="auto"/>
              </w:rPr>
            </w:pPr>
          </w:p>
        </w:tc>
        <w:tc>
          <w:tcPr>
            <w:tcW w:w="48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Rooms</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$ 30,996</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$ 29,317</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5.7 %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59,995</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43,281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38.6 %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36,316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47.4 %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Other hotel revenue</w:t>
            </w:r>
          </w:p>
        </w:tc>
        <w:tc>
          <w:tcPr>
            <w:tcW w:w="640" w:type="dxa"/>
            <w:vAlign w:val="bottom"/>
          </w:tcPr>
          <w:p>
            <w:pPr>
              <w:jc w:val="right"/>
              <w:spacing w:after="0"/>
              <w:rPr>
                <w:sz w:val="20"/>
                <w:szCs w:val="20"/>
                <w:color w:val="auto"/>
              </w:rPr>
            </w:pPr>
            <w:r>
              <w:rPr>
                <w:rFonts w:ascii="Arial" w:cs="Arial" w:eastAsia="Arial" w:hAnsi="Arial"/>
                <w:sz w:val="16"/>
                <w:szCs w:val="16"/>
                <w:color w:val="auto"/>
              </w:rPr>
              <w:t>7,676</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6,590</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16.5 %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10,660</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39.1 %</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77,014</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72,223</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6.6 %</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149,786</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104,810</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42.9 %</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10,132</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17,482</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640" w:type="dxa"/>
            <w:vAlign w:val="bottom"/>
          </w:tcPr>
          <w:p>
            <w:pPr>
              <w:jc w:val="right"/>
              <w:spacing w:after="0"/>
              <w:rPr>
                <w:sz w:val="20"/>
                <w:szCs w:val="20"/>
                <w:color w:val="auto"/>
              </w:rPr>
            </w:pPr>
            <w:r>
              <w:rPr>
                <w:rFonts w:ascii="Arial" w:cs="Arial" w:eastAsia="Arial" w:hAnsi="Arial"/>
                <w:sz w:val="16"/>
                <w:szCs w:val="16"/>
                <w:color w:val="auto"/>
              </w:rPr>
              <w:t>21,991</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18,955</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16.0 %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44,494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31,415</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41.6 %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20,590</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20,210</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35,673</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640" w:type="dxa"/>
            <w:vAlign w:val="bottom"/>
          </w:tcPr>
          <w:p>
            <w:pPr>
              <w:jc w:val="right"/>
              <w:spacing w:after="0"/>
              <w:rPr>
                <w:sz w:val="20"/>
                <w:szCs w:val="20"/>
                <w:color w:val="auto"/>
              </w:rPr>
            </w:pPr>
            <w:r>
              <w:rPr>
                <w:rFonts w:ascii="Arial" w:cs="Arial" w:eastAsia="Arial" w:hAnsi="Arial"/>
                <w:sz w:val="16"/>
                <w:szCs w:val="16"/>
                <w:color w:val="auto"/>
              </w:rPr>
              <w:t>1,338</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1,242</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1,692</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53.2 %</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8,860</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16,551</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16,999</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36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6"/>
                <w:szCs w:val="16"/>
                <w:color w:val="auto"/>
              </w:rPr>
              <w:t>62,088</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59,399</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126,805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103,261</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67.8 %</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64.2 %</w:t>
            </w:r>
          </w:p>
        </w:tc>
        <w:tc>
          <w:tcPr>
            <w:tcW w:w="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3.6 pts</w:t>
            </w:r>
          </w:p>
        </w:tc>
        <w:tc>
          <w:tcPr>
            <w:tcW w:w="1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49.9 %</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17.7 pts</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$ 251.80</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$ 251.45</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245.80</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240.22</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rPr>
                <w:sz w:val="20"/>
                <w:szCs w:val="20"/>
                <w:color w:val="auto"/>
              </w:rPr>
            </w:pPr>
            <w:r>
              <w:rPr>
                <w:rFonts w:ascii="Arial" w:cs="Arial" w:eastAsia="Arial" w:hAnsi="Arial"/>
                <w:sz w:val="16"/>
                <w:szCs w:val="16"/>
                <w:color w:val="auto"/>
              </w:rPr>
              <w:t>RevPAR</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$ 170.65</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$ 161.40</w:t>
            </w: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5.7 %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166.06</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119.80</w:t>
            </w:r>
          </w:p>
        </w:tc>
        <w:tc>
          <w:tcPr>
            <w:tcW w:w="2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38.6 %</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$ 424.00</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$ 397.62</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414.60</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290.11</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and six months ended June 30, 2023 and 2022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June 30, 2023</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80"/>
        </w:trPr>
        <w:tc>
          <w:tcPr>
            <w:tcW w:w="3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78"/>
        </w:trPr>
        <w:tc>
          <w:tcPr>
            <w:tcW w:w="3020" w:type="dxa"/>
            <w:vAlign w:val="bottom"/>
          </w:tcPr>
          <w:p>
            <w:pPr>
              <w:spacing w:after="0"/>
              <w:rPr>
                <w:sz w:val="15"/>
                <w:szCs w:val="15"/>
                <w:color w:val="auto"/>
              </w:rPr>
            </w:pPr>
          </w:p>
        </w:tc>
        <w:tc>
          <w:tcPr>
            <w:tcW w:w="156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6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Rooms</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$ 26,340</w:t>
            </w: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$ 24,648</w:t>
            </w: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6.9 %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48,355</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35,942</w:t>
            </w:r>
          </w:p>
        </w:tc>
        <w:tc>
          <w:tcPr>
            <w:tcW w:w="20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34.5 %</w:t>
            </w:r>
          </w:p>
        </w:tc>
      </w:tr>
      <w:tr>
        <w:trPr>
          <w:trHeight w:val="20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33,620</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37,207</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53,528</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28.9 %</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Other hotel revenue</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7,167</w:t>
            </w: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8,900</w:t>
            </w: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16,072</w:t>
            </w:r>
          </w:p>
        </w:tc>
        <w:tc>
          <w:tcPr>
            <w:tcW w:w="20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(14.1)%</w:t>
            </w:r>
          </w:p>
        </w:tc>
      </w:tr>
      <w:tr>
        <w:trPr>
          <w:trHeight w:val="196"/>
        </w:trPr>
        <w:tc>
          <w:tcPr>
            <w:tcW w:w="3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9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67,127</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70,755</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131,174</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105,542</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24.3 %</w:t>
            </w:r>
          </w:p>
        </w:tc>
      </w:tr>
      <w:tr>
        <w:trPr>
          <w:trHeight w:val="203"/>
        </w:trPr>
        <w:tc>
          <w:tcPr>
            <w:tcW w:w="30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6,053</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10,188</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18.3 %</w:t>
            </w:r>
          </w:p>
        </w:tc>
      </w:tr>
      <w:tr>
        <w:trPr>
          <w:trHeight w:val="202"/>
        </w:trPr>
        <w:tc>
          <w:tcPr>
            <w:tcW w:w="3020" w:type="dxa"/>
            <w:vAlign w:val="bottom"/>
          </w:tcPr>
          <w:p>
            <w:pPr>
              <w:ind w:left="120"/>
              <w:spacing w:after="0"/>
              <w:rPr>
                <w:sz w:val="20"/>
                <w:szCs w:val="20"/>
                <w:color w:val="auto"/>
              </w:rPr>
            </w:pPr>
            <w:r>
              <w:rPr>
                <w:rFonts w:ascii="Arial" w:cs="Arial" w:eastAsia="Arial" w:hAnsi="Arial"/>
                <w:sz w:val="16"/>
                <w:szCs w:val="16"/>
                <w:color w:val="auto"/>
              </w:rPr>
              <w:t>Food and beverage</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19,650</w:t>
            </w: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19,091</w:t>
            </w: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39,931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30,986</w:t>
            </w:r>
          </w:p>
        </w:tc>
        <w:tc>
          <w:tcPr>
            <w:tcW w:w="20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28.9 %</w:t>
            </w:r>
          </w:p>
        </w:tc>
      </w:tr>
      <w:tr>
        <w:trPr>
          <w:trHeight w:val="20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10,712</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22,515</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Management fees, net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1,897</w:t>
            </w: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2,102</w:t>
            </w: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3,896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3,124</w:t>
            </w:r>
          </w:p>
        </w:tc>
        <w:tc>
          <w:tcPr>
            <w:tcW w:w="20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24.7 %</w:t>
            </w:r>
          </w:p>
        </w:tc>
      </w:tr>
      <w:tr>
        <w:trPr>
          <w:trHeight w:val="20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14,124</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22,650</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45,298</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(37.8)%</w:t>
            </w:r>
          </w:p>
        </w:tc>
      </w:tr>
      <w:tr>
        <w:trPr>
          <w:trHeight w:val="196"/>
        </w:trPr>
        <w:tc>
          <w:tcPr>
            <w:tcW w:w="30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9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52,436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60,540</w:t>
            </w: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105,615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112,111</w:t>
            </w:r>
          </w:p>
        </w:tc>
        <w:tc>
          <w:tcPr>
            <w:tcW w:w="20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(5.8)%</w:t>
            </w: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Occupancy</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77.8 %</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76.6 %</w:t>
            </w:r>
          </w:p>
        </w:tc>
        <w:tc>
          <w:tcPr>
            <w:tcW w:w="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 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73.9 %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58.0 %</w:t>
            </w:r>
          </w:p>
        </w:tc>
        <w:tc>
          <w:tcPr>
            <w:tcW w:w="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15.9 pts</w:t>
            </w:r>
          </w:p>
        </w:tc>
      </w:tr>
      <w:tr>
        <w:trPr>
          <w:trHeight w:val="20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$ 247.92</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$ 235.69</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5.2 %</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228.22</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5.6 %</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RevPAR</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$ 192.84</w:t>
            </w: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$ 180.45</w:t>
            </w: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6.9 %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177.98</w:t>
            </w:r>
          </w:p>
        </w:tc>
        <w:tc>
          <w:tcPr>
            <w:tcW w:w="1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132.29</w:t>
            </w:r>
          </w:p>
        </w:tc>
        <w:tc>
          <w:tcPr>
            <w:tcW w:w="20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34.5 %</w:t>
            </w:r>
          </w:p>
        </w:tc>
      </w:tr>
      <w:tr>
        <w:trPr>
          <w:trHeight w:val="203"/>
        </w:trPr>
        <w:tc>
          <w:tcPr>
            <w:tcW w:w="3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$ 491.45</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$ 518.01</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388.48</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2023 and 2022 (in thousands, except percentages):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left="276"/>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620" w:type="dxa"/>
            <w:vAlign w:val="bottom"/>
            <w:gridSpan w:val="2"/>
          </w:tcPr>
          <w:p>
            <w:pPr>
              <w:jc w:val="center"/>
              <w:ind w:left="76"/>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$ 87,158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$ 68,402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27.4</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154,438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106,426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45.1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57,088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45,670</w:t>
            </w:r>
          </w:p>
        </w:tc>
        <w:tc>
          <w:tcPr>
            <w:tcW w:w="620" w:type="dxa"/>
            <w:vAlign w:val="bottom"/>
            <w:gridSpan w:val="2"/>
          </w:tcPr>
          <w:p>
            <w:pPr>
              <w:jc w:val="center"/>
              <w:ind w:left="96"/>
              <w:spacing w:after="0"/>
              <w:rPr>
                <w:sz w:val="20"/>
                <w:szCs w:val="20"/>
                <w:color w:val="auto"/>
              </w:rPr>
            </w:pPr>
            <w:r>
              <w:rPr>
                <w:rFonts w:ascii="Arial" w:cs="Arial" w:eastAsia="Arial" w:hAnsi="Arial"/>
                <w:sz w:val="18"/>
                <w:szCs w:val="18"/>
                <w:color w:val="auto"/>
                <w:w w:val="91"/>
              </w:rPr>
              <w:t>25.0</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108,522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77,401</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40.2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2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1"/>
              </w:rPr>
              <w:t>20.3</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Operating income (1)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$ 24,668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$ 18,240</w:t>
            </w:r>
          </w:p>
        </w:tc>
        <w:tc>
          <w:tcPr>
            <w:tcW w:w="620" w:type="dxa"/>
            <w:vAlign w:val="bottom"/>
            <w:gridSpan w:val="2"/>
          </w:tcPr>
          <w:p>
            <w:pPr>
              <w:jc w:val="center"/>
              <w:ind w:left="96"/>
              <w:spacing w:after="0"/>
              <w:rPr>
                <w:sz w:val="20"/>
                <w:szCs w:val="20"/>
                <w:color w:val="auto"/>
              </w:rPr>
            </w:pPr>
            <w:r>
              <w:rPr>
                <w:rFonts w:ascii="Arial" w:cs="Arial" w:eastAsia="Arial" w:hAnsi="Arial"/>
                <w:sz w:val="18"/>
                <w:szCs w:val="18"/>
                <w:color w:val="auto"/>
                <w:w w:val="91"/>
              </w:rPr>
              <w:t>35.2</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20,981</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68.0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79" w:hanging="330"/>
        <w:spacing w:after="0" w:line="26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Entertainment segment operating income does not include preopening costs of $0.1 million and $0.2 million in the three months ended June 30, 2023 and 2022, respectively, and $0.3 million and $0.5 million in the six months ended June 30, 2023 and 2022, respectively. See discussion of this item below.</w:t>
      </w:r>
    </w:p>
    <w:p>
      <w:pPr>
        <w:spacing w:after="0" w:line="143"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Revenues, operating expenses and depreciation and amortization increased in our Entertainment segment in the three and six months ended June 30, 2023, as compared to the prior year periods, primarily due to Block 21, which we acquired in May 2022. Entertainment segment revenues also increased in the 2023 periods, as compared to the 2022 periods, due to increased revenue at the Grand Ole Opry, primarily due to increased attendance. Entertainment segment operating expenses also increased in the 2023 period, as compared to the 2022 periods, primarily from the operation of Block 21, as well as increased variable expenses associated with higher business levels.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9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2023 and 2022 (in thousands, except percentages):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center"/>
              <w:ind w:left="277"/>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left="277"/>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48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8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(10,094)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(12,624)</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(20,905)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(22,386)</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5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segment operating expenses do not include a loss on sale of assets of $0.5 million in the six months ended June 30, 2022.</w:t>
      </w:r>
    </w:p>
    <w:p>
      <w:pPr>
        <w:spacing w:after="0" w:line="130"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decreased in the three and six months ended June 30, 2023, as compared to the prior year period, primarily as a result of a decrease in employment expenses.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98"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Preopening costs during the three and six months ended June 30, 2023 primarily include costs associated with Ole Red Las Vegas, which is expected to be completed in January 2024. Preopening costs during the three and six months ended June 30, 2022 primarily include costs associated with Ole Red Nashville International Airport, which was completed in May 2022.</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Loss on Sale of Assets</w:t>
      </w:r>
    </w:p>
    <w:p>
      <w:pPr>
        <w:spacing w:after="0" w:line="185"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Loss on sale of assets during the six months ended June 30, 2022 includes the sale of a parcel of land in Nashville, Tennessee.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9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three and six months ended June 30, 2023 and 2022 (in thousands, except percentages):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660" w:type="dxa"/>
            <w:vAlign w:val="bottom"/>
            <w:gridSpan w:val="6"/>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5"/>
          </w:tcPr>
          <w:p>
            <w:pPr>
              <w:jc w:val="center"/>
              <w:ind w:left="515"/>
              <w:spacing w:after="0"/>
              <w:rPr>
                <w:sz w:val="20"/>
                <w:szCs w:val="20"/>
                <w:color w:val="auto"/>
              </w:rPr>
            </w:pPr>
            <w:r>
              <w:rPr>
                <w:rFonts w:ascii="Arial" w:cs="Arial" w:eastAsia="Arial" w:hAnsi="Arial"/>
                <w:sz w:val="14"/>
                <w:szCs w:val="14"/>
                <w:b w:val="1"/>
                <w:bCs w:val="1"/>
                <w:color w:val="auto"/>
                <w:w w:val="93"/>
              </w:rPr>
              <w:t>Six Months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7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0"/>
                <w:szCs w:val="10"/>
                <w:color w:val="auto"/>
              </w:rPr>
            </w:pPr>
          </w:p>
        </w:tc>
        <w:tc>
          <w:tcPr>
            <w:tcW w:w="8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60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$ 49,179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33,958</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$ 91,707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65,895</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5,318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285.6 %</w:t>
            </w:r>
          </w:p>
        </w:tc>
        <w:tc>
          <w:tcPr>
            <w:tcW w:w="700" w:type="dxa"/>
            <w:vAlign w:val="bottom"/>
          </w:tcPr>
          <w:p>
            <w:pPr>
              <w:jc w:val="right"/>
              <w:spacing w:after="0"/>
              <w:rPr>
                <w:sz w:val="20"/>
                <w:szCs w:val="20"/>
                <w:color w:val="auto"/>
              </w:rPr>
            </w:pPr>
            <w:r>
              <w:rPr>
                <w:rFonts w:ascii="Arial" w:cs="Arial" w:eastAsia="Arial" w:hAnsi="Arial"/>
                <w:sz w:val="18"/>
                <w:szCs w:val="18"/>
                <w:color w:val="auto"/>
              </w:rPr>
              <w:t>7,865</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185.0 %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(1,547)</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Loss from unconsolidated joint ventures</w:t>
            </w:r>
          </w:p>
        </w:tc>
        <w:tc>
          <w:tcPr>
            <w:tcW w:w="700" w:type="dxa"/>
            <w:vAlign w:val="bottom"/>
          </w:tcPr>
          <w:p>
            <w:pPr>
              <w:jc w:val="right"/>
              <w:spacing w:after="0"/>
              <w:rPr>
                <w:sz w:val="20"/>
                <w:szCs w:val="20"/>
                <w:color w:val="auto"/>
              </w:rPr>
            </w:pPr>
            <w:r>
              <w:rPr>
                <w:rFonts w:ascii="Arial" w:cs="Arial" w:eastAsia="Arial" w:hAnsi="Arial"/>
                <w:sz w:val="18"/>
                <w:szCs w:val="18"/>
                <w:color w:val="auto"/>
              </w:rPr>
              <w:t>(2,153)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(3,001)</w:t>
            </w: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28.3 %</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and (losses),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(418.9)%</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(3,544)</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(17,634)</w:t>
            </w: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79.9 %</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(5,177)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(17,569)</w:t>
            </w:r>
          </w:p>
        </w:tc>
        <w:tc>
          <w:tcPr>
            <w:tcW w:w="12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70.5 %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Interest expense increased $15.2 million and $25.8 million during the three and six months ended June 30, 2023, as compared to the same periods in 2022, due primarily to higher interest rates and higher levels of indebtedness attributable to the new OEG Term Loan and the Block 21 CMBS loan, as well as the May 2023 refinancing and increase of the term loan B and the June 2023 issuance of the $400 Million 7.25% Senior Notes.</w:t>
      </w:r>
    </w:p>
    <w:p>
      <w:pPr>
        <w:spacing w:after="0" w:line="144"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Cash interest expense increased $14.8 million to $46.3 million in the three months and increased $24.6 million to $86.0 million in the six months ended June 30, 2023, as compared to the same periods in 2022. Non-cash interest expense, which includes amortization of deferred financing costs and debt discounts or premiums and is offset by capitalized interest, increased $0.5 million to $2.8 million in the three months and $1.2 million to $5.7 million in the six months ended June 30, 2023, as compared to the same periods in 2022.</w:t>
      </w:r>
    </w:p>
    <w:p>
      <w:pPr>
        <w:spacing w:after="0" w:line="147"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Our weighted average interest rate on our borrowings, excluding capitalized interest, but including the impact of interest rate swaps, was 6.3% and 4.5% for the three months ended June 30, 2023 and 2022, respectively, and 6.2% and 4.4% for the six months ended June 30, 2023,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Interest income for the three and six months ended June 30, 2023 and 2022 primarily includes amounts earned on the bonds that were received in connection with the development of Gaylord National, which we hold as notes receivable. See Note 8, “Notes Receivable,” to the accompanying condensed consolidated financial statements included herein for additional discussion of interest income on these bonds. In addition, the 2023 periods include interest earned on amounts held in escrow from the issuance of the $400 Million 7.25% Senior Notes as part of the JW Marriott Hill Country transaction.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185"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As a result of the May 2023 refinancing of our credit facility and the extension of the Gaylord Rockies $800 million term loan, we recognized a loss on extinguishment of debt of $2.3 million in the three and six months ended June 30, 2023.</w:t>
      </w:r>
    </w:p>
    <w:p>
      <w:pPr>
        <w:spacing w:after="0" w:line="9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result of the June 2022 repayment of our previous $300 million term loan A with the proceeds from a $300 million OEG term loan, we recognized a loss on extinguishment of debt of $1.5 million in the three and six months ended June 30, 2022.</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8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loss from unconsolidated joint ventures for the three and six months ended June 30, 2023 and 2022 represents our equity method share of losses associated with Circle.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9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Other gains and (losses), net for the three and six months ended June 30, 2023 and 2022 represents various miscellaneous items.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57"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For the three months ended June 30, 2023 and 2022, we recorded an income tax provision of $3.5 million and $17.6 million, respectively, and for the six months ended June 30, 2023 and 2022, we recorded an income tax provision of $5.2 million and $17.6 million, respectively, related to our TRSs. The decrease in the income tax provision for the 2023 periods, as compared to the 2022 periods, primarily relates to a decrease in income at our TRSs.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EBITDAre, Adjusted EBITDAre and Adjusted EBITDAre, Excluding Noncontrolling Interest in Consolidated Joint Venture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in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income on bonds;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We use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and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adjustments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when evaluating our performance because we believe that presenting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provides useful information to investors regarding our operating performance and debt leverage metrics.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6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To calculate Adjusted FFO available to common stockholders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FFO available to common stockholders and unit holders and Adjusted FFO available to common stockholders and unit holders exclude the ownership portion of the joint ventures not controlled or owned by the Company.</w:t>
      </w:r>
    </w:p>
    <w:p>
      <w:pPr>
        <w:spacing w:after="0" w:line="14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77"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We caution investors that amounts presented in accordance with our definitions of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following is a reconciliation of our consolidated GAAP net income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three and six months ended June 30, 2023 and 2022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70,143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50,924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$ 131,137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26,127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43,861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32,579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83,842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63,135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48,257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56,715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96,614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112,743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sale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165,813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157,733</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316,787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219,946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Arial" w:cs="Arial" w:eastAsia="Arial" w:hAnsi="Arial"/>
                <w:sz w:val="17"/>
                <w:szCs w:val="17"/>
                <w:color w:val="auto"/>
              </w:rPr>
              <w:t>Preopening costs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3,654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7,540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7,440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Pension settlement charge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Arial" w:cs="Arial" w:eastAsia="Arial" w:hAnsi="Arial"/>
                <w:sz w:val="17"/>
                <w:szCs w:val="17"/>
                <w:color w:val="auto"/>
              </w:rPr>
              <w:t>Interest income on Gaylord National bonds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1,339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2,541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extinguishment of debt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Transaction costs of acquisitions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167,625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236,619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980" w:type="dxa"/>
            <w:vAlign w:val="bottom"/>
          </w:tcPr>
          <w:p>
            <w:pPr>
              <w:ind w:left="120"/>
              <w:spacing w:after="0" w:line="185" w:lineRule="exact"/>
              <w:rPr>
                <w:sz w:val="20"/>
                <w:szCs w:val="20"/>
                <w:color w:val="auto"/>
              </w:rPr>
            </w:pPr>
            <w:r>
              <w:rPr>
                <w:rFonts w:ascii="Arial" w:cs="Arial" w:eastAsia="Arial" w:hAnsi="Arial"/>
                <w:sz w:val="17"/>
                <w:szCs w:val="17"/>
                <w:color w:val="auto"/>
                <w:w w:val="98"/>
              </w:rPr>
              <w:t>Adjusted EBITDA</w:t>
            </w:r>
            <w:r>
              <w:rPr>
                <w:rFonts w:ascii="Arial" w:cs="Arial" w:eastAsia="Arial" w:hAnsi="Arial"/>
                <w:sz w:val="17"/>
                <w:szCs w:val="17"/>
                <w:i w:val="1"/>
                <w:iCs w:val="1"/>
                <w:color w:val="auto"/>
                <w:w w:val="98"/>
              </w:rPr>
              <w:t>re</w:t>
            </w:r>
            <w:r>
              <w:rPr>
                <w:rFonts w:ascii="Arial" w:cs="Arial" w:eastAsia="Arial" w:hAnsi="Arial"/>
                <w:sz w:val="17"/>
                <w:szCs w:val="17"/>
                <w:color w:val="auto"/>
                <w:w w:val="98"/>
              </w:rPr>
              <w:t xml:space="preserve"> of noncontrolling interest in consolidated joint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(8,819)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(1,131)</w:t>
            </w:r>
          </w:p>
        </w:tc>
        <w:tc>
          <w:tcPr>
            <w:tcW w:w="14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(13,115)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(1,131)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80" w:type="dxa"/>
            <w:vAlign w:val="bottom"/>
          </w:tcPr>
          <w:p>
            <w:pPr>
              <w:ind w:left="120"/>
              <w:spacing w:after="0"/>
              <w:rPr>
                <w:sz w:val="20"/>
                <w:szCs w:val="20"/>
                <w:color w:val="auto"/>
              </w:rPr>
            </w:pPr>
            <w:r>
              <w:rPr>
                <w:rFonts w:ascii="Arial" w:cs="Arial" w:eastAsia="Arial" w:hAnsi="Arial"/>
                <w:sz w:val="17"/>
                <w:szCs w:val="17"/>
                <w:color w:val="auto"/>
              </w:rPr>
              <w:t>venture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98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5"/>
              </w:rPr>
              <w:t>Adjusted EBITDA</w:t>
            </w:r>
            <w:r>
              <w:rPr>
                <w:rFonts w:ascii="Arial" w:cs="Arial" w:eastAsia="Arial" w:hAnsi="Arial"/>
                <w:sz w:val="17"/>
                <w:szCs w:val="17"/>
                <w:i w:val="1"/>
                <w:iCs w:val="1"/>
                <w:color w:val="auto"/>
                <w:w w:val="95"/>
              </w:rPr>
              <w:t>re</w:t>
            </w:r>
            <w:r>
              <w:rPr>
                <w:rFonts w:ascii="Arial" w:cs="Arial" w:eastAsia="Arial" w:hAnsi="Arial"/>
                <w:sz w:val="17"/>
                <w:szCs w:val="17"/>
                <w:color w:val="auto"/>
                <w:w w:val="95"/>
              </w:rPr>
              <w:t>, excluding noncontrolling interest in consolidated</w:t>
            </w:r>
          </w:p>
        </w:tc>
        <w:tc>
          <w:tcPr>
            <w:tcW w:w="1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165,883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166,494</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$ 319,262</w:t>
            </w:r>
          </w:p>
        </w:tc>
        <w:tc>
          <w:tcPr>
            <w:tcW w:w="3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7"/>
              </w:rPr>
              <w:t>235,488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joint venture</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following is a reconciliation of our consolidated GAAP net income to FFO and Adjusted FFO for the three and six months ended June 30, 2023 and 2022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$ 131,137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0" w:type="dxa"/>
            <w:vAlign w:val="bottom"/>
          </w:tcPr>
          <w:p>
            <w:pPr>
              <w:jc w:val="right"/>
              <w:spacing w:after="0"/>
              <w:rPr>
                <w:sz w:val="20"/>
                <w:szCs w:val="20"/>
                <w:color w:val="auto"/>
              </w:rPr>
            </w:pPr>
            <w:r>
              <w:rPr>
                <w:rFonts w:ascii="Arial" w:cs="Arial" w:eastAsia="Arial" w:hAnsi="Arial"/>
                <w:sz w:val="18"/>
                <w:szCs w:val="18"/>
                <w:color w:val="auto"/>
              </w:rPr>
              <w:t>(2,371)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income available to common stockholders and unit holders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56,685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112,682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available to common stockholders and unit holders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107,119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138,341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Right-of-use asset 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Pension settlement charge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other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discounts and premiums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provision</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8"/>
                <w:szCs w:val="18"/>
                <w:color w:val="auto"/>
                <w:w w:val="92"/>
              </w:rPr>
              <w:t>Adjusted FFO available to common stockholders and unit holders</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114,875</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$ 235,985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149,689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43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Cash flow from operating activities is the principal source of cash used 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fund our operating expenses, interest payments on debt, maintenance capital expenditures, and dividends to stockholders.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2023, our net cash flows provided by operating activities were $215.5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primarily reflecting our net income before depreciation expense, amortization expense and other non-cash charges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$249.0 million, partially offset by unfavorable changes in working capital of $33.5 million. The unfavorable changes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working capital primarily resulted from a decrease in accounts payable and accrued liabilities primarily related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compensation and property tax accruals, partially offset by a decrease in accounts receivable due to the timing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collections, an increase in advanced ticket sales at our OEG venues, and an increase in advanced deposits at our Gaylord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Hotels properties.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2022, our net cash flows provided by operating activities were $127.6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primarily reflecting our net income before depreciation expense, amortization expense and other non-cash charges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$156.8 million, partially offset by unfavorable changes in working capital of $29.2 million. The unfavorable changes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working capital primarily resulted from an increase in accounts receivable due to an increase in group business at our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Gaylord Hotels properties, partially offset by an increase in accounts payable and accrued liabilities related to increased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advanced ticket purchases at our OEG venues and advanced deposits on future hotel room stays.</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During the six months ended June 30, 2023, our primary uses of funds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were the use of $791.5 million in net cash to purchase JW Marriott Hill Country and purchases of property and equipment, which totaled $78.2 million. Purchases of property and equipment consisted primarily of enhancements to the offerings at Block 21, the construction of Ole Red Las Vegas, enhancements at Gaylord Rockies to better position the property for our group customers, and ongoing maintenance capital expenditures for each of our existing properties.</w:t>
      </w:r>
    </w:p>
    <w:p>
      <w:pPr>
        <w:spacing w:after="0" w:line="16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During the six months ended June 30, 2022, our primary use of funds for investing activities were the use of $94.0 million in net cash to fund a portion of the purchase price of Block 21 and purchases of property and equipment, which totaled $24.7 million, and consisted primarily of a re-concepting of the food and beverage options at Gaylord National, the enhancements at Gaylord Rockies, the construction of Ole Red Nashville International Airport, and ongoing maintenance capital expenditures for each of our existing properties.</w:t>
      </w:r>
    </w:p>
    <w:p>
      <w:pPr>
        <w:spacing w:after="0" w:line="147"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i w:val="1"/>
          <w:iCs w:val="1"/>
          <w:color w:val="auto"/>
        </w:rPr>
        <w:t>Cash Flows Used In Financing Activities</w:t>
      </w:r>
      <w:r>
        <w:rPr>
          <w:rFonts w:ascii="Arial" w:cs="Arial" w:eastAsia="Arial" w:hAnsi="Arial"/>
          <w:sz w:val="16"/>
          <w:szCs w:val="16"/>
          <w:color w:val="auto"/>
        </w:rPr>
        <w:t>. Our cash flows from financing activities primarily reflect the incurrence of debt,</w:t>
      </w:r>
      <w:r>
        <w:rPr>
          <w:rFonts w:ascii="Arial" w:cs="Arial" w:eastAsia="Arial" w:hAnsi="Arial"/>
          <w:sz w:val="16"/>
          <w:szCs w:val="16"/>
          <w:i w:val="1"/>
          <w:iCs w:val="1"/>
          <w:color w:val="auto"/>
        </w:rPr>
        <w:t xml:space="preserve"> </w:t>
      </w:r>
      <w:r>
        <w:rPr>
          <w:rFonts w:ascii="Arial" w:cs="Arial" w:eastAsia="Arial" w:hAnsi="Arial"/>
          <w:sz w:val="16"/>
          <w:szCs w:val="16"/>
          <w:color w:val="auto"/>
        </w:rPr>
        <w:t>the repayment of long-term debt, and the payment of cash dividends. During the six months ended June 30, 2023, our net cash flows provided by financing activities were $839.6 million, primarily reflecting the issuance of the $400 Million</w:t>
      </w:r>
    </w:p>
    <w:p>
      <w:pPr>
        <w:spacing w:after="0" w:line="2"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7.25% Senior Notes, $395.4 million in net proceeds from the issuance of approximately 4.4 million shares of our common stock, the net borrowing of $123.8 million under our refinanced credit facility, the payment of $55.7 million in cash dividends, and the payment of $23.7 million in deferred financing costs.</w:t>
      </w:r>
    </w:p>
    <w:p>
      <w:pPr>
        <w:spacing w:after="0" w:line="14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During the six months ended June 30, 2022, our net cash flows provided by financing activities were $62.8 million, primarily reflecting the net proceeds for the OEG Transaction of $286.5 million and the issuance of the OEG term loan and the repayment of our then-existing term loan A, partially offset by the net repayment of $204.7 million under our various debt agreements and the payment of $14.8 million in deferred financing costs.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At June 30, 2023, we had $508.3 million in unrestricted cash and $743.4 million available for borrowing in the aggregate under our revolving credit facility and the OEG revolving credit facility. During the six months ended June 30, 2023, we issued $400 million in new senior notes, received $395.4 million from the issuance of approximately 4.4 million shares of our common stock, net borrowed $127.9 million under our various debt agreements, used $791.5 million in net cash to purchase JW Marriott Hill Country, incurred capital expenditures of $78.2 million and paid $55.7 million in cash dividends. These changes, as well as the cash flows provided by operations discussed above, were the primary factors in the increase in our cash balance from December 31, 2022 to June 30, 2023.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We anticipate investing in our operations during the remainder of 2023 by spending between approximately $145 million and $175 million in capital expenditures, which primarily includes enhancements at Gaylord Rockies to better position the property for our group customers, enhancements to the offerings at Block 21, the construction of Ole Red Las Vegas, and ongoing maintenance capital for each of our existing properties. In addition, we intend to contribute up to an additional $4.2 million in capital to the Circle joint venture for working capital needs. Further, our dividend policy provides that we will make minimum dividends of 100% of REIT taxable income annually. Future dividends are subject to our board of directors’ future determinations as to amount and timing. Following completion of the one-year extension of the Gaylord Rockies Loan (as defined and discussed below), we currently have no debt maturities until July 2024. We believe we will be able to refinance our debt agreements prior to their maturities, including extension options.</w:t>
      </w:r>
    </w:p>
    <w:p>
      <w:pPr>
        <w:spacing w:after="0" w:line="139"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52"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Our outstanding principal debt agreements are described below. At June 30, 2023, there were no defaults under the covenants related to our outstanding debt.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May 18, 2023, we entered into a Credit Agreement (the “Credit Agreement”) among the Company, as a</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w:t>
      </w:r>
    </w:p>
    <w:p>
      <w:pPr>
        <w:spacing w:after="0" w:line="131"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Credit Agreement provides for a $700.0 million revolving credit facility (the “Revolver”) and a $500.0 million senior secured term loan B (the “Term Loan B”), as well as an accordion feature that will allow us to increase the facilities following the closing date by an aggregate total of up to $475 million, which may be allocated between the Revolver and the Term Loan B at our option.</w:t>
      </w:r>
    </w:p>
    <w:p>
      <w:pPr>
        <w:spacing w:after="0" w:line="14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Each of the Revolver and the Term Loan B is guaranteed by us, each of our subsidiaries that own the Gaylord Hotels properties, other than Gaylord Rockies,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Gaylord Rockies and OEG are not subject to the liens of the Credit Agreement.</w:t>
      </w:r>
    </w:p>
    <w:p>
      <w:pPr>
        <w:spacing w:after="0" w:line="16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1"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maintain a consolidated net leverage ratio of not greater than 6.50x.</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of not less than 1.50x.</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secured indebtedness must not exceed 30% of consolidated total asset value.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secured recourse indebtedness must not exceed 10% of consolidated total asset value.</w:t>
      </w:r>
    </w:p>
    <w:p>
      <w:pPr>
        <w:spacing w:after="0" w:line="184" w:lineRule="exact"/>
        <w:rPr>
          <w:rFonts w:ascii="Arial" w:cs="Arial" w:eastAsia="Arial" w:hAnsi="Arial"/>
          <w:sz w:val="18"/>
          <w:szCs w:val="18"/>
          <w:color w:val="auto"/>
        </w:rPr>
      </w:pPr>
    </w:p>
    <w:p>
      <w:pPr>
        <w:ind w:left="720" w:right="5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Unencumbered leverage ratio must not exceed 55% (with the ability to surge to 60% in connection with a material acquisition).</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Unencumbered adjusted NOI to unsecured interest expense ratio must not exceed 2.0x.</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8"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The maturity date of the Revolver is May 18, 2027, with the option to extend the maturity date</w:t>
      </w:r>
      <w:r>
        <w:rPr>
          <w:rFonts w:ascii="Arial" w:cs="Arial" w:eastAsia="Arial" w:hAnsi="Arial"/>
          <w:sz w:val="17"/>
          <w:szCs w:val="17"/>
          <w:i w:val="1"/>
          <w:iCs w:val="1"/>
          <w:color w:val="auto"/>
        </w:rPr>
        <w:t xml:space="preserve"> </w:t>
      </w:r>
      <w:r>
        <w:rPr>
          <w:rFonts w:ascii="Arial" w:cs="Arial" w:eastAsia="Arial" w:hAnsi="Arial"/>
          <w:sz w:val="17"/>
          <w:szCs w:val="17"/>
          <w:color w:val="auto"/>
        </w:rPr>
        <w:t>for a maximum of one additional year through either (i) a single 12-month extension option or (ii) two individual 6-month extensions. Borrowings under the Revolver bear interest at an annual rate equal to, at our option, either (i) Adjusted Term SOFR plus the applicable margin ranging from 1.40% to 2.00%, dependent upon our funded debt to total asset value ratio (as defined in the Credit Agreement), (ii) Adjusted Daily Simple SOFR plus the applicable margin ranging from 1.40% to 2.00%, dependent upon our funded debt to total asset value ratio (as defined in the Credit Agreement), or (iii) a base rate as set forth in the Credit Agreement plus the applicable margin ranging from 0.40% to 1.00%, dependent upon the our funded debt to total asset value ratio (as defined in the Credit Agreement). Principal is payable in full at maturity, and the Revolver was undrawn at closing.</w:t>
      </w:r>
    </w:p>
    <w:p>
      <w:pPr>
        <w:spacing w:after="0" w:line="140" w:lineRule="exact"/>
        <w:rPr>
          <w:sz w:val="20"/>
          <w:szCs w:val="20"/>
          <w:color w:val="auto"/>
        </w:rPr>
      </w:pPr>
    </w:p>
    <w:p>
      <w:pPr>
        <w:jc w:val="both"/>
        <w:ind w:left="60" w:right="259"/>
        <w:spacing w:after="0" w:line="259" w:lineRule="auto"/>
        <w:rPr>
          <w:sz w:val="20"/>
          <w:szCs w:val="20"/>
          <w:color w:val="auto"/>
        </w:rPr>
      </w:pPr>
      <w:r>
        <w:rPr>
          <w:rFonts w:ascii="Arial" w:cs="Arial" w:eastAsia="Arial" w:hAnsi="Arial"/>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4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At June 30, 2023, no amounts were outstanding under the Revolver, and the lending banks had issued $14.6 million of letters of credit under the Credit Agreement, which left $685.4 million of availability under the Revolver (subject to the satisfaction of debt incurrence tests under the indentures governing our $600 million in aggregate principal amount of senior notes due 2029 (the “$600 Million 4.50% Senior Notes”), our $700 million in aggregate principal amount of senior notes due 2027 (the “$700 Million 4.75% Senior Notes”) and our $400 Million 7.25% Senior Notes, which we met at June 30, 2023).</w:t>
      </w:r>
    </w:p>
    <w:p>
      <w:pPr>
        <w:spacing w:after="0" w:line="16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i w:val="1"/>
          <w:iCs w:val="1"/>
          <w:color w:val="auto"/>
        </w:rPr>
        <w:t xml:space="preserve">Term Loan B. </w:t>
      </w:r>
      <w:r>
        <w:rPr>
          <w:rFonts w:ascii="Arial" w:cs="Arial" w:eastAsia="Arial" w:hAnsi="Arial"/>
          <w:sz w:val="17"/>
          <w:szCs w:val="17"/>
          <w:color w:val="auto"/>
        </w:rPr>
        <w:t>The Term Loan B has a maturity date of May 18, 2030. The applicable interest rate margins for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Term Loan B are, at our option, either (i) Term SOFR plus 2.75%, (ii) Daily Simple SOFR plus 2.75% or (iii) a base rate as set forth in the Credit Agreement plus 1.75%. At June 30, 2023, the interest rate on the Term Loan B was Term SOFR plus 2.75%.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June 30, 2023, $498.8 million in borrowings were outstanding under the Term Loan B. A portion of the proceeds of the Term Loan B were used to repay in full the approximately $370 million balance of our previous term loan B.</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purposes of the Term Loan B, each of Term SOFR and Daily Simple SOFR are subject to a floor of 0.00%.</w:t>
      </w:r>
    </w:p>
    <w:p>
      <w:pPr>
        <w:spacing w:after="0" w:line="185"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jc w:val="both"/>
        <w:ind w:left="60" w:right="319"/>
        <w:spacing w:after="0" w:line="279" w:lineRule="auto"/>
        <w:rPr>
          <w:sz w:val="20"/>
          <w:szCs w:val="20"/>
          <w:color w:val="auto"/>
        </w:rPr>
      </w:pPr>
      <w:r>
        <w:rPr>
          <w:rFonts w:ascii="Arial" w:cs="Arial" w:eastAsia="Arial" w:hAnsi="Arial"/>
          <w:sz w:val="17"/>
          <w:szCs w:val="17"/>
          <w:color w:val="auto"/>
        </w:rPr>
        <w:t>The $700 Million 4.75% Senior Notes are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44"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i w:val="1"/>
          <w:iCs w:val="1"/>
          <w:color w:val="auto"/>
        </w:rPr>
        <w:t>$400 Million 7.25% Senior Notes</w:t>
      </w:r>
      <w:r>
        <w:rPr>
          <w:rFonts w:ascii="Arial" w:cs="Arial" w:eastAsia="Arial" w:hAnsi="Arial"/>
          <w:sz w:val="16"/>
          <w:szCs w:val="16"/>
          <w:color w:val="auto"/>
        </w:rPr>
        <w:t>. On June 22, 2023, the Operating Partnership and Finco completed the private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2" w:lineRule="exact"/>
        <w:rPr>
          <w:sz w:val="20"/>
          <w:szCs w:val="20"/>
          <w:color w:val="auto"/>
        </w:rPr>
      </w:pPr>
    </w:p>
    <w:p>
      <w:pPr>
        <w:ind w:left="60" w:right="139"/>
        <w:spacing w:after="0" w:line="285" w:lineRule="auto"/>
        <w:rPr>
          <w:sz w:val="20"/>
          <w:szCs w:val="20"/>
          <w:color w:val="auto"/>
        </w:rPr>
      </w:pPr>
      <w:r>
        <w:rPr>
          <w:rFonts w:ascii="Arial" w:cs="Arial" w:eastAsia="Arial" w:hAnsi="Arial"/>
          <w:sz w:val="16"/>
          <w:szCs w:val="16"/>
          <w:color w:val="auto"/>
        </w:rPr>
        <w:t>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$700 Million 4.75% Senior Notes and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34"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The $400 Million 7.25% Senior Notes are redeemable before July 15, 2025, in whole or in part, at 100.00%, plus accrued and unpaid interest thereon to, but not including, the redemption date, plus a make-whole premium. The $400 Million</w:t>
      </w:r>
    </w:p>
    <w:p>
      <w:pPr>
        <w:ind w:left="60" w:right="159"/>
        <w:spacing w:after="0" w:line="253" w:lineRule="auto"/>
        <w:rPr>
          <w:sz w:val="20"/>
          <w:szCs w:val="20"/>
          <w:color w:val="auto"/>
        </w:rPr>
      </w:pPr>
      <w:r>
        <w:rPr>
          <w:rFonts w:ascii="Arial" w:cs="Arial" w:eastAsia="Arial" w:hAnsi="Arial"/>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6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w:t>
      </w:r>
    </w:p>
    <w:p>
      <w:pPr>
        <w:spacing w:after="0" w:line="143"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5%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$700 Million 4.75%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30"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Each of the indentures governing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54"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$800 Million Term Loan (Gaylord Rockies)</w:t>
      </w:r>
      <w:r>
        <w:rPr>
          <w:rFonts w:ascii="Arial" w:cs="Arial" w:eastAsia="Arial" w:hAnsi="Arial"/>
          <w:sz w:val="16"/>
          <w:szCs w:val="16"/>
          <w:color w:val="auto"/>
        </w:rPr>
        <w:t>. On July 2, 2019, Aurora Convention Center Hotel, LLC (“Hotel Owner”) and</w:t>
      </w:r>
      <w:r>
        <w:rPr>
          <w:rFonts w:ascii="Arial" w:cs="Arial" w:eastAsia="Arial" w:hAnsi="Arial"/>
          <w:sz w:val="16"/>
          <w:szCs w:val="16"/>
          <w:i w:val="1"/>
          <w:iCs w:val="1"/>
          <w:color w:val="auto"/>
        </w:rPr>
        <w:t xml:space="preserve"> </w:t>
      </w:r>
      <w:r>
        <w:rPr>
          <w:rFonts w:ascii="Arial" w:cs="Arial" w:eastAsia="Arial" w:hAnsi="Arial"/>
          <w:sz w:val="16"/>
          <w:szCs w:val="16"/>
          <w:color w:val="auto"/>
        </w:rPr>
        <w:t>Aurora Convention Center Hotel Lessee, LLC (“Tenant” and collectively, with Hotel Owner, the “Loan Parties”), subsidiaries of the entities that comprised the joint venture that owned Gaylord Rockies (the “Gaylord Rockies joint venture”), entered into a Second Amended and Restated Loan Agreement (as amended, the “Gaylord Rockies Loan”) with Wells Fargo Bank, National Association, as administrative agent, which refinanced the Gaylord Rockies joint venture’s previous $500 million construction loan and $39 million mezzanine loan, which were scheduled to mature in December 2019. The Gaylord Rockies Loan consists of an $800.0 million secured term loan facility, matures July 2, 2024 with two, one-year extension options remaining, subject to certain requirements in the Gaylord Rockies Loan. The first one-year extension option was successfully completed in May 2023. The Gaylord Rockies Loan bears interest at Adjusted Daily Simple SOFR plus 2.50%. We have entered into an interest rate swap to fix the SOFR portion of the interest rate at 5.2105% for the fifth year of the loan. We have designated this interest rate swap as an effective cash flow hedge.</w:t>
      </w:r>
    </w:p>
    <w:p>
      <w:pPr>
        <w:spacing w:after="0" w:line="172"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and (ii) customary non-recourse carve-outs.</w:t>
      </w:r>
    </w:p>
    <w:p>
      <w:pPr>
        <w:spacing w:after="0" w:line="161"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On June 30,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and (ii) provide favorable changes to the debt service coverage ratio provisions. The Loan Amendment includes restrictions on distributions to our subsidiaries that own Gaylord Rockies.</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Further, on May 2, 2023, the Loan Parties entered into a Benchmark Replacement Modification Agreement to the Gaylord Rockies Loan Agreement, which replaced LIBOR with Adjusted Daily Simple SOFR.</w:t>
      </w:r>
    </w:p>
    <w:p>
      <w:pPr>
        <w:spacing w:after="0" w:line="170"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i w:val="1"/>
          <w:iCs w:val="1"/>
          <w:color w:val="auto"/>
        </w:rPr>
        <w:t>OEG Credit Agreement</w:t>
      </w:r>
      <w:r>
        <w:rPr>
          <w:rFonts w:ascii="Arial" w:cs="Arial" w:eastAsia="Arial" w:hAnsi="Arial"/>
          <w:sz w:val="16"/>
          <w:szCs w:val="16"/>
          <w:color w:val="auto"/>
        </w:rPr>
        <w:t>. On June 16, 2022, OEG Borrower, LLC (“OEG Borrower”) and OEG Finance, LLC (“OEG</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 (ii) a senior secured revolving credit facility in an aggregate principal amount not 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exceed $65.0 million (the “OEG Revolver”). The OEG Term Loan matures on June 16, 2029 and the OEG Revolver matures on June 16, 2027. The OEG Term Loan bears interest at a rate equal to either, at OEG Borrower’s election, (i) the Alternate Base Rate plus 4.00% or (ii) Adjusted Term SOFR plus 5.00% (all as specifically more described in the OEG Credit Agreement). The OEG Revolver bears interest at a rate equal to either, at OEG Borrower’s election, (i) the Alternate Base Rate plus 3.75% or (ii)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and include customary financial covenants and restrictions. The net proceeds we received from the OEG Term Loan were used to repay the outstanding balance of our former $300 million Term Loan A. At June 30, 2023, $7.0 million was outstanding under the OEG Revolver.</w:t>
      </w:r>
    </w:p>
    <w:p>
      <w:pPr>
        <w:spacing w:after="0" w:line="182" w:lineRule="exact"/>
        <w:rPr>
          <w:sz w:val="20"/>
          <w:szCs w:val="20"/>
          <w:color w:val="auto"/>
        </w:rPr>
      </w:pPr>
    </w:p>
    <w:p>
      <w:pPr>
        <w:ind w:left="60" w:right="439"/>
        <w:spacing w:after="0" w:line="279" w:lineRule="auto"/>
        <w:rPr>
          <w:sz w:val="20"/>
          <w:szCs w:val="20"/>
          <w:color w:val="auto"/>
        </w:rPr>
      </w:pPr>
      <w:r>
        <w:rPr>
          <w:rFonts w:ascii="Arial" w:cs="Arial" w:eastAsia="Arial" w:hAnsi="Arial"/>
          <w:sz w:val="17"/>
          <w:szCs w:val="17"/>
          <w:i w:val="1"/>
          <w:iCs w:val="1"/>
          <w:color w:val="auto"/>
        </w:rPr>
        <w:t>Block 21 CMBS Loan</w:t>
      </w:r>
      <w:r>
        <w:rPr>
          <w:rFonts w:ascii="Arial" w:cs="Arial" w:eastAsia="Arial" w:hAnsi="Arial"/>
          <w:sz w:val="17"/>
          <w:szCs w:val="17"/>
          <w:color w:val="auto"/>
        </w:rPr>
        <w:t>. At the closing of the purchase of Block 21 on May 31, 2022, a subsidiary of the Company a</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the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44"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During a Trigger Period, any cash generated in excess of amounts necessary to fund loan obligations, budgeted operating expenses and specified reserves will not be distributed to Block 21. Block 21 was in a Trigger Period as of our purchase date but exited the Trigger Period with first quarter 2023 results.</w:t>
      </w:r>
    </w:p>
    <w:p>
      <w:pPr>
        <w:spacing w:after="0" w:line="192"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i w:val="1"/>
          <w:iCs w:val="1"/>
          <w:color w:val="auto"/>
        </w:rPr>
        <w:t>Additional Debt Limitations</w:t>
      </w:r>
      <w:r>
        <w:rPr>
          <w:rFonts w:ascii="Arial" w:cs="Arial" w:eastAsia="Arial" w:hAnsi="Arial"/>
          <w:sz w:val="16"/>
          <w:szCs w:val="16"/>
          <w:color w:val="auto"/>
        </w:rPr>
        <w:t>. Pursuant to the terms of the management agreements and pooling agreement with Marriott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Gaylord Hotels properties, excluding Gaylord Rockies, we are subject to certain debt limitations described below.</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43"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19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Based on the stated interest rates on our fixed-rate debt and the rates in effect at June 30, 2023 for our variable-rate debt after considering interest rate swaps, our estimated interest obligations through 2027 are $767.1 million. These estimated obligations are $106.6 million for the remainder of 2023, $189.2 million in 2024, $165.0 million in 2025, $157.1 million in 2026, and $149.1 million in 2027. Variable rates, as well as outstanding principal balances, could change in future periods. See “Principal Debt Agreements” above for a discussion of our outstanding long-term debt. See “Supplemental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Cash Flow Information” in Note 1 to the consolidated financial statements included in our Annual Report on Form 10-K for the year ended December 31, 2022 for a discussion of the interest we paid during 2022, 2021 and 2020.</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Inflation</w:t>
      </w:r>
    </w:p>
    <w:p>
      <w:pPr>
        <w:spacing w:after="0" w:line="18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Inflation has had a more meaningful impact on our business during recent periods than in historical periods. However, favorable occupancy, ADR and outside-the-room spend in our Hospitality segment and business levels in our Entertainment segment have reduced the impact of increased operating costs, including increased wages and food and beverage costs, on our financial position and results of operations. 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19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$400 Million 7.25% Senior Notes,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41"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3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6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2023</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receivables due from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645,370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1,846,558</w:t>
            </w:r>
          </w:p>
        </w:tc>
      </w:tr>
      <w:tr>
        <w:trPr>
          <w:trHeight w:val="250"/>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1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2,491,928</w:t>
            </w:r>
          </w:p>
        </w:tc>
      </w:tr>
      <w:tr>
        <w:trPr>
          <w:trHeight w:val="197"/>
        </w:trPr>
        <w:tc>
          <w:tcPr>
            <w:tcW w:w="6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5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11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2,374,195</w:t>
            </w:r>
          </w:p>
        </w:tc>
      </w:tr>
      <w:tr>
        <w:trPr>
          <w:trHeight w:val="197"/>
        </w:trPr>
        <w:tc>
          <w:tcPr>
            <w:tcW w:w="6100" w:type="dxa"/>
            <w:vAlign w:val="bottom"/>
            <w:tcBorders>
              <w:top w:val="single" w:sz="8" w:color="CCEEFF"/>
            </w:tcBorders>
          </w:tcPr>
          <w:p>
            <w:pPr>
              <w:ind w:left="100"/>
              <w:spacing w:after="0" w:line="196" w:lineRule="exact"/>
              <w:rPr>
                <w:sz w:val="20"/>
                <w:szCs w:val="20"/>
                <w:color w:val="auto"/>
              </w:rPr>
            </w:pPr>
            <w:r>
              <w:rPr>
                <w:rFonts w:ascii="Arial" w:cs="Arial" w:eastAsia="Arial" w:hAnsi="Arial"/>
                <w:sz w:val="18"/>
                <w:szCs w:val="18"/>
                <w:color w:val="auto"/>
              </w:rPr>
              <w:t>Total noncontrolling interest</w:t>
            </w: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837</w:t>
            </w:r>
          </w:p>
        </w:tc>
      </w:tr>
      <w:tr>
        <w:trPr>
          <w:trHeight w:val="20"/>
        </w:trPr>
        <w:tc>
          <w:tcPr>
            <w:tcW w:w="6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349"/>
        </w:trPr>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June 30, 2023</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non-guarantor subsidiaries</w:t>
            </w:r>
          </w:p>
        </w:tc>
        <w:tc>
          <w:tcPr>
            <w:tcW w:w="10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211,259</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Operating expenses (excluding expenses to non-guarantor subsidiaries)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60,982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Expenses to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143,068</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98,083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95,712</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depreciation and amortization, income taxes, pension plans, acquisitions and purchase price allocations, and legal contingencies, require that we apply significant judgment 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2022. There were no newly identified critical accounting policies in the first six months of 2023, nor were there any material changes to the critical accounting policies and estimates discussed in our Annual Report on Form 10-K for the year ended December 31, 2022.</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There have been no material changes in our quantitative and qualitative market risks since December 31, 2022. For a discussion of the Company’s exposure to market risk, refer to the Company’s market risk disclosures set forth in Part II, Item 7A. “Quantitative and Qualitative Disclosures About Market Risk” of the Company’s Annual Report on Form 10-K for the year ended December 31, 2022.</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28"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83"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On June 30, 2023, we acquired JW Marriott Hill Country. We are currently in the process of assessing JW Marriott Hill Country’s internal control over financial reporting and integrating the entity’s internal control over financial reporting with our existing internal control over financial reporting. As permitted by SEC regulations, we intend to exclude JW Marriott Hill Country from our assessment of internal control over financial reporting as of December 31, 2023.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15, “Commitments and Contingencies,” to our condensed consolidated financial statements included herein and which our management deems will not have a material effect on our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2022.</w:t>
      </w:r>
    </w:p>
    <w:p>
      <w:pPr>
        <w:spacing w:after="0" w:line="10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financial and operating results may suffer if we are unsuccessful in integrating JW Marriott Hill Country with our existing assets.</w:t>
      </w:r>
    </w:p>
    <w:p>
      <w:pPr>
        <w:spacing w:after="0" w:line="143"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If we are unable to successfully integrate JW Marriott Hill Country with our other assets in an efficient and effective manner, the anticipated benefits of the JW Marriott Hill Country transaction may not be realized fully, or at all, or may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take longer to realize than expected and may not meet estimated growth projections or expectations. Further, we may not achieve the projected efficiencies and synergies once we have fully integrated JW Marriott Hill Country into our operations, which may lead to additional costs not anticipated at the time of the JW Marriott Hill Country transaction. An inability to realize the full extent of the anticipated benefits of the JW Marriott Hill Country transaction or any delays encountered in the integration process could have an adverse effect on our results of operations, cash flows and financial position.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Integrating JW Marriott Hill Country may be more difficult, costly or time consuming than expected.</w:t>
      </w:r>
    </w:p>
    <w:p>
      <w:pPr>
        <w:spacing w:after="0" w:line="18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integration of JW Marriott Hill Country with our other assets will require the dedication of significant management resources, which may distract management’s attention from day-to-day business operations. San Antonio, Texas is a new market for us, and our relative unfamiliarity with the market may result in our having to devote additional time and expense to gain familiarity with the market and effectively manage this asset. Many of these factors will be outside of our control and any one of them could result in delays, increased costs, decreases in revenues and diversion of management’s time and energy from ongoing business concerns, which could materially affect our financial position, results of operations and cash flows.</w:t>
      </w:r>
    </w:p>
    <w:p>
      <w:pPr>
        <w:spacing w:after="0" w:line="154" w:lineRule="exact"/>
        <w:rPr>
          <w:sz w:val="20"/>
          <w:szCs w:val="20"/>
          <w:color w:val="auto"/>
        </w:rPr>
      </w:pPr>
    </w:p>
    <w:p>
      <w:pPr>
        <w:jc w:val="both"/>
        <w:ind w:left="60" w:right="679"/>
        <w:spacing w:after="0" w:line="381" w:lineRule="auto"/>
        <w:rPr>
          <w:sz w:val="20"/>
          <w:szCs w:val="20"/>
          <w:color w:val="auto"/>
        </w:rPr>
      </w:pPr>
      <w:r>
        <w:rPr>
          <w:rFonts w:ascii="Arial" w:cs="Arial" w:eastAsia="Arial" w:hAnsi="Arial"/>
          <w:sz w:val="15"/>
          <w:szCs w:val="15"/>
          <w:b w:val="1"/>
          <w:bCs w:val="1"/>
          <w:i w:val="1"/>
          <w:iCs w:val="1"/>
          <w:color w:val="auto"/>
        </w:rPr>
        <w:t>Each of our Gaylord Hotels properties and JW Marriott Hill Country operate under a brand owned by Marriott; therefore, we are subject to risks associated with concentrating our hotel portfolio in brands owned by Marriott.</w:t>
      </w:r>
    </w:p>
    <w:p>
      <w:pPr>
        <w:spacing w:after="0" w:line="73"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Each of our hotel properties are managed by Marriott under Marriott-owned brands, including JW Marriott Hill Country, which is managed under the JW Marriott brand. As a result, our success is dependent in part on the continued success of Marriott and, in particular, the Gaylord Hotels and JW Marriott brands. Consequently, if market recognition or the positive perception of Marriott is reduced or compromised, the goodwill associated with the Gaylord Hotels and JW Marriott hotel in our portfolio may be adversely affected, which could negatively impact our financial condition, results of operations and our ability to service debt and make distributions to our stockholders.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During the fiscal quarter ended June 30, 2023, no director or Section 16 officer adopted or terminated any Rule 10b5-1 trading arrangements or non-Rule 10b5-1 trading arrangements (in each case, as defined in Item 408(a) of Regulation S-K).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Exhibit Number</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22"/>
          </w:tcPr>
          <w:p>
            <w:pPr>
              <w:ind w:left="1040"/>
              <w:spacing w:after="0"/>
              <w:rPr>
                <w:sz w:val="20"/>
                <w:szCs w:val="20"/>
                <w:color w:val="auto"/>
              </w:rPr>
            </w:pPr>
            <w:r>
              <w:rPr>
                <w:rFonts w:ascii="Arial" w:cs="Arial" w:eastAsia="Arial" w:hAnsi="Arial"/>
                <w:sz w:val="18"/>
                <w:szCs w:val="18"/>
                <w:color w:val="auto"/>
              </w:rPr>
              <w:t>Description</w:t>
            </w:r>
          </w:p>
        </w:tc>
      </w:tr>
      <w:tr>
        <w:trPr>
          <w:trHeight w:val="385"/>
        </w:trPr>
        <w:tc>
          <w:tcPr>
            <w:tcW w:w="1260" w:type="dxa"/>
            <w:vAlign w:val="bottom"/>
          </w:tcPr>
          <w:p>
            <w:pPr>
              <w:ind w:left="50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gridSpan w:val="27"/>
          </w:tcPr>
          <w:p>
            <w:pPr>
              <w:spacing w:after="0"/>
              <w:rPr>
                <w:rFonts w:ascii="Arial" w:cs="Arial" w:eastAsia="Arial" w:hAnsi="Arial"/>
                <w:sz w:val="18"/>
                <w:szCs w:val="18"/>
                <w:color w:val="0000EE"/>
              </w:rPr>
            </w:pPr>
            <w:hyperlink r:id="rId53">
              <w:r>
                <w:rPr>
                  <w:rFonts w:ascii="Arial" w:cs="Arial" w:eastAsia="Arial" w:hAnsi="Arial"/>
                  <w:sz w:val="18"/>
                  <w:szCs w:val="18"/>
                  <w:color w:val="0000EE"/>
                </w:rPr>
                <w:t>Amended and Restated Certificate of Incorporation of Ryman Hospitality Properties, Inc.</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(incorporated by reference to Exhibit 3.1 to the Company’s Current Report on Form 8-K filed</w:t>
              </w:r>
            </w:hyperlink>
          </w:p>
        </w:tc>
        <w:tc>
          <w:tcPr>
            <w:tcW w:w="660" w:type="dxa"/>
            <w:vAlign w:val="bottom"/>
            <w:gridSpan w:val="1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October 1, 2012).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Borders>
              <w:bottom w:val="single" w:sz="8" w:color="0000EE"/>
            </w:tcBorders>
            <w:gridSpan w:val="11"/>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Second Amended and Restated Bylaws of Ryman Hospitality Properties, Inc. (incorporated by</w:t>
              </w:r>
            </w:hyperlink>
          </w:p>
        </w:tc>
        <w:tc>
          <w:tcPr>
            <w:tcW w:w="62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reference to Exhibit 3.2 to the Company’s Annual Report on Form 10-K filed February 24, 2023).</w:t>
              </w:r>
            </w:hyperlink>
          </w:p>
        </w:tc>
        <w:tc>
          <w:tcPr>
            <w:tcW w:w="380" w:type="dxa"/>
            <w:vAlign w:val="bottom"/>
            <w:gridSpan w:val="12"/>
          </w:tcPr>
          <w:p>
            <w:pPr>
              <w:spacing w:after="0"/>
              <w:rPr>
                <w:sz w:val="17"/>
                <w:szCs w:val="17"/>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bottom w:val="single" w:sz="8" w:color="0000EE"/>
            </w:tcBorders>
            <w:gridSpan w:val="17"/>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Indenture, dated as of June 22, 2023, among RHP Hotel Properties, LP, RHP Finance Corporation,</w:t>
              </w:r>
            </w:hyperlink>
          </w:p>
        </w:tc>
        <w:tc>
          <w:tcPr>
            <w:tcW w:w="34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Ryman Hospitality Properties, Inc., as a guarantor, each of the other guarantors named therein and</w:t>
              </w:r>
            </w:hyperlink>
          </w:p>
        </w:tc>
        <w:tc>
          <w:tcPr>
            <w:tcW w:w="36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U.S. Bank Trust Company, National Association, as trustee (incorporated by reference to Exhibit 4.1 to</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the Company’s Current Report on Form 8-K filed June 22, 2023).</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21"/>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Form of 7.250% Senior Note due 2028 (incorporated by reference to Exhibit A to Exhibit 4.1 to the</w:t>
              </w:r>
            </w:hyperlink>
          </w:p>
        </w:tc>
        <w:tc>
          <w:tcPr>
            <w:tcW w:w="2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Company’s Current Report on Form 8-K filed June 22, 2023).</w:t>
              </w:r>
            </w:hyperlink>
          </w:p>
        </w:tc>
        <w:tc>
          <w:tcPr>
            <w:tcW w:w="2960" w:type="dxa"/>
            <w:vAlign w:val="bottom"/>
            <w:gridSpan w:val="21"/>
          </w:tcPr>
          <w:p>
            <w:pPr>
              <w:spacing w:after="0"/>
              <w:rPr>
                <w:sz w:val="17"/>
                <w:szCs w:val="17"/>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Benchmark Replacement Modification Agreement, dated as of May 2, 2023, by and among Wells</w:t>
            </w:r>
          </w:p>
        </w:tc>
        <w:tc>
          <w:tcPr>
            <w:tcW w:w="4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Fargo Bank, National Association, as administrative agent, Aurora Convention Center Hotel, LLC,</w:t>
            </w:r>
          </w:p>
        </w:tc>
        <w:tc>
          <w:tcPr>
            <w:tcW w:w="32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Aurora Convention Center Hotel Lessee, LLC, and each of the lenders party thereto (relating to the</w:t>
            </w:r>
          </w:p>
        </w:tc>
        <w:tc>
          <w:tcPr>
            <w:tcW w:w="28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sz w:val="20"/>
                <w:szCs w:val="20"/>
                <w:color w:val="auto"/>
              </w:rPr>
            </w:pPr>
            <w:r>
              <w:rPr>
                <w:rFonts w:ascii="Arial" w:cs="Arial" w:eastAsia="Arial" w:hAnsi="Arial"/>
                <w:sz w:val="18"/>
                <w:szCs w:val="18"/>
                <w:color w:val="0000EE"/>
                <w:w w:val="96"/>
              </w:rPr>
              <w:t>Second Amended and Restated Loan Agreement entered into as of July 2, 2019, among Aurora</w:t>
            </w: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50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sz w:val="20"/>
                <w:szCs w:val="20"/>
                <w:color w:val="auto"/>
              </w:rPr>
            </w:pPr>
            <w:r>
              <w:rPr>
                <w:rFonts w:ascii="Arial" w:cs="Arial" w:eastAsia="Arial" w:hAnsi="Arial"/>
                <w:sz w:val="18"/>
                <w:szCs w:val="18"/>
                <w:color w:val="0000EE"/>
                <w:w w:val="95"/>
              </w:rPr>
              <w:t>Convention Center Hotel, LLC, Aurora Convention Center Hotel Lessee, LLC, Wells Fargo Bank,</w:t>
            </w: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5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sz w:val="20"/>
                <w:szCs w:val="20"/>
                <w:color w:val="auto"/>
              </w:rPr>
            </w:pPr>
            <w:r>
              <w:rPr>
                <w:rFonts w:ascii="Arial" w:cs="Arial" w:eastAsia="Arial" w:hAnsi="Arial"/>
                <w:sz w:val="18"/>
                <w:szCs w:val="18"/>
                <w:color w:val="0000EE"/>
                <w:w w:val="95"/>
              </w:rPr>
              <w:t>National Association, as administrative agent, and the financial institutions from time to time party</w:t>
            </w: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5"/>
              </w:rPr>
              <w:t>thereto, as amended).</w:t>
            </w:r>
          </w:p>
        </w:tc>
        <w:tc>
          <w:tcPr>
            <w:tcW w:w="5560" w:type="dxa"/>
            <w:vAlign w:val="bottom"/>
            <w:tcBorders>
              <w:top w:val="single" w:sz="8" w:color="0000EE"/>
            </w:tcBorders>
            <w:gridSpan w:val="14"/>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bottom w:val="single" w:sz="8" w:color="0000EE"/>
            </w:tcBorders>
            <w:gridSpan w:val="26"/>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Credit Agreement, dated as of May 18, 2023, among Ryman Hospitality Properties, Inc., as parent and</w:t>
              </w:r>
            </w:hyperlink>
          </w:p>
        </w:tc>
        <w:tc>
          <w:tcPr>
            <w:tcW w:w="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as a guarantor, RHP Hotel Properties, LP, as borrower, certain other subsidiaries of Ryman Hospitality</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Properties, Inc. party thereto, as guarantors, certain subsidiaries of Ryman Hospitality Properties, Inc.</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party thereto, as pledgors, the lenders party thereto and Wells Fargo Bank, National Association, as</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5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administrative agent (incorporated by reference to Exhibit 10.1 to the Company’s Current Report on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Form 8-K filed May 19, 2023).</w:t>
              </w:r>
            </w:hyperlink>
          </w:p>
        </w:tc>
        <w:tc>
          <w:tcPr>
            <w:tcW w:w="22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25"/>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Agreement of Purchase and Sale, dated as of June 5, 2023, by and between BREIT JWM San Antonio</w:t>
              </w:r>
            </w:hyperlink>
          </w:p>
        </w:tc>
        <w:tc>
          <w:tcPr>
            <w:tcW w:w="8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LP and BREIT JWM San Antonio TRS LLC, as Seller, and RHP Property SA, LLC, as Buyer</w:t>
              </w:r>
            </w:hyperlink>
          </w:p>
        </w:tc>
        <w:tc>
          <w:tcPr>
            <w:tcW w:w="680" w:type="dxa"/>
            <w:vAlign w:val="bottom"/>
            <w:gridSpan w:val="1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27"/>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(incorporated by reference to Exhibit 10.1 to the Company’s Current Report on Form 8-K filed June 5,</w:t>
              </w:r>
            </w:hyperlink>
          </w:p>
        </w:tc>
      </w:tr>
      <w:tr>
        <w:trPr>
          <w:trHeight w:val="20"/>
        </w:trPr>
        <w:tc>
          <w:tcPr>
            <w:tcW w:w="1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00" w:type="dxa"/>
            <w:vAlign w:val="bottom"/>
            <w:gridSpan w:val="3"/>
          </w:tcPr>
          <w:p>
            <w:pPr>
              <w:ind w:left="240"/>
              <w:spacing w:after="0" w:line="196" w:lineRule="exact"/>
              <w:rPr>
                <w:rFonts w:ascii="Arial" w:cs="Arial" w:eastAsia="Arial" w:hAnsi="Arial"/>
                <w:sz w:val="18"/>
                <w:szCs w:val="18"/>
                <w:color w:val="0000EE"/>
                <w:w w:val="86"/>
              </w:rPr>
            </w:pPr>
            <w:hyperlink r:id="rId57">
              <w:r>
                <w:rPr>
                  <w:rFonts w:ascii="Arial" w:cs="Arial" w:eastAsia="Arial" w:hAnsi="Arial"/>
                  <w:sz w:val="18"/>
                  <w:szCs w:val="18"/>
                  <w:color w:val="0000EE"/>
                  <w:w w:val="86"/>
                </w:rPr>
                <w:t>2023).</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260" w:type="dxa"/>
            <w:vAlign w:val="bottom"/>
          </w:tcPr>
          <w:p>
            <w:pPr>
              <w:ind w:left="50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First Amendment to Agreement of Purchase and Sale, dated as of June 15, 2023, by and between</w:t>
            </w:r>
          </w:p>
        </w:tc>
        <w:tc>
          <w:tcPr>
            <w:tcW w:w="46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1"/>
              </w:rPr>
              <w:t>BREIT JWM San Antonio, LP and BREIT JWM San Antonio TRS LLC, as Seller, and RHP Property</w:t>
            </w:r>
          </w:p>
        </w:tc>
        <w:tc>
          <w:tcPr>
            <w:tcW w:w="12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SA, LLC, as Buyer.</w:t>
            </w:r>
          </w:p>
        </w:tc>
        <w:tc>
          <w:tcPr>
            <w:tcW w:w="6000" w:type="dxa"/>
            <w:vAlign w:val="bottom"/>
            <w:gridSpan w:val="24"/>
          </w:tcPr>
          <w:p>
            <w:pPr>
              <w:spacing w:after="0"/>
              <w:rPr>
                <w:sz w:val="17"/>
                <w:szCs w:val="17"/>
                <w:color w:val="auto"/>
              </w:rPr>
            </w:pPr>
          </w:p>
        </w:tc>
      </w:tr>
    </w:tbl>
    <w:p>
      <w:pPr>
        <w:spacing w:after="0" w:line="229" w:lineRule="exact"/>
        <w:rPr>
          <w:sz w:val="20"/>
          <w:szCs w:val="20"/>
          <w:color w:val="auto"/>
        </w:rPr>
      </w:pPr>
    </w:p>
    <w:p>
      <w:pPr>
        <w:ind w:left="1540" w:right="279" w:hanging="1004"/>
        <w:spacing w:after="0" w:line="342" w:lineRule="auto"/>
        <w:tabs>
          <w:tab w:leader="none" w:pos="1540" w:val="left"/>
        </w:tabs>
        <w:numPr>
          <w:ilvl w:val="0"/>
          <w:numId w:val="23"/>
        </w:numPr>
        <w:rPr>
          <w:rFonts w:ascii="Arial" w:cs="Arial" w:eastAsia="Arial" w:hAnsi="Arial"/>
          <w:sz w:val="16"/>
          <w:szCs w:val="16"/>
          <w:u w:val="single" w:color="auto"/>
          <w:color w:val="0000EE"/>
        </w:rPr>
      </w:pPr>
      <w:hyperlink r:id="rId58">
        <w:r>
          <w:rPr>
            <w:rFonts w:ascii="Arial" w:cs="Arial" w:eastAsia="Arial" w:hAnsi="Arial"/>
            <w:sz w:val="16"/>
            <w:szCs w:val="16"/>
            <w:u w:val="single" w:color="auto"/>
            <w:color w:val="0000EE"/>
          </w:rPr>
          <w:t>List of Parent and Subsidiary Guarantors (incorporated by reference to Exhibit 22 to the Company’s</w:t>
        </w:r>
      </w:hyperlink>
      <w:r>
        <w:rPr>
          <w:rFonts w:ascii="Arial" w:cs="Arial" w:eastAsia="Arial" w:hAnsi="Arial"/>
          <w:sz w:val="16"/>
          <w:szCs w:val="16"/>
          <w:u w:val="single" w:color="auto"/>
          <w:color w:val="0000EE"/>
        </w:rPr>
        <w:t xml:space="preserve"> </w:t>
      </w:r>
      <w:hyperlink r:id="rId58">
        <w:r>
          <w:rPr>
            <w:rFonts w:ascii="Arial" w:cs="Arial" w:eastAsia="Arial" w:hAnsi="Arial"/>
            <w:sz w:val="16"/>
            <w:szCs w:val="16"/>
            <w:u w:val="single" w:color="auto"/>
            <w:color w:val="0000EE"/>
          </w:rPr>
          <w:t>Annual Report on Form 10-K for the year ended December 31, 2022, filed February 24, 2023).</w:t>
        </w:r>
      </w:hyperlink>
    </w:p>
    <w:p>
      <w:pPr>
        <w:spacing w:after="0" w:line="106"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1500" w:type="dxa"/>
            <w:vAlign w:val="bottom"/>
          </w:tcPr>
          <w:p>
            <w:pPr>
              <w:ind w:left="500"/>
              <w:spacing w:after="0"/>
              <w:rPr>
                <w:sz w:val="20"/>
                <w:szCs w:val="20"/>
                <w:color w:val="auto"/>
              </w:rPr>
            </w:pPr>
            <w:r>
              <w:rPr>
                <w:rFonts w:ascii="Arial" w:cs="Arial" w:eastAsia="Arial" w:hAnsi="Arial"/>
                <w:sz w:val="18"/>
                <w:szCs w:val="18"/>
                <w:color w:val="auto"/>
              </w:rPr>
              <w:t>31.1*</w:t>
            </w:r>
          </w:p>
        </w:tc>
        <w:tc>
          <w:tcPr>
            <w:tcW w:w="6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Mark Fioravanti pursuant to Section 302 of Sarbanes-Oxley Act of 2002.</w:t>
            </w:r>
          </w:p>
        </w:tc>
        <w:tc>
          <w:tcPr>
            <w:tcW w:w="1020" w:type="dxa"/>
            <w:vAlign w:val="bottom"/>
            <w:gridSpan w:val="3"/>
          </w:tcPr>
          <w:p>
            <w:pPr>
              <w:spacing w:after="0"/>
              <w:rPr>
                <w:sz w:val="18"/>
                <w:szCs w:val="18"/>
                <w:color w:val="auto"/>
              </w:rPr>
            </w:pPr>
          </w:p>
        </w:tc>
      </w:tr>
      <w:tr>
        <w:trPr>
          <w:trHeight w:val="412"/>
        </w:trPr>
        <w:tc>
          <w:tcPr>
            <w:tcW w:w="1500" w:type="dxa"/>
            <w:vAlign w:val="bottom"/>
          </w:tcPr>
          <w:p>
            <w:pPr>
              <w:ind w:left="500"/>
              <w:spacing w:after="0"/>
              <w:rPr>
                <w:sz w:val="20"/>
                <w:szCs w:val="20"/>
                <w:color w:val="auto"/>
              </w:rPr>
            </w:pPr>
            <w:r>
              <w:rPr>
                <w:rFonts w:ascii="Arial" w:cs="Arial" w:eastAsia="Arial" w:hAnsi="Arial"/>
                <w:sz w:val="18"/>
                <w:szCs w:val="18"/>
                <w:color w:val="auto"/>
              </w:rPr>
              <w:t>31.2*</w:t>
            </w:r>
          </w:p>
        </w:tc>
        <w:tc>
          <w:tcPr>
            <w:tcW w:w="66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of Jennifer Hutcheson pursuant to Section 302 of Sarbanes-Oxley Act of 2002.</w:t>
            </w:r>
          </w:p>
        </w:tc>
        <w:tc>
          <w:tcPr>
            <w:tcW w:w="800" w:type="dxa"/>
            <w:vAlign w:val="bottom"/>
            <w:gridSpan w:val="2"/>
          </w:tcPr>
          <w:p>
            <w:pPr>
              <w:spacing w:after="0"/>
              <w:rPr>
                <w:sz w:val="24"/>
                <w:szCs w:val="24"/>
                <w:color w:val="auto"/>
              </w:rPr>
            </w:pPr>
          </w:p>
        </w:tc>
      </w:tr>
      <w:tr>
        <w:trPr>
          <w:trHeight w:val="412"/>
        </w:trPr>
        <w:tc>
          <w:tcPr>
            <w:tcW w:w="1500" w:type="dxa"/>
            <w:vAlign w:val="bottom"/>
          </w:tcPr>
          <w:p>
            <w:pPr>
              <w:ind w:left="500"/>
              <w:spacing w:after="0"/>
              <w:rPr>
                <w:sz w:val="20"/>
                <w:szCs w:val="20"/>
                <w:color w:val="auto"/>
              </w:rPr>
            </w:pPr>
            <w:r>
              <w:rPr>
                <w:rFonts w:ascii="Arial" w:cs="Arial" w:eastAsia="Arial" w:hAnsi="Arial"/>
                <w:sz w:val="18"/>
                <w:szCs w:val="18"/>
                <w:color w:val="auto"/>
              </w:rPr>
              <w:t>32.1**</w:t>
            </w:r>
          </w:p>
        </w:tc>
        <w:tc>
          <w:tcPr>
            <w:tcW w:w="69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Certification of Mark Fioravanti and Jennifer Hutcheson pursuant to 18 U.S.C. Section 1350, as</w:t>
            </w:r>
          </w:p>
        </w:tc>
        <w:tc>
          <w:tcPr>
            <w:tcW w:w="52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7420" w:type="dxa"/>
            <w:vAlign w:val="bottom"/>
            <w:gridSpan w:val="5"/>
          </w:tcPr>
          <w:p>
            <w:pPr>
              <w:spacing w:after="0" w:line="196" w:lineRule="exact"/>
              <w:rPr>
                <w:sz w:val="20"/>
                <w:szCs w:val="20"/>
                <w:color w:val="auto"/>
              </w:rPr>
            </w:pPr>
            <w:r>
              <w:rPr>
                <w:rFonts w:ascii="Arial" w:cs="Arial" w:eastAsia="Arial" w:hAnsi="Arial"/>
                <w:sz w:val="18"/>
                <w:szCs w:val="18"/>
                <w:color w:val="0000EE"/>
              </w:rPr>
              <w:t>adopted pursuant to Section 906 of Sarbanes-Oxley Act of 2002.</w:t>
            </w:r>
          </w:p>
        </w:tc>
      </w:tr>
      <w:tr>
        <w:trPr>
          <w:trHeight w:val="884"/>
        </w:trPr>
        <w:tc>
          <w:tcPr>
            <w:tcW w:w="1500" w:type="dxa"/>
            <w:vAlign w:val="bottom"/>
          </w:tcPr>
          <w:p>
            <w:pPr>
              <w:spacing w:after="0"/>
              <w:rPr>
                <w:sz w:val="24"/>
                <w:szCs w:val="24"/>
                <w:color w:val="auto"/>
              </w:rPr>
            </w:pPr>
          </w:p>
        </w:tc>
        <w:tc>
          <w:tcPr>
            <w:tcW w:w="4640" w:type="dxa"/>
            <w:vAlign w:val="bottom"/>
            <w:tcBorders>
              <w:top w:val="single" w:sz="8" w:color="0000EE"/>
            </w:tcBorders>
          </w:tcPr>
          <w:p>
            <w:pPr>
              <w:ind w:left="2880"/>
              <w:spacing w:after="0"/>
              <w:rPr>
                <w:sz w:val="20"/>
                <w:szCs w:val="20"/>
                <w:color w:val="auto"/>
              </w:rPr>
            </w:pPr>
            <w:r>
              <w:rPr>
                <w:rFonts w:ascii="Arial" w:cs="Arial" w:eastAsia="Arial" w:hAnsi="Arial"/>
                <w:sz w:val="18"/>
                <w:szCs w:val="18"/>
                <w:color w:val="auto"/>
              </w:rPr>
              <w:t>50</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47"/>
        </w:trPr>
        <w:tc>
          <w:tcPr>
            <w:tcW w:w="15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0" w:name="page51"/>
    <w:bookmarkEnd w:id="5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7"/>
              </w:rPr>
              <w:t>Table of Contents</w:t>
            </w:r>
          </w:p>
        </w:tc>
        <w:tc>
          <w:tcPr>
            <w:tcW w:w="7600" w:type="dxa"/>
            <w:vAlign w:val="bottom"/>
          </w:tcPr>
          <w:p>
            <w:pPr>
              <w:spacing w:after="0"/>
              <w:rPr>
                <w:sz w:val="17"/>
                <w:szCs w:val="17"/>
                <w:color w:val="auto"/>
              </w:rPr>
            </w:pPr>
          </w:p>
        </w:tc>
      </w:tr>
      <w:tr>
        <w:trPr>
          <w:trHeight w:val="749"/>
        </w:trPr>
        <w:tc>
          <w:tcPr>
            <w:tcW w:w="126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7600" w:type="dxa"/>
            <w:vAlign w:val="bottom"/>
          </w:tcPr>
          <w:p>
            <w:pPr>
              <w:ind w:left="220"/>
              <w:spacing w:after="0"/>
              <w:rPr>
                <w:sz w:val="20"/>
                <w:szCs w:val="20"/>
                <w:color w:val="auto"/>
              </w:rPr>
            </w:pPr>
            <w:r>
              <w:rPr>
                <w:rFonts w:ascii="Arial" w:cs="Arial" w:eastAsia="Arial" w:hAnsi="Arial"/>
                <w:sz w:val="18"/>
                <w:szCs w:val="18"/>
                <w:color w:val="auto"/>
                <w:w w:val="92"/>
              </w:rPr>
              <w:t>The following materials from Ryman Hospitality Properties, Inc.’s Quarterly Report on Form 10-Q for</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3"/>
              </w:rPr>
              <w:t>the quarterly period ended June 30, 2023, formatted in Inline XBRL (eXtensible Business Reporting</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Language): (i) Condensed Consolidated Balance Sheets (unaudited) at June 30, 2023 and</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December 31, 2022, (ii) Condensed Consolidated Statements of Operations and Comprehensive</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Income (unaudited) for the three and six months ended June 30, 2023 and 2022, (iii) Condensed</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89"/>
              </w:rPr>
              <w:t>Consolidated Statements of Cash Flows (unaudited) for the six months ended June 30, 2023 and 2022,</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2"/>
              </w:rPr>
              <w:t>(iv) Condensed Consolidated Statements of Equity (Deficit) (unaudited) for the three and six months</w:t>
            </w:r>
          </w:p>
        </w:tc>
      </w:tr>
      <w:tr>
        <w:trPr>
          <w:trHeight w:val="216"/>
        </w:trPr>
        <w:tc>
          <w:tcPr>
            <w:tcW w:w="12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ended June 30, 2023 and 2022, and (v) Notes to Condensed Consolidated Financial Statements</w:t>
            </w:r>
          </w:p>
        </w:tc>
      </w:tr>
      <w:tr>
        <w:trPr>
          <w:trHeight w:val="230"/>
        </w:trPr>
        <w:tc>
          <w:tcPr>
            <w:tcW w:w="1260" w:type="dxa"/>
            <w:vAlign w:val="bottom"/>
          </w:tcPr>
          <w:p>
            <w:pPr>
              <w:spacing w:after="0"/>
              <w:rPr>
                <w:sz w:val="20"/>
                <w:szCs w:val="20"/>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(unaudited).</w:t>
            </w:r>
          </w:p>
        </w:tc>
      </w:tr>
      <w:tr>
        <w:trPr>
          <w:trHeight w:val="432"/>
        </w:trPr>
        <w:tc>
          <w:tcPr>
            <w:tcW w:w="12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7600" w:type="dxa"/>
            <w:vAlign w:val="bottom"/>
          </w:tcPr>
          <w:p>
            <w:pPr>
              <w:ind w:left="2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7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jc w:val="both"/>
        <w:ind w:left="380" w:right="359" w:hanging="330"/>
        <w:spacing w:after="0" w:line="255"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schedules and similar attachments have been omitted in reliance on Item 601(a)(5) of Regulation S-K. The Company will provide, on a supplemental basis, a copy of any omitted schedule or attachment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80" w:type="dxa"/>
            <w:vAlign w:val="bottom"/>
            <w:gridSpan w:val="2"/>
          </w:tcPr>
          <w:p>
            <w:pPr>
              <w:ind w:left="150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August 4, 2023</w:t>
            </w:r>
          </w:p>
        </w:tc>
        <w:tc>
          <w:tcPr>
            <w:tcW w:w="5880" w:type="dxa"/>
            <w:vAlign w:val="bottom"/>
            <w:gridSpan w:val="2"/>
          </w:tcPr>
          <w:p>
            <w:pPr>
              <w:ind w:left="1500"/>
              <w:spacing w:after="0"/>
              <w:rPr>
                <w:sz w:val="20"/>
                <w:szCs w:val="20"/>
                <w:color w:val="auto"/>
              </w:rPr>
            </w:pPr>
            <w:r>
              <w:rPr>
                <w:rFonts w:ascii="Arial" w:cs="Arial" w:eastAsia="Arial" w:hAnsi="Arial"/>
                <w:sz w:val="18"/>
                <w:szCs w:val="18"/>
                <w:color w:val="auto"/>
              </w:rPr>
              <w:t>By:/s/ Mark Fioravanti</w:t>
            </w:r>
          </w:p>
        </w:tc>
      </w:tr>
      <w:tr>
        <w:trPr>
          <w:trHeight w:val="195"/>
        </w:trPr>
        <w:tc>
          <w:tcPr>
            <w:tcW w:w="3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020" w:type="dxa"/>
            <w:vAlign w:val="bottom"/>
          </w:tcPr>
          <w:p>
            <w:pPr>
              <w:spacing w:after="0"/>
              <w:rPr>
                <w:sz w:val="24"/>
                <w:szCs w:val="24"/>
                <w:color w:val="auto"/>
              </w:rPr>
            </w:pPr>
          </w:p>
        </w:tc>
        <w:tc>
          <w:tcPr>
            <w:tcW w:w="5880" w:type="dxa"/>
            <w:vAlign w:val="bottom"/>
            <w:gridSpan w:val="2"/>
          </w:tcPr>
          <w:p>
            <w:pPr>
              <w:ind w:left="1500"/>
              <w:spacing w:after="0"/>
              <w:rPr>
                <w:sz w:val="20"/>
                <w:szCs w:val="20"/>
                <w:color w:val="auto"/>
              </w:rPr>
            </w:pPr>
            <w:r>
              <w:rPr>
                <w:rFonts w:ascii="Arial" w:cs="Arial" w:eastAsia="Arial" w:hAnsi="Arial"/>
                <w:sz w:val="18"/>
                <w:szCs w:val="18"/>
                <w:color w:val="auto"/>
              </w:rPr>
              <w:t>By:/s/ Jennifer Hutcheson</w:t>
            </w:r>
          </w:p>
        </w:tc>
      </w:tr>
      <w:tr>
        <w:trPr>
          <w:trHeight w:val="195"/>
        </w:trPr>
        <w:tc>
          <w:tcPr>
            <w:tcW w:w="3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3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7860"/>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BENCHMARK REPLACEMENT MODIFICATION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(Adjusted Daily Simple SOFR)</w:t>
      </w:r>
    </w:p>
    <w:p>
      <w:pPr>
        <w:spacing w:after="0" w:line="290"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21"/>
          <w:szCs w:val="21"/>
          <w:b w:val="1"/>
          <w:bCs w:val="1"/>
          <w:color w:val="auto"/>
        </w:rPr>
        <w:t xml:space="preserve">THIS BENCHMARK REPLACEMENT MODIFICATION AGREEMENT </w:t>
      </w:r>
      <w:r>
        <w:rPr>
          <w:rFonts w:ascii="Arial" w:cs="Arial" w:eastAsia="Arial" w:hAnsi="Arial"/>
          <w:sz w:val="21"/>
          <w:szCs w:val="21"/>
          <w:color w:val="auto"/>
        </w:rPr>
        <w:t>(this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is dated as of May [__], 2023, by and among WELLS FARGO BANK, NATIONAL ASSOCIATION, a national banking association, in its capacity as administrative agent (in such capacity, collectively with its successors and assigns, “</w:t>
      </w:r>
      <w:r>
        <w:rPr>
          <w:rFonts w:ascii="Arial" w:cs="Arial" w:eastAsia="Arial" w:hAnsi="Arial"/>
          <w:sz w:val="21"/>
          <w:szCs w:val="21"/>
          <w:b w:val="1"/>
          <w:bCs w:val="1"/>
          <w:u w:val="single" w:color="auto"/>
          <w:color w:val="auto"/>
        </w:rPr>
        <w:t>Administrative Agent</w:t>
      </w:r>
      <w:r>
        <w:rPr>
          <w:rFonts w:ascii="Arial" w:cs="Arial" w:eastAsia="Arial" w:hAnsi="Arial"/>
          <w:sz w:val="21"/>
          <w:szCs w:val="21"/>
          <w:color w:val="auto"/>
        </w:rPr>
        <w:t>”), AURORA CONVENTION CENTER HOTEL, LLC, a Delaware limited liability company (“</w:t>
      </w:r>
      <w:r>
        <w:rPr>
          <w:rFonts w:ascii="Arial" w:cs="Arial" w:eastAsia="Arial" w:hAnsi="Arial"/>
          <w:sz w:val="21"/>
          <w:szCs w:val="21"/>
          <w:b w:val="1"/>
          <w:bCs w:val="1"/>
          <w:u w:val="single" w:color="auto"/>
          <w:color w:val="auto"/>
        </w:rPr>
        <w:t>Borrower</w:t>
      </w:r>
      <w:r>
        <w:rPr>
          <w:rFonts w:ascii="Arial" w:cs="Arial" w:eastAsia="Arial" w:hAnsi="Arial"/>
          <w:sz w:val="21"/>
          <w:szCs w:val="21"/>
          <w:color w:val="auto"/>
        </w:rPr>
        <w:t>”), AURORA CONVENTION CENTER HOTEL LESSEE, LLC, a Delaware limited liability company (“</w:t>
      </w:r>
      <w:r>
        <w:rPr>
          <w:rFonts w:ascii="Arial" w:cs="Arial" w:eastAsia="Arial" w:hAnsi="Arial"/>
          <w:sz w:val="21"/>
          <w:szCs w:val="21"/>
          <w:b w:val="1"/>
          <w:bCs w:val="1"/>
          <w:u w:val="single" w:color="auto"/>
          <w:color w:val="auto"/>
        </w:rPr>
        <w:t>Operating Lessee</w:t>
      </w:r>
      <w:r>
        <w:rPr>
          <w:rFonts w:ascii="Arial" w:cs="Arial" w:eastAsia="Arial" w:hAnsi="Arial"/>
          <w:sz w:val="21"/>
          <w:szCs w:val="21"/>
          <w:color w:val="auto"/>
        </w:rPr>
        <w:t>”), and each of the lenders party to the Loan Agreement (defined below) (each a “</w:t>
      </w:r>
      <w:r>
        <w:rPr>
          <w:rFonts w:ascii="Arial" w:cs="Arial" w:eastAsia="Arial" w:hAnsi="Arial"/>
          <w:sz w:val="21"/>
          <w:szCs w:val="21"/>
          <w:b w:val="1"/>
          <w:bCs w:val="1"/>
          <w:u w:val="single" w:color="auto"/>
          <w:color w:val="auto"/>
        </w:rPr>
        <w:t>Lender</w:t>
      </w:r>
      <w:r>
        <w:rPr>
          <w:rFonts w:ascii="Arial" w:cs="Arial" w:eastAsia="Arial" w:hAnsi="Arial"/>
          <w:sz w:val="21"/>
          <w:szCs w:val="21"/>
          <w:color w:val="auto"/>
        </w:rPr>
        <w:t>” and, collectively, “</w:t>
      </w:r>
      <w:r>
        <w:rPr>
          <w:rFonts w:ascii="Arial" w:cs="Arial" w:eastAsia="Arial" w:hAnsi="Arial"/>
          <w:sz w:val="21"/>
          <w:szCs w:val="21"/>
          <w:b w:val="1"/>
          <w:bCs w:val="1"/>
          <w:u w:val="single" w:color="auto"/>
          <w:color w:val="auto"/>
        </w:rPr>
        <w:t>Lenders</w:t>
      </w:r>
      <w:r>
        <w:rPr>
          <w:rFonts w:ascii="Arial" w:cs="Arial" w:eastAsia="Arial" w:hAnsi="Arial"/>
          <w:sz w:val="21"/>
          <w:szCs w:val="21"/>
          <w:color w:val="auto"/>
        </w:rPr>
        <w:t>”) comprising Requisite Lenders (as defined in the Loan Agreement).</w:t>
      </w: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RECITALS</w:t>
      </w:r>
    </w:p>
    <w:p>
      <w:pPr>
        <w:spacing w:after="0" w:line="307" w:lineRule="exact"/>
        <w:rPr>
          <w:sz w:val="20"/>
          <w:szCs w:val="20"/>
          <w:color w:val="auto"/>
        </w:rPr>
      </w:pPr>
    </w:p>
    <w:p>
      <w:pPr>
        <w:jc w:val="both"/>
        <w:ind w:left="860" w:right="219" w:hanging="651"/>
        <w:spacing w:after="0" w:line="286" w:lineRule="auto"/>
        <w:tabs>
          <w:tab w:leader="none" w:pos="860"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Pursuant to the terms of that certain Second Amended and Restated Loan Agreement, dated as of July 2, 2019, by and among Borrower, Operating Lessee, Administrative Agent and the Lenders, as amended by Amendment No. 1 to Second Amended and Restated Loan Agreement and Modification to Loan Documents, dated as of June 30, 2020, by and among Borrower, Operating Lessee, Administrative Agent and the Lenders, as further amended by Amendment No. 2 to Second Amended and Restated Loan Agreement and Modification to Guaranty, dated as of May 7, 2021, by and among Borrower, Operating Lessee, Administrative Agent and the Lenders (the “</w:t>
      </w:r>
      <w:r>
        <w:rPr>
          <w:rFonts w:ascii="Arial" w:cs="Arial" w:eastAsia="Arial" w:hAnsi="Arial"/>
          <w:sz w:val="19"/>
          <w:szCs w:val="19"/>
          <w:b w:val="1"/>
          <w:bCs w:val="1"/>
          <w:u w:val="single" w:color="auto"/>
          <w:color w:val="auto"/>
        </w:rPr>
        <w:t>Existing Loan Agreement</w:t>
      </w:r>
      <w:r>
        <w:rPr>
          <w:rFonts w:ascii="Arial" w:cs="Arial" w:eastAsia="Arial" w:hAnsi="Arial"/>
          <w:sz w:val="19"/>
          <w:szCs w:val="19"/>
          <w:color w:val="auto"/>
        </w:rPr>
        <w:t>”, the Existing Loan Agreement, as amended by this Agreement and as the same may be further amended, restated, supplemented or otherwise modified from time to time, collectively, the “</w:t>
      </w:r>
      <w:r>
        <w:rPr>
          <w:rFonts w:ascii="Arial" w:cs="Arial" w:eastAsia="Arial" w:hAnsi="Arial"/>
          <w:sz w:val="19"/>
          <w:szCs w:val="19"/>
          <w:b w:val="1"/>
          <w:bCs w:val="1"/>
          <w:u w:val="single" w:color="auto"/>
          <w:color w:val="auto"/>
        </w:rPr>
        <w:t>Loan Agreement</w:t>
      </w:r>
      <w:r>
        <w:rPr>
          <w:rFonts w:ascii="Arial" w:cs="Arial" w:eastAsia="Arial" w:hAnsi="Arial"/>
          <w:sz w:val="19"/>
          <w:szCs w:val="19"/>
          <w:color w:val="auto"/>
        </w:rPr>
        <w:t>”) and other Loan Documents (as defined in the Loan Agreement), Lenders made a loan to Borrower in the amount of up to Eight Hundred Eighty Million Dollars ($880,000,000) (the “</w:t>
      </w:r>
      <w:r>
        <w:rPr>
          <w:rFonts w:ascii="Arial" w:cs="Arial" w:eastAsia="Arial" w:hAnsi="Arial"/>
          <w:sz w:val="19"/>
          <w:szCs w:val="19"/>
          <w:b w:val="1"/>
          <w:bCs w:val="1"/>
          <w:u w:val="single" w:color="auto"/>
          <w:color w:val="auto"/>
        </w:rPr>
        <w:t>Loan</w:t>
      </w:r>
      <w:r>
        <w:rPr>
          <w:rFonts w:ascii="Arial" w:cs="Arial" w:eastAsia="Arial" w:hAnsi="Arial"/>
          <w:sz w:val="19"/>
          <w:szCs w:val="19"/>
          <w:color w:val="auto"/>
        </w:rPr>
        <w:t>”), which Loan bears interest and is permitted to incur fees, commissions or other amounts, based on the LIBO Rate in accordance with the terms of the Loan Agreement or the other Loan Documents. Each capitalized term used and not otherwise defined herein shall have the meaning given to such term in the Loan Agreement.</w:t>
      </w:r>
    </w:p>
    <w:p>
      <w:pPr>
        <w:spacing w:after="0" w:line="221" w:lineRule="exact"/>
        <w:rPr>
          <w:rFonts w:ascii="Arial" w:cs="Arial" w:eastAsia="Arial" w:hAnsi="Arial"/>
          <w:sz w:val="19"/>
          <w:szCs w:val="19"/>
          <w:b w:val="1"/>
          <w:bCs w:val="1"/>
          <w:color w:val="auto"/>
        </w:rPr>
      </w:pPr>
    </w:p>
    <w:p>
      <w:pPr>
        <w:jc w:val="both"/>
        <w:ind w:left="860" w:right="219" w:hanging="651"/>
        <w:spacing w:after="0" w:line="265" w:lineRule="auto"/>
        <w:tabs>
          <w:tab w:leader="none" w:pos="860" w:val="left"/>
        </w:tabs>
        <w:numPr>
          <w:ilvl w:val="0"/>
          <w:numId w:val="26"/>
        </w:numPr>
        <w:rPr>
          <w:rFonts w:ascii="Arial" w:cs="Arial" w:eastAsia="Arial" w:hAnsi="Arial"/>
          <w:sz w:val="21"/>
          <w:szCs w:val="21"/>
          <w:b w:val="1"/>
          <w:bCs w:val="1"/>
          <w:color w:val="auto"/>
        </w:rPr>
      </w:pPr>
      <w:r>
        <w:rPr>
          <w:rFonts w:ascii="Arial" w:cs="Arial" w:eastAsia="Arial" w:hAnsi="Arial"/>
          <w:sz w:val="21"/>
          <w:szCs w:val="21"/>
          <w:color w:val="auto"/>
        </w:rPr>
        <w:t>On account of the LIBO Rate being phased out as a benchmark index for usage in commercial real estate loans, Borrower, Operating Lessee, Administrative Agent and Requisite Lenders have elected to amend certain terms and provisions of the Existing Loan Agreement relating to the usage of the LIBO Rate as a benchmark for the Loan.</w:t>
      </w:r>
    </w:p>
    <w:p>
      <w:pPr>
        <w:spacing w:after="0" w:line="237" w:lineRule="exact"/>
        <w:rPr>
          <w:sz w:val="20"/>
          <w:szCs w:val="20"/>
          <w:color w:val="auto"/>
        </w:rPr>
      </w:pPr>
    </w:p>
    <w:p>
      <w:pPr>
        <w:jc w:val="both"/>
        <w:ind w:left="200" w:right="219"/>
        <w:spacing w:after="0" w:line="338"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foregoing premises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are hereby acknowledged, Requisite Lenders, Operating Lessee, Borrower and Administrative Agent hereby agree as follows:</w:t>
      </w:r>
    </w:p>
    <w:p>
      <w:pPr>
        <w:spacing w:after="0" w:line="170" w:lineRule="exact"/>
        <w:rPr>
          <w:sz w:val="20"/>
          <w:szCs w:val="20"/>
          <w:color w:val="auto"/>
        </w:rPr>
      </w:pPr>
    </w:p>
    <w:p>
      <w:pPr>
        <w:ind w:left="860" w:hanging="651"/>
        <w:spacing w:after="0"/>
        <w:tabs>
          <w:tab w:leader="none" w:pos="8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w:t>
      </w:r>
    </w:p>
    <w:p>
      <w:pPr>
        <w:spacing w:after="0" w:line="287" w:lineRule="exact"/>
        <w:rPr>
          <w:sz w:val="20"/>
          <w:szCs w:val="20"/>
          <w:color w:val="auto"/>
        </w:rPr>
      </w:pPr>
    </w:p>
    <w:p>
      <w:pPr>
        <w:jc w:val="right"/>
        <w:ind w:left="1180" w:right="219"/>
        <w:spacing w:after="0" w:line="293"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u w:val="single" w:color="auto"/>
          <w:color w:val="auto"/>
        </w:rPr>
        <w:t>BENCHMARK REPLACEMENT</w:t>
      </w:r>
      <w:r>
        <w:rPr>
          <w:rFonts w:ascii="Arial" w:cs="Arial" w:eastAsia="Arial" w:hAnsi="Arial"/>
          <w:sz w:val="21"/>
          <w:szCs w:val="21"/>
          <w:color w:val="auto"/>
        </w:rPr>
        <w:t>.  The Existing Loan Agreement and each other applicable Loan Document are each hereby amended and modified to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448945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1" w:right="1440" w:bottom="1440" w:gutter="0" w:footer="0" w:header="0"/>
        </w:sectPr>
      </w:pPr>
    </w:p>
    <w:bookmarkStart w:id="53" w:name="page54"/>
    <w:bookmarkEnd w:id="53"/>
    <w:tbl>
      <w:tblPr>
        <w:tblLayout w:type="fixed"/>
        <w:tblInd w:w="118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6980" w:type="dxa"/>
            <w:vAlign w:val="bottom"/>
            <w:gridSpan w:val="6"/>
          </w:tcPr>
          <w:p>
            <w:pPr>
              <w:spacing w:after="0"/>
              <w:rPr>
                <w:sz w:val="20"/>
                <w:szCs w:val="20"/>
                <w:color w:val="auto"/>
              </w:rPr>
            </w:pPr>
            <w:r>
              <w:rPr>
                <w:rFonts w:ascii="Arial" w:cs="Arial" w:eastAsia="Arial" w:hAnsi="Arial"/>
                <w:sz w:val="22"/>
                <w:szCs w:val="22"/>
                <w:color w:val="auto"/>
                <w:w w:val="90"/>
              </w:rPr>
              <w:t xml:space="preserve">effect to the provisions set forth on Exhibit A hereto, </w:t>
            </w:r>
            <w:r>
              <w:rPr>
                <w:rFonts w:ascii="Arial" w:cs="Arial" w:eastAsia="Arial" w:hAnsi="Arial"/>
                <w:sz w:val="22"/>
                <w:szCs w:val="22"/>
                <w:i w:val="1"/>
                <w:iCs w:val="1"/>
                <w:color w:val="auto"/>
                <w:w w:val="90"/>
              </w:rPr>
              <w:t>mutatis mutandis</w:t>
            </w:r>
            <w:r>
              <w:rPr>
                <w:rFonts w:ascii="Arial" w:cs="Arial" w:eastAsia="Arial" w:hAnsi="Arial"/>
                <w:sz w:val="22"/>
                <w:szCs w:val="22"/>
                <w:color w:val="auto"/>
                <w:w w:val="90"/>
              </w:rPr>
              <w:t>, as of the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6980" w:type="dxa"/>
            <w:vAlign w:val="bottom"/>
            <w:gridSpan w:val="6"/>
          </w:tcPr>
          <w:p>
            <w:pPr>
              <w:spacing w:after="0" w:line="237" w:lineRule="exact"/>
              <w:rPr>
                <w:sz w:val="20"/>
                <w:szCs w:val="20"/>
                <w:color w:val="auto"/>
              </w:rPr>
            </w:pPr>
            <w:r>
              <w:rPr>
                <w:rFonts w:ascii="Arial" w:cs="Arial" w:eastAsia="Arial" w:hAnsi="Arial"/>
                <w:sz w:val="22"/>
                <w:szCs w:val="22"/>
                <w:color w:val="auto"/>
              </w:rPr>
              <w:t>date that all conditions described in Section 2 below are satisfied.</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330"/>
              <w:spacing w:after="0"/>
              <w:rPr>
                <w:sz w:val="20"/>
                <w:szCs w:val="20"/>
                <w:color w:val="auto"/>
              </w:rPr>
            </w:pPr>
            <w:r>
              <w:rPr>
                <w:rFonts w:ascii="Arial" w:cs="Arial" w:eastAsia="Arial" w:hAnsi="Arial"/>
                <w:sz w:val="18"/>
                <w:szCs w:val="18"/>
                <w:color w:val="auto"/>
                <w:w w:val="79"/>
              </w:rPr>
              <w:t>1.2</w:t>
            </w: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640" w:type="dxa"/>
            <w:vAlign w:val="bottom"/>
            <w:vMerge w:val="continue"/>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22"/>
                <w:szCs w:val="22"/>
                <w:b w:val="1"/>
                <w:bCs w:val="1"/>
                <w:color w:val="auto"/>
                <w:w w:val="97"/>
              </w:rPr>
              <w:t>DEFINED TERMS</w:t>
            </w:r>
            <w:r>
              <w:rPr>
                <w:rFonts w:ascii="Arial" w:cs="Arial" w:eastAsia="Arial" w:hAnsi="Arial"/>
                <w:sz w:val="22"/>
                <w:szCs w:val="22"/>
                <w:color w:val="auto"/>
                <w:w w:val="97"/>
              </w:rPr>
              <w:t>.  Section 1.1 of the Existing Loan Agreement is hereby</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40" w:type="dxa"/>
            <w:vAlign w:val="bottom"/>
          </w:tcPr>
          <w:p>
            <w:pPr>
              <w:spacing w:after="0"/>
              <w:rPr>
                <w:sz w:val="23"/>
                <w:szCs w:val="23"/>
                <w:color w:val="auto"/>
              </w:rPr>
            </w:pPr>
          </w:p>
        </w:tc>
        <w:tc>
          <w:tcPr>
            <w:tcW w:w="6980" w:type="dxa"/>
            <w:vAlign w:val="bottom"/>
            <w:gridSpan w:val="6"/>
          </w:tcPr>
          <w:p>
            <w:pPr>
              <w:spacing w:after="0"/>
              <w:rPr>
                <w:sz w:val="20"/>
                <w:szCs w:val="20"/>
                <w:color w:val="auto"/>
              </w:rPr>
            </w:pPr>
            <w:r>
              <w:rPr>
                <w:rFonts w:ascii="Arial" w:cs="Arial" w:eastAsia="Arial" w:hAnsi="Arial"/>
                <w:sz w:val="22"/>
                <w:szCs w:val="22"/>
                <w:color w:val="auto"/>
              </w:rPr>
              <w:t>amended to amend and restate, or to insert as new terms, the following</w:t>
            </w:r>
          </w:p>
        </w:tc>
        <w:tc>
          <w:tcPr>
            <w:tcW w:w="0" w:type="dxa"/>
            <w:vAlign w:val="bottom"/>
          </w:tcPr>
          <w:p>
            <w:pPr>
              <w:spacing w:after="0"/>
              <w:rPr>
                <w:sz w:val="1"/>
                <w:szCs w:val="1"/>
                <w:color w:val="auto"/>
              </w:rPr>
            </w:pPr>
          </w:p>
        </w:tc>
      </w:tr>
      <w:tr>
        <w:trPr>
          <w:trHeight w:val="274"/>
        </w:trPr>
        <w:tc>
          <w:tcPr>
            <w:tcW w:w="640" w:type="dxa"/>
            <w:vAlign w:val="bottom"/>
          </w:tcPr>
          <w:p>
            <w:pPr>
              <w:spacing w:after="0"/>
              <w:rPr>
                <w:sz w:val="23"/>
                <w:szCs w:val="23"/>
                <w:color w:val="auto"/>
              </w:rPr>
            </w:pPr>
          </w:p>
        </w:tc>
        <w:tc>
          <w:tcPr>
            <w:tcW w:w="6980" w:type="dxa"/>
            <w:vAlign w:val="bottom"/>
            <w:gridSpan w:val="6"/>
          </w:tcPr>
          <w:p>
            <w:pPr>
              <w:spacing w:after="0"/>
              <w:rPr>
                <w:sz w:val="20"/>
                <w:szCs w:val="20"/>
                <w:color w:val="auto"/>
              </w:rPr>
            </w:pPr>
            <w:r>
              <w:rPr>
                <w:rFonts w:ascii="Arial" w:cs="Arial" w:eastAsia="Arial" w:hAnsi="Arial"/>
                <w:sz w:val="22"/>
                <w:szCs w:val="22"/>
                <w:color w:val="auto"/>
              </w:rPr>
              <w:t>definitions:</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820" w:right="21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 means any: (a) EEA Financial Institution; or (b) UK Financial Institution.</w:t>
      </w:r>
    </w:p>
    <w:p>
      <w:pPr>
        <w:spacing w:after="0" w:line="242" w:lineRule="exact"/>
        <w:rPr>
          <w:sz w:val="20"/>
          <w:szCs w:val="20"/>
          <w:color w:val="auto"/>
        </w:rPr>
      </w:pPr>
    </w:p>
    <w:p>
      <w:pPr>
        <w:jc w:val="both"/>
        <w:ind w:left="1820" w:right="219"/>
        <w:spacing w:after="0" w:line="27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 means the exercise of any Write-Down and Conversion Powers by the applicable Resolution Authority in respect of any liability of an Affected Financial institution.</w:t>
      </w:r>
    </w:p>
    <w:p>
      <w:pPr>
        <w:spacing w:after="0" w:line="247" w:lineRule="exact"/>
        <w:rPr>
          <w:sz w:val="20"/>
          <w:szCs w:val="20"/>
          <w:color w:val="auto"/>
        </w:rPr>
      </w:pPr>
    </w:p>
    <w:p>
      <w:pPr>
        <w:jc w:val="both"/>
        <w:ind w:left="1820" w:right="219"/>
        <w:spacing w:after="0" w:line="31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 means: (a) with respect to any EEA Member Country implementing Article 55 of Directive 2014/59/EU of the European Parliament and of the Counsel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to the United Kingdom relating to the resolution of unsound or failing banks, investment firms or other financial institutions or their affiliates (other than through liquidation, administration or other insolvency proceedings).</w:t>
      </w:r>
    </w:p>
    <w:p>
      <w:pPr>
        <w:spacing w:after="0" w:line="215" w:lineRule="exact"/>
        <w:rPr>
          <w:sz w:val="20"/>
          <w:szCs w:val="20"/>
          <w:color w:val="auto"/>
        </w:rPr>
      </w:pPr>
    </w:p>
    <w:p>
      <w:pPr>
        <w:jc w:val="both"/>
        <w:ind w:left="1820" w:right="219"/>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(c) an office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(d) any financial institution established in an EEA Member Country which is a subsidiary of an institution described in </w:t>
      </w:r>
      <w:r>
        <w:rPr>
          <w:rFonts w:ascii="Arial" w:cs="Arial" w:eastAsia="Arial" w:hAnsi="Arial"/>
          <w:sz w:val="19"/>
          <w:szCs w:val="19"/>
          <w:u w:val="single" w:color="auto"/>
          <w:color w:val="auto"/>
        </w:rPr>
        <w:t>clauses(a)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219"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 has the meaning given to such term in </w:t>
      </w:r>
      <w:r>
        <w:rPr>
          <w:rFonts w:ascii="Arial" w:cs="Arial" w:eastAsia="Arial" w:hAnsi="Arial"/>
          <w:sz w:val="19"/>
          <w:szCs w:val="19"/>
          <w:u w:val="single" w:color="auto"/>
          <w:color w:val="auto"/>
        </w:rPr>
        <w:t>Section 12.17(a)</w:t>
      </w:r>
      <w:r>
        <w:rPr>
          <w:rFonts w:ascii="Arial" w:cs="Arial" w:eastAsia="Arial" w:hAnsi="Arial"/>
          <w:sz w:val="19"/>
          <w:szCs w:val="19"/>
          <w:color w:val="auto"/>
        </w:rPr>
        <w:t>.</w:t>
      </w:r>
    </w:p>
    <w:p>
      <w:pPr>
        <w:spacing w:after="0" w:line="335" w:lineRule="exact"/>
        <w:rPr>
          <w:sz w:val="20"/>
          <w:szCs w:val="20"/>
          <w:color w:val="auto"/>
        </w:rPr>
      </w:pPr>
    </w:p>
    <w:p>
      <w:pPr>
        <w:jc w:val="both"/>
        <w:ind w:left="1820" w:right="219"/>
        <w:spacing w:after="0" w:line="28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xml:space="preserve">” – has the meaning given to such term in </w:t>
      </w:r>
      <w:r>
        <w:rPr>
          <w:rFonts w:ascii="Arial" w:cs="Arial" w:eastAsia="Arial" w:hAnsi="Arial"/>
          <w:sz w:val="22"/>
          <w:szCs w:val="22"/>
          <w:u w:val="single" w:color="auto"/>
          <w:color w:val="auto"/>
        </w:rPr>
        <w:t>Section 12.17(d)</w:t>
      </w:r>
      <w:r>
        <w:rPr>
          <w:rFonts w:ascii="Arial" w:cs="Arial" w:eastAsia="Arial" w:hAnsi="Arial"/>
          <w:sz w:val="22"/>
          <w:szCs w:val="22"/>
          <w:color w:val="auto"/>
        </w:rPr>
        <w:t>.</w:t>
      </w:r>
    </w:p>
    <w:p>
      <w:pPr>
        <w:spacing w:after="0" w:line="228" w:lineRule="exact"/>
        <w:rPr>
          <w:sz w:val="20"/>
          <w:szCs w:val="20"/>
          <w:color w:val="auto"/>
        </w:rPr>
      </w:pPr>
    </w:p>
    <w:p>
      <w:pPr>
        <w:jc w:val="both"/>
        <w:ind w:left="1820" w:right="21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Class</w:t>
      </w:r>
      <w:r>
        <w:rPr>
          <w:rFonts w:ascii="Arial" w:cs="Arial" w:eastAsia="Arial" w:hAnsi="Arial"/>
          <w:sz w:val="22"/>
          <w:szCs w:val="22"/>
          <w:color w:val="auto"/>
        </w:rPr>
        <w:t xml:space="preserve">” – has the meaning given to such term in </w:t>
      </w:r>
      <w:r>
        <w:rPr>
          <w:rFonts w:ascii="Arial" w:cs="Arial" w:eastAsia="Arial" w:hAnsi="Arial"/>
          <w:sz w:val="22"/>
          <w:szCs w:val="22"/>
          <w:u w:val="single" w:color="auto"/>
          <w:color w:val="auto"/>
        </w:rPr>
        <w:t>Section 12.17(d)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54" w:name="page55"/>
    <w:bookmarkEnd w:id="54"/>
    <w:p>
      <w:pPr>
        <w:jc w:val="both"/>
        <w:ind w:left="1820" w:right="219"/>
        <w:spacing w:after="0" w:line="28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xml:space="preserve">” – has the meaning given to such term in </w:t>
      </w:r>
      <w:r>
        <w:rPr>
          <w:rFonts w:ascii="Arial" w:cs="Arial" w:eastAsia="Arial" w:hAnsi="Arial"/>
          <w:sz w:val="22"/>
          <w:szCs w:val="22"/>
          <w:u w:val="single" w:color="auto"/>
          <w:color w:val="auto"/>
        </w:rPr>
        <w:t>Section 12.17(d)</w:t>
      </w:r>
      <w:r>
        <w:rPr>
          <w:rFonts w:ascii="Arial" w:cs="Arial" w:eastAsia="Arial" w:hAnsi="Arial"/>
          <w:sz w:val="22"/>
          <w:szCs w:val="22"/>
          <w:color w:val="auto"/>
        </w:rPr>
        <w:t>.</w:t>
      </w:r>
    </w:p>
    <w:p>
      <w:pPr>
        <w:spacing w:after="0" w:line="22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Recipient</w:t>
      </w:r>
      <w:r>
        <w:rPr>
          <w:rFonts w:ascii="Arial" w:cs="Arial" w:eastAsia="Arial" w:hAnsi="Arial"/>
          <w:sz w:val="19"/>
          <w:szCs w:val="19"/>
          <w:color w:val="auto"/>
        </w:rPr>
        <w:t xml:space="preserve">” – has the meaning given to such term in </w:t>
      </w:r>
      <w:r>
        <w:rPr>
          <w:rFonts w:ascii="Arial" w:cs="Arial" w:eastAsia="Arial" w:hAnsi="Arial"/>
          <w:sz w:val="19"/>
          <w:szCs w:val="19"/>
          <w:u w:val="single" w:color="auto"/>
          <w:color w:val="auto"/>
        </w:rPr>
        <w:t>Section 12.17(a)</w:t>
      </w:r>
      <w:r>
        <w:rPr>
          <w:rFonts w:ascii="Arial" w:cs="Arial" w:eastAsia="Arial" w:hAnsi="Arial"/>
          <w:sz w:val="19"/>
          <w:szCs w:val="19"/>
          <w:color w:val="auto"/>
        </w:rPr>
        <w:t>.</w:t>
      </w:r>
    </w:p>
    <w:p>
      <w:pPr>
        <w:spacing w:after="0" w:line="335" w:lineRule="exact"/>
        <w:rPr>
          <w:sz w:val="20"/>
          <w:szCs w:val="20"/>
          <w:color w:val="auto"/>
        </w:rPr>
      </w:pPr>
    </w:p>
    <w:p>
      <w:pPr>
        <w:jc w:val="both"/>
        <w:ind w:left="1820" w:right="219"/>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 means an EEA Resolution Authority or, with respect to any UK Financial Institution, a UK Resolution Authority.</w:t>
      </w:r>
    </w:p>
    <w:p>
      <w:pPr>
        <w:spacing w:after="0" w:line="242" w:lineRule="exact"/>
        <w:rPr>
          <w:sz w:val="20"/>
          <w:szCs w:val="20"/>
          <w:color w:val="auto"/>
        </w:rPr>
      </w:pPr>
    </w:p>
    <w:p>
      <w:pPr>
        <w:jc w:val="both"/>
        <w:ind w:left="1820" w:right="219"/>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Party</w:t>
      </w:r>
      <w:r>
        <w:rPr>
          <w:rFonts w:ascii="Arial" w:cs="Arial" w:eastAsia="Arial" w:hAnsi="Arial"/>
          <w:sz w:val="19"/>
          <w:szCs w:val="19"/>
          <w:color w:val="auto"/>
        </w:rPr>
        <w:t>” – means, individually and collectively, (a) Administrative Agent, (b) each Lender, (c) each counterparty to any Secured Interest Rate Protection Agreement, (d) the beneficiaries of each indemnification obligation undertaken by any Borrower or any Loan Party under any Loan Document, and</w:t>
      </w:r>
    </w:p>
    <w:p>
      <w:pPr>
        <w:spacing w:after="0" w:line="1" w:lineRule="exact"/>
        <w:rPr>
          <w:sz w:val="20"/>
          <w:szCs w:val="20"/>
          <w:color w:val="auto"/>
        </w:rPr>
      </w:pPr>
    </w:p>
    <w:p>
      <w:pPr>
        <w:jc w:val="both"/>
        <w:ind w:left="1820" w:right="219" w:firstLine="9"/>
        <w:spacing w:after="0" w:line="270" w:lineRule="auto"/>
        <w:tabs>
          <w:tab w:leader="none" w:pos="2153"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permitted successors and assigns of each of the foregoing; all of the foregoing, respectively, as applicable at any time and as the context may suggest, permit or require.</w:t>
      </w:r>
    </w:p>
    <w:p>
      <w:pPr>
        <w:spacing w:after="0" w:line="249" w:lineRule="exact"/>
        <w:rPr>
          <w:sz w:val="20"/>
          <w:szCs w:val="20"/>
          <w:color w:val="auto"/>
        </w:rPr>
      </w:pPr>
    </w:p>
    <w:p>
      <w:pPr>
        <w:jc w:val="both"/>
        <w:ind w:left="1820" w:right="21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Financial Institution</w:t>
      </w:r>
      <w:r>
        <w:rPr>
          <w:rFonts w:ascii="Arial" w:cs="Arial" w:eastAsia="Arial" w:hAnsi="Arial"/>
          <w:sz w:val="21"/>
          <w:szCs w:val="21"/>
          <w:color w:val="auto"/>
        </w:rPr>
        <w:t>” –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that includes certain credit institutions and investment firms, and certain affiliates of such credit institutions or investment firms.</w:t>
      </w:r>
    </w:p>
    <w:p>
      <w:pPr>
        <w:spacing w:after="0" w:line="242" w:lineRule="exact"/>
        <w:rPr>
          <w:sz w:val="20"/>
          <w:szCs w:val="20"/>
          <w:color w:val="auto"/>
        </w:rPr>
      </w:pPr>
    </w:p>
    <w:p>
      <w:pPr>
        <w:jc w:val="both"/>
        <w:ind w:left="1820" w:right="219"/>
        <w:spacing w:after="0" w:line="27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 means the Bank of England or any other public administrative authority having responsibility for the resolution of any UK Financial Institution.</w:t>
      </w:r>
    </w:p>
    <w:p>
      <w:pPr>
        <w:spacing w:after="0" w:line="247" w:lineRule="exact"/>
        <w:rPr>
          <w:sz w:val="20"/>
          <w:szCs w:val="20"/>
          <w:color w:val="auto"/>
        </w:rPr>
      </w:pPr>
    </w:p>
    <w:p>
      <w:pPr>
        <w:jc w:val="both"/>
        <w:ind w:left="1820" w:right="219"/>
        <w:spacing w:after="0" w:line="30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 means: (a) with respect to any EEA Resolution Authority, the write-down and conversion powers of such EEA Resolution Authority from time to time under the Bail-In Legislation for the applicable EEA Member Country, which write-down and conversion powers are descried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5" w:name="page56"/>
    <w:bookmarkEnd w:id="55"/>
    <w:tbl>
      <w:tblPr>
        <w:tblLayout w:type="fixed"/>
        <w:tblInd w:w="1180" w:type="dxa"/>
        <w:tblCellMar>
          <w:top w:w="0" w:type="dxa"/>
          <w:left w:w="0" w:type="dxa"/>
          <w:bottom w:w="0" w:type="dxa"/>
          <w:right w:w="0" w:type="dxa"/>
        </w:tblCellMar>
      </w:tblPr>
      <w:tr>
        <w:trPr>
          <w:trHeight w:val="253"/>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1.3</w:t>
            </w:r>
          </w:p>
        </w:tc>
        <w:tc>
          <w:tcPr>
            <w:tcW w:w="4680" w:type="dxa"/>
            <w:vAlign w:val="bottom"/>
            <w:gridSpan w:val="8"/>
          </w:tcPr>
          <w:p>
            <w:pPr>
              <w:spacing w:after="0"/>
              <w:rPr>
                <w:sz w:val="20"/>
                <w:szCs w:val="20"/>
                <w:color w:val="auto"/>
              </w:rPr>
            </w:pPr>
            <w:r>
              <w:rPr>
                <w:rFonts w:ascii="Arial" w:cs="Arial" w:eastAsia="Arial" w:hAnsi="Arial"/>
                <w:sz w:val="22"/>
                <w:szCs w:val="22"/>
                <w:b w:val="1"/>
                <w:bCs w:val="1"/>
                <w:color w:val="auto"/>
              </w:rPr>
              <w:t>SECTION 2.10; OPTION TO EXTEND</w:t>
            </w:r>
            <w:r>
              <w:rPr>
                <w:rFonts w:ascii="Arial" w:cs="Arial" w:eastAsia="Arial" w:hAnsi="Arial"/>
                <w:sz w:val="22"/>
                <w:szCs w:val="22"/>
                <w:color w:val="auto"/>
              </w:rPr>
              <w:t>.   The</w:t>
            </w:r>
          </w:p>
        </w:tc>
        <w:tc>
          <w:tcPr>
            <w:tcW w:w="2300" w:type="dxa"/>
            <w:vAlign w:val="bottom"/>
            <w:gridSpan w:val="5"/>
          </w:tcPr>
          <w:p>
            <w:pPr>
              <w:jc w:val="right"/>
              <w:spacing w:after="0"/>
              <w:rPr>
                <w:sz w:val="20"/>
                <w:szCs w:val="20"/>
                <w:color w:val="auto"/>
              </w:rPr>
            </w:pPr>
            <w:r>
              <w:rPr>
                <w:rFonts w:ascii="Arial" w:cs="Arial" w:eastAsia="Arial" w:hAnsi="Arial"/>
                <w:sz w:val="22"/>
                <w:szCs w:val="22"/>
                <w:color w:val="auto"/>
                <w:w w:val="98"/>
              </w:rPr>
              <w:t>penultimate sentence in</w:t>
            </w:r>
          </w:p>
        </w:tc>
      </w:tr>
      <w:tr>
        <w:trPr>
          <w:trHeight w:val="20"/>
        </w:trPr>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6980" w:type="dxa"/>
            <w:vAlign w:val="bottom"/>
            <w:gridSpan w:val="13"/>
          </w:tcPr>
          <w:p>
            <w:pPr>
              <w:spacing w:after="0" w:line="237" w:lineRule="exact"/>
              <w:rPr>
                <w:sz w:val="20"/>
                <w:szCs w:val="20"/>
                <w:color w:val="auto"/>
              </w:rPr>
            </w:pPr>
            <w:r>
              <w:rPr>
                <w:rFonts w:ascii="Arial" w:cs="Arial" w:eastAsia="Arial" w:hAnsi="Arial"/>
                <w:sz w:val="22"/>
                <w:szCs w:val="22"/>
                <w:color w:val="auto"/>
                <w:w w:val="88"/>
              </w:rPr>
              <w:t>Section 2.10(h) of the Existing Loan Agreement is hereby amended and restated</w:t>
            </w:r>
          </w:p>
        </w:tc>
      </w:tr>
      <w:tr>
        <w:trPr>
          <w:trHeight w:val="20"/>
        </w:trPr>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3"/>
        </w:trPr>
        <w:tc>
          <w:tcPr>
            <w:tcW w:w="64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1"/>
              </w:rPr>
              <w:t>in its entirety to read as follows: “The valuation date of such updated Appraisal</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3"/>
              </w:rPr>
              <w:t>shall be within one hundred eighty (180) days of the then applicable Maturity</w:t>
            </w:r>
          </w:p>
        </w:tc>
      </w:tr>
      <w:tr>
        <w:trPr>
          <w:trHeight w:val="274"/>
        </w:trPr>
        <w:tc>
          <w:tcPr>
            <w:tcW w:w="640" w:type="dxa"/>
            <w:vAlign w:val="bottom"/>
          </w:tcPr>
          <w:p>
            <w:pPr>
              <w:spacing w:after="0"/>
              <w:rPr>
                <w:sz w:val="23"/>
                <w:szCs w:val="23"/>
                <w:color w:val="auto"/>
              </w:rPr>
            </w:pPr>
          </w:p>
        </w:tc>
        <w:tc>
          <w:tcPr>
            <w:tcW w:w="4680" w:type="dxa"/>
            <w:vAlign w:val="bottom"/>
            <w:gridSpan w:val="8"/>
          </w:tcPr>
          <w:p>
            <w:pPr>
              <w:spacing w:after="0"/>
              <w:rPr>
                <w:sz w:val="20"/>
                <w:szCs w:val="20"/>
                <w:color w:val="auto"/>
              </w:rPr>
            </w:pPr>
            <w:r>
              <w:rPr>
                <w:rFonts w:ascii="Arial" w:cs="Arial" w:eastAsia="Arial" w:hAnsi="Arial"/>
                <w:sz w:val="22"/>
                <w:szCs w:val="22"/>
                <w:color w:val="auto"/>
              </w:rPr>
              <w:t>Date.”</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63"/>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1.4</w:t>
            </w:r>
          </w:p>
        </w:tc>
        <w:tc>
          <w:tcPr>
            <w:tcW w:w="6980" w:type="dxa"/>
            <w:vAlign w:val="bottom"/>
            <w:gridSpan w:val="13"/>
          </w:tcPr>
          <w:p>
            <w:pPr>
              <w:spacing w:after="0"/>
              <w:rPr>
                <w:sz w:val="20"/>
                <w:szCs w:val="20"/>
                <w:color w:val="auto"/>
              </w:rPr>
            </w:pPr>
            <w:r>
              <w:rPr>
                <w:rFonts w:ascii="Arial" w:cs="Arial" w:eastAsia="Arial" w:hAnsi="Arial"/>
                <w:sz w:val="22"/>
                <w:szCs w:val="22"/>
                <w:b w:val="1"/>
                <w:bCs w:val="1"/>
                <w:color w:val="auto"/>
              </w:rPr>
              <w:t>SECTION 6.32; EEA FINANCIAL INSTITUTIONS</w:t>
            </w:r>
            <w:r>
              <w:rPr>
                <w:rFonts w:ascii="Arial" w:cs="Arial" w:eastAsia="Arial" w:hAnsi="Arial"/>
                <w:sz w:val="22"/>
                <w:szCs w:val="22"/>
                <w:color w:val="auto"/>
              </w:rPr>
              <w:t>.  Section 6.32 of the</w:t>
            </w:r>
          </w:p>
        </w:tc>
      </w:tr>
      <w:tr>
        <w:trPr>
          <w:trHeight w:val="20"/>
        </w:trPr>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9"/>
        </w:trPr>
        <w:tc>
          <w:tcPr>
            <w:tcW w:w="640" w:type="dxa"/>
            <w:vAlign w:val="bottom"/>
          </w:tcPr>
          <w:p>
            <w:pPr>
              <w:spacing w:after="0"/>
              <w:rPr>
                <w:sz w:val="23"/>
                <w:szCs w:val="23"/>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3"/>
              </w:rPr>
              <w:t>Existing Loan Agreement is hereby amended such that each use of the term</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7"/>
              </w:rPr>
              <w:t>“EEA Financial  Institution”  is  hereby  replaced  with  the  term  “Affected</w:t>
            </w:r>
          </w:p>
        </w:tc>
      </w:tr>
      <w:tr>
        <w:trPr>
          <w:trHeight w:val="274"/>
        </w:trPr>
        <w:tc>
          <w:tcPr>
            <w:tcW w:w="640" w:type="dxa"/>
            <w:vAlign w:val="bottom"/>
          </w:tcPr>
          <w:p>
            <w:pPr>
              <w:spacing w:after="0"/>
              <w:rPr>
                <w:sz w:val="23"/>
                <w:szCs w:val="23"/>
                <w:color w:val="auto"/>
              </w:rPr>
            </w:pPr>
          </w:p>
        </w:tc>
        <w:tc>
          <w:tcPr>
            <w:tcW w:w="4680" w:type="dxa"/>
            <w:vAlign w:val="bottom"/>
            <w:gridSpan w:val="8"/>
          </w:tcPr>
          <w:p>
            <w:pPr>
              <w:spacing w:after="0"/>
              <w:rPr>
                <w:sz w:val="20"/>
                <w:szCs w:val="20"/>
                <w:color w:val="auto"/>
              </w:rPr>
            </w:pPr>
            <w:r>
              <w:rPr>
                <w:rFonts w:ascii="Arial" w:cs="Arial" w:eastAsia="Arial" w:hAnsi="Arial"/>
                <w:sz w:val="22"/>
                <w:szCs w:val="22"/>
                <w:color w:val="auto"/>
              </w:rPr>
              <w:t>Financial Institution”.</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76"/>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1.5</w:t>
            </w:r>
          </w:p>
        </w:tc>
        <w:tc>
          <w:tcPr>
            <w:tcW w:w="6980" w:type="dxa"/>
            <w:vAlign w:val="bottom"/>
            <w:tcBorders>
              <w:bottom w:val="single" w:sz="8" w:color="auto"/>
            </w:tcBorders>
            <w:gridSpan w:val="13"/>
          </w:tcPr>
          <w:p>
            <w:pPr>
              <w:spacing w:after="0"/>
              <w:rPr>
                <w:sz w:val="20"/>
                <w:szCs w:val="20"/>
                <w:color w:val="auto"/>
              </w:rPr>
            </w:pPr>
            <w:r>
              <w:rPr>
                <w:rFonts w:ascii="Arial" w:cs="Arial" w:eastAsia="Arial" w:hAnsi="Arial"/>
                <w:sz w:val="22"/>
                <w:szCs w:val="22"/>
                <w:b w:val="1"/>
                <w:bCs w:val="1"/>
                <w:color w:val="auto"/>
              </w:rPr>
              <w:t>SECTION 9.33(b); DSCR AND DEBT YIELD REPORTING; CASH</w:t>
            </w:r>
          </w:p>
        </w:tc>
      </w:tr>
      <w:tr>
        <w:trPr>
          <w:trHeight w:val="237"/>
        </w:trPr>
        <w:tc>
          <w:tcPr>
            <w:tcW w:w="640" w:type="dxa"/>
            <w:vAlign w:val="bottom"/>
          </w:tcPr>
          <w:p>
            <w:pPr>
              <w:spacing w:after="0"/>
              <w:rPr>
                <w:sz w:val="20"/>
                <w:szCs w:val="20"/>
                <w:color w:val="auto"/>
              </w:rPr>
            </w:pPr>
          </w:p>
        </w:tc>
        <w:tc>
          <w:tcPr>
            <w:tcW w:w="6980" w:type="dxa"/>
            <w:vAlign w:val="bottom"/>
            <w:gridSpan w:val="13"/>
          </w:tcPr>
          <w:p>
            <w:pPr>
              <w:spacing w:after="0" w:line="237" w:lineRule="exact"/>
              <w:rPr>
                <w:sz w:val="20"/>
                <w:szCs w:val="20"/>
                <w:color w:val="auto"/>
              </w:rPr>
            </w:pPr>
            <w:r>
              <w:rPr>
                <w:rFonts w:ascii="Arial" w:cs="Arial" w:eastAsia="Arial" w:hAnsi="Arial"/>
                <w:sz w:val="22"/>
                <w:szCs w:val="22"/>
                <w:b w:val="1"/>
                <w:bCs w:val="1"/>
                <w:color w:val="auto"/>
                <w:w w:val="91"/>
              </w:rPr>
              <w:t>SWEEP</w:t>
            </w:r>
            <w:r>
              <w:rPr>
                <w:rFonts w:ascii="Arial" w:cs="Arial" w:eastAsia="Arial" w:hAnsi="Arial"/>
                <w:sz w:val="22"/>
                <w:szCs w:val="22"/>
                <w:color w:val="auto"/>
                <w:w w:val="91"/>
              </w:rPr>
              <w:t>. The last sentence of Section 9.33(b) of the Existing Loan Agreement</w:t>
            </w:r>
          </w:p>
        </w:tc>
      </w:tr>
      <w:tr>
        <w:trPr>
          <w:trHeight w:val="20"/>
        </w:trPr>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69"/>
        </w:trPr>
        <w:tc>
          <w:tcPr>
            <w:tcW w:w="640" w:type="dxa"/>
            <w:vAlign w:val="bottom"/>
          </w:tcPr>
          <w:p>
            <w:pPr>
              <w:spacing w:after="0"/>
              <w:rPr>
                <w:sz w:val="23"/>
                <w:szCs w:val="23"/>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9"/>
              </w:rPr>
              <w:t>(which,  for  reference,  begins  with  “Following  the  twelve  (12)  month</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88"/>
              </w:rPr>
              <w:t>anniversary of the Cash Flow Sweep Release Event….”) is hereby amended and</w:t>
            </w:r>
          </w:p>
        </w:tc>
      </w:tr>
      <w:tr>
        <w:trPr>
          <w:trHeight w:val="274"/>
        </w:trPr>
        <w:tc>
          <w:tcPr>
            <w:tcW w:w="640" w:type="dxa"/>
            <w:vAlign w:val="bottom"/>
          </w:tcPr>
          <w:p>
            <w:pPr>
              <w:spacing w:after="0"/>
              <w:rPr>
                <w:sz w:val="23"/>
                <w:szCs w:val="23"/>
                <w:color w:val="auto"/>
              </w:rPr>
            </w:pPr>
          </w:p>
        </w:tc>
        <w:tc>
          <w:tcPr>
            <w:tcW w:w="4680" w:type="dxa"/>
            <w:vAlign w:val="bottom"/>
            <w:gridSpan w:val="8"/>
          </w:tcPr>
          <w:p>
            <w:pPr>
              <w:spacing w:after="0"/>
              <w:rPr>
                <w:sz w:val="20"/>
                <w:szCs w:val="20"/>
                <w:color w:val="auto"/>
              </w:rPr>
            </w:pPr>
            <w:r>
              <w:rPr>
                <w:rFonts w:ascii="Arial" w:cs="Arial" w:eastAsia="Arial" w:hAnsi="Arial"/>
                <w:sz w:val="22"/>
                <w:szCs w:val="22"/>
                <w:color w:val="auto"/>
              </w:rPr>
              <w:t>restated in its entirety to read as follows:</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95"/>
        </w:trPr>
        <w:tc>
          <w:tcPr>
            <w:tcW w:w="640" w:type="dxa"/>
            <w:vAlign w:val="bottom"/>
          </w:tcPr>
          <w:p>
            <w:pPr>
              <w:spacing w:after="0"/>
              <w:rPr>
                <w:sz w:val="24"/>
                <w:szCs w:val="24"/>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4"/>
              </w:rPr>
              <w:t>“If Borrower exercises the First Option to Extend (and satisfies all extension</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6"/>
              </w:rPr>
              <w:t>conditions required in connection therewith), on the Original Maturity Date,</w:t>
            </w:r>
          </w:p>
        </w:tc>
      </w:tr>
      <w:tr>
        <w:trPr>
          <w:trHeight w:val="270"/>
        </w:trPr>
        <w:tc>
          <w:tcPr>
            <w:tcW w:w="640" w:type="dxa"/>
            <w:vAlign w:val="bottom"/>
          </w:tcPr>
          <w:p>
            <w:pPr>
              <w:spacing w:after="0"/>
              <w:rPr>
                <w:sz w:val="23"/>
                <w:szCs w:val="23"/>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3"/>
              </w:rPr>
              <w:t>Administrative Agent shall disburse the entire remaining amount of Minimum</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0"/>
              </w:rPr>
              <w:t>Retained Swept Funds to Borrower and Operating Lessee, or, at the election of</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2"/>
              </w:rPr>
              <w:t>Borrower or Operating Lessee, to be applied against the outstanding principal</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2"/>
              </w:rPr>
              <w:t>balance of the Loan, it being agreed that, there shall be no prepayment fee or</w:t>
            </w:r>
          </w:p>
        </w:tc>
      </w:tr>
      <w:tr>
        <w:trPr>
          <w:trHeight w:val="256"/>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6"/>
              </w:rPr>
              <w:t>penalty  (including,  without  limitation,  the  Spread  Maintenance  Fee)  in</w:t>
            </w:r>
          </w:p>
        </w:tc>
      </w:tr>
      <w:tr>
        <w:trPr>
          <w:trHeight w:val="274"/>
        </w:trPr>
        <w:tc>
          <w:tcPr>
            <w:tcW w:w="640" w:type="dxa"/>
            <w:vAlign w:val="bottom"/>
          </w:tcPr>
          <w:p>
            <w:pPr>
              <w:spacing w:after="0"/>
              <w:rPr>
                <w:sz w:val="23"/>
                <w:szCs w:val="23"/>
                <w:color w:val="auto"/>
              </w:rPr>
            </w:pPr>
          </w:p>
        </w:tc>
        <w:tc>
          <w:tcPr>
            <w:tcW w:w="4680" w:type="dxa"/>
            <w:vAlign w:val="bottom"/>
            <w:gridSpan w:val="8"/>
          </w:tcPr>
          <w:p>
            <w:pPr>
              <w:spacing w:after="0"/>
              <w:rPr>
                <w:sz w:val="20"/>
                <w:szCs w:val="20"/>
                <w:color w:val="auto"/>
              </w:rPr>
            </w:pPr>
            <w:r>
              <w:rPr>
                <w:rFonts w:ascii="Arial" w:cs="Arial" w:eastAsia="Arial" w:hAnsi="Arial"/>
                <w:sz w:val="22"/>
                <w:szCs w:val="22"/>
                <w:color w:val="auto"/>
              </w:rPr>
              <w:t>connection therewith.”</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63"/>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1.6</w:t>
            </w:r>
          </w:p>
        </w:tc>
        <w:tc>
          <w:tcPr>
            <w:tcW w:w="6980" w:type="dxa"/>
            <w:vAlign w:val="bottom"/>
            <w:tcBorders>
              <w:bottom w:val="single" w:sz="8" w:color="auto"/>
            </w:tcBorders>
            <w:gridSpan w:val="13"/>
          </w:tcPr>
          <w:p>
            <w:pPr>
              <w:spacing w:after="0"/>
              <w:rPr>
                <w:sz w:val="20"/>
                <w:szCs w:val="20"/>
                <w:color w:val="auto"/>
              </w:rPr>
            </w:pPr>
            <w:r>
              <w:rPr>
                <w:rFonts w:ascii="Arial" w:cs="Arial" w:eastAsia="Arial" w:hAnsi="Arial"/>
                <w:sz w:val="22"/>
                <w:szCs w:val="22"/>
                <w:b w:val="1"/>
                <w:bCs w:val="1"/>
                <w:color w:val="auto"/>
                <w:w w:val="99"/>
              </w:rPr>
              <w:t>SECTION 13.27; ACKNOWLEDGEMENT AND CONSENT TO BAIL-IN</w:t>
            </w:r>
          </w:p>
        </w:tc>
      </w:tr>
      <w:tr>
        <w:trPr>
          <w:trHeight w:val="236"/>
        </w:trPr>
        <w:tc>
          <w:tcPr>
            <w:tcW w:w="640" w:type="dxa"/>
            <w:vAlign w:val="bottom"/>
          </w:tcPr>
          <w:p>
            <w:pPr>
              <w:spacing w:after="0"/>
              <w:rPr>
                <w:sz w:val="20"/>
                <w:szCs w:val="20"/>
                <w:color w:val="auto"/>
              </w:rPr>
            </w:pPr>
          </w:p>
        </w:tc>
        <w:tc>
          <w:tcPr>
            <w:tcW w:w="6980" w:type="dxa"/>
            <w:vAlign w:val="bottom"/>
            <w:gridSpan w:val="13"/>
          </w:tcPr>
          <w:p>
            <w:pPr>
              <w:spacing w:after="0" w:line="237" w:lineRule="exact"/>
              <w:rPr>
                <w:sz w:val="20"/>
                <w:szCs w:val="20"/>
                <w:color w:val="auto"/>
              </w:rPr>
            </w:pPr>
            <w:r>
              <w:rPr>
                <w:rFonts w:ascii="Arial" w:cs="Arial" w:eastAsia="Arial" w:hAnsi="Arial"/>
                <w:sz w:val="22"/>
                <w:szCs w:val="22"/>
                <w:b w:val="1"/>
                <w:bCs w:val="1"/>
                <w:color w:val="auto"/>
              </w:rPr>
              <w:t>OF AFFECTED FINANCIAL INSTITUTIONS</w:t>
            </w:r>
            <w:r>
              <w:rPr>
                <w:rFonts w:ascii="Arial" w:cs="Arial" w:eastAsia="Arial" w:hAnsi="Arial"/>
                <w:sz w:val="22"/>
                <w:szCs w:val="22"/>
                <w:color w:val="auto"/>
              </w:rPr>
              <w:t>.   Section  13.27  of  the</w:t>
            </w:r>
          </w:p>
        </w:tc>
      </w:tr>
      <w:tr>
        <w:trPr>
          <w:trHeight w:val="20"/>
        </w:trPr>
        <w:tc>
          <w:tcPr>
            <w:tcW w:w="640" w:type="dxa"/>
            <w:vAlign w:val="bottom"/>
          </w:tcPr>
          <w:p>
            <w:pPr>
              <w:spacing w:after="0" w:line="20" w:lineRule="exact"/>
              <w:rPr>
                <w:sz w:val="1"/>
                <w:szCs w:val="1"/>
                <w:color w:val="auto"/>
              </w:rPr>
            </w:pPr>
          </w:p>
        </w:tc>
        <w:tc>
          <w:tcPr>
            <w:tcW w:w="4440" w:type="dxa"/>
            <w:vAlign w:val="bottom"/>
            <w:gridSpan w:val="6"/>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69"/>
        </w:trPr>
        <w:tc>
          <w:tcPr>
            <w:tcW w:w="640" w:type="dxa"/>
            <w:vAlign w:val="bottom"/>
          </w:tcPr>
          <w:p>
            <w:pPr>
              <w:spacing w:after="0"/>
              <w:rPr>
                <w:sz w:val="23"/>
                <w:szCs w:val="23"/>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3"/>
              </w:rPr>
              <w:t>Existing Loan Agreement is hereby amended such that each use of the term</w:t>
            </w:r>
          </w:p>
        </w:tc>
      </w:tr>
      <w:tr>
        <w:trPr>
          <w:trHeight w:val="257"/>
        </w:trPr>
        <w:tc>
          <w:tcPr>
            <w:tcW w:w="640" w:type="dxa"/>
            <w:vAlign w:val="bottom"/>
          </w:tcPr>
          <w:p>
            <w:pPr>
              <w:spacing w:after="0"/>
              <w:rPr>
                <w:sz w:val="22"/>
                <w:szCs w:val="22"/>
                <w:color w:val="auto"/>
              </w:rPr>
            </w:pPr>
          </w:p>
        </w:tc>
        <w:tc>
          <w:tcPr>
            <w:tcW w:w="6980" w:type="dxa"/>
            <w:vAlign w:val="bottom"/>
            <w:gridSpan w:val="13"/>
          </w:tcPr>
          <w:p>
            <w:pPr>
              <w:spacing w:after="0"/>
              <w:rPr>
                <w:sz w:val="20"/>
                <w:szCs w:val="20"/>
                <w:color w:val="auto"/>
              </w:rPr>
            </w:pPr>
            <w:r>
              <w:rPr>
                <w:rFonts w:ascii="Arial" w:cs="Arial" w:eastAsia="Arial" w:hAnsi="Arial"/>
                <w:sz w:val="22"/>
                <w:szCs w:val="22"/>
                <w:color w:val="auto"/>
                <w:w w:val="97"/>
              </w:rPr>
              <w:t>“EEA Financial  Institution”  is  hereby  replaced  with  the  term  “Affected</w:t>
            </w:r>
          </w:p>
        </w:tc>
      </w:tr>
      <w:tr>
        <w:trPr>
          <w:trHeight w:val="274"/>
        </w:trPr>
        <w:tc>
          <w:tcPr>
            <w:tcW w:w="640" w:type="dxa"/>
            <w:vAlign w:val="bottom"/>
          </w:tcPr>
          <w:p>
            <w:pPr>
              <w:spacing w:after="0"/>
              <w:rPr>
                <w:sz w:val="23"/>
                <w:szCs w:val="23"/>
                <w:color w:val="auto"/>
              </w:rPr>
            </w:pPr>
          </w:p>
        </w:tc>
        <w:tc>
          <w:tcPr>
            <w:tcW w:w="4680" w:type="dxa"/>
            <w:vAlign w:val="bottom"/>
            <w:gridSpan w:val="8"/>
          </w:tcPr>
          <w:p>
            <w:pPr>
              <w:spacing w:after="0"/>
              <w:rPr>
                <w:sz w:val="20"/>
                <w:szCs w:val="20"/>
                <w:color w:val="auto"/>
              </w:rPr>
            </w:pPr>
            <w:r>
              <w:rPr>
                <w:rFonts w:ascii="Arial" w:cs="Arial" w:eastAsia="Arial" w:hAnsi="Arial"/>
                <w:sz w:val="22"/>
                <w:szCs w:val="22"/>
                <w:color w:val="auto"/>
              </w:rPr>
              <w:t>Financial Institution”.</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6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1.7</w:t>
            </w:r>
          </w:p>
        </w:tc>
        <w:tc>
          <w:tcPr>
            <w:tcW w:w="4680" w:type="dxa"/>
            <w:vAlign w:val="bottom"/>
            <w:gridSpan w:val="8"/>
          </w:tcPr>
          <w:p>
            <w:pPr>
              <w:spacing w:after="0"/>
              <w:rPr>
                <w:sz w:val="20"/>
                <w:szCs w:val="20"/>
                <w:color w:val="auto"/>
              </w:rPr>
            </w:pPr>
            <w:r>
              <w:rPr>
                <w:rFonts w:ascii="Arial" w:cs="Arial" w:eastAsia="Arial" w:hAnsi="Arial"/>
                <w:sz w:val="22"/>
                <w:szCs w:val="22"/>
                <w:b w:val="1"/>
                <w:bCs w:val="1"/>
                <w:color w:val="auto"/>
              </w:rPr>
              <w:t>SECTION 12.17; ERRONEOUS PAYMENTS</w:t>
            </w:r>
            <w:r>
              <w:rPr>
                <w:rFonts w:ascii="Arial" w:cs="Arial" w:eastAsia="Arial" w:hAnsi="Arial"/>
                <w:sz w:val="22"/>
                <w:szCs w:val="22"/>
                <w:color w:val="auto"/>
              </w:rPr>
              <w:t>.</w:t>
            </w:r>
          </w:p>
        </w:tc>
        <w:tc>
          <w:tcPr>
            <w:tcW w:w="2300" w:type="dxa"/>
            <w:vAlign w:val="bottom"/>
            <w:gridSpan w:val="5"/>
          </w:tcPr>
          <w:p>
            <w:pPr>
              <w:jc w:val="right"/>
              <w:spacing w:after="0"/>
              <w:rPr>
                <w:sz w:val="20"/>
                <w:szCs w:val="20"/>
                <w:color w:val="auto"/>
              </w:rPr>
            </w:pPr>
            <w:r>
              <w:rPr>
                <w:rFonts w:ascii="Arial" w:cs="Arial" w:eastAsia="Arial" w:hAnsi="Arial"/>
                <w:sz w:val="22"/>
                <w:szCs w:val="22"/>
                <w:color w:val="auto"/>
              </w:rPr>
              <w:t>The following is hereby</w:t>
            </w:r>
          </w:p>
        </w:tc>
      </w:tr>
      <w:tr>
        <w:trPr>
          <w:trHeight w:val="20"/>
        </w:trPr>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 xml:space="preserve">inserted into the Existing Loan Agreement as a new </w:t>
      </w:r>
      <w:r>
        <w:rPr>
          <w:rFonts w:ascii="Arial" w:cs="Arial" w:eastAsia="Arial" w:hAnsi="Arial"/>
          <w:sz w:val="22"/>
          <w:szCs w:val="22"/>
          <w:u w:val="single" w:color="auto"/>
          <w:color w:val="auto"/>
        </w:rPr>
        <w:t>Section 12.17</w:t>
      </w:r>
      <w:r>
        <w:rPr>
          <w:rFonts w:ascii="Arial" w:cs="Arial" w:eastAsia="Arial" w:hAnsi="Arial"/>
          <w:sz w:val="22"/>
          <w:szCs w:val="22"/>
          <w:color w:val="auto"/>
        </w:rPr>
        <w:t>:</w:t>
      </w:r>
    </w:p>
    <w:p>
      <w:pPr>
        <w:spacing w:after="0" w:line="268" w:lineRule="exact"/>
        <w:rPr>
          <w:sz w:val="20"/>
          <w:szCs w:val="20"/>
          <w:color w:val="auto"/>
        </w:rPr>
      </w:pPr>
    </w:p>
    <w:p>
      <w:pPr>
        <w:ind w:left="1820"/>
        <w:spacing w:after="0"/>
        <w:tabs>
          <w:tab w:leader="none" w:pos="2780" w:val="left"/>
        </w:tabs>
        <w:rPr>
          <w:sz w:val="20"/>
          <w:szCs w:val="20"/>
          <w:color w:val="auto"/>
        </w:rPr>
      </w:pPr>
      <w:r>
        <w:rPr>
          <w:rFonts w:ascii="Arial" w:cs="Arial" w:eastAsia="Arial" w:hAnsi="Arial"/>
          <w:sz w:val="22"/>
          <w:szCs w:val="22"/>
          <w:color w:val="auto"/>
        </w:rPr>
        <w:t>“12.17</w:t>
      </w:r>
      <w:r>
        <w:rPr>
          <w:sz w:val="20"/>
          <w:szCs w:val="20"/>
          <w:color w:val="auto"/>
        </w:rPr>
        <w:tab/>
      </w:r>
      <w:r>
        <w:rPr>
          <w:rFonts w:ascii="Arial" w:cs="Arial" w:eastAsia="Arial" w:hAnsi="Arial"/>
          <w:sz w:val="22"/>
          <w:szCs w:val="22"/>
          <w:b w:val="1"/>
          <w:bCs w:val="1"/>
          <w:u w:val="single" w:color="auto"/>
          <w:color w:val="auto"/>
        </w:rPr>
        <w:t>ERRONEOUS PAYMENTS</w:t>
      </w:r>
      <w:r>
        <w:rPr>
          <w:rFonts w:ascii="Arial" w:cs="Arial" w:eastAsia="Arial" w:hAnsi="Arial"/>
          <w:sz w:val="22"/>
          <w:szCs w:val="22"/>
          <w:color w:val="auto"/>
        </w:rPr>
        <w:t>.</w:t>
      </w:r>
    </w:p>
    <w:p>
      <w:pPr>
        <w:spacing w:after="0" w:line="27" w:lineRule="exact"/>
        <w:rPr>
          <w:sz w:val="20"/>
          <w:szCs w:val="20"/>
          <w:color w:val="auto"/>
        </w:rPr>
      </w:pPr>
    </w:p>
    <w:p>
      <w:pPr>
        <w:jc w:val="both"/>
        <w:ind w:left="1820" w:right="219" w:firstLine="657"/>
        <w:spacing w:after="0" w:line="288" w:lineRule="auto"/>
        <w:tabs>
          <w:tab w:leader="none" w:pos="2792" w:val="left"/>
        </w:tabs>
        <w:numPr>
          <w:ilvl w:val="0"/>
          <w:numId w:val="29"/>
        </w:numPr>
        <w:rPr>
          <w:rFonts w:ascii="Arial" w:cs="Arial" w:eastAsia="Arial" w:hAnsi="Arial"/>
          <w:sz w:val="18"/>
          <w:szCs w:val="18"/>
          <w:color w:val="auto"/>
        </w:rPr>
      </w:pPr>
      <w:r>
        <w:rPr>
          <w:rFonts w:ascii="Arial" w:cs="Arial" w:eastAsia="Arial" w:hAnsi="Arial"/>
          <w:sz w:val="19"/>
          <w:szCs w:val="19"/>
          <w:color w:val="auto"/>
        </w:rPr>
        <w:t>Each Lender, each other Secured Party and any other party hereto hereby severally agrees that if (i) Administrative Agent notifies (which such notice shall be conclusive absent manifest error) such Lender or any other Secured Party (or the Lender Affiliate of a Secured Party) or any other Person that has received funds from Administrative Agent or any of its Affiliates, either for its own account or on behalf of a Lender or other Secured Party (each such recipient,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that Administrative Agent has determined in its sole discretion that any funds received by such Payment Recipient were erroneously transmitted to, or otherwise erroneously or mistakenly received by, such Payment Recipient (whether or not known to such Payment Recipient)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600710</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56" w:name="page57"/>
    <w:bookmarkEnd w:id="56"/>
    <w:p>
      <w:pPr>
        <w:jc w:val="both"/>
        <w:ind w:left="1820" w:right="219" w:firstLine="9"/>
        <w:spacing w:after="0" w:line="285" w:lineRule="auto"/>
        <w:tabs>
          <w:tab w:leader="none" w:pos="2142"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any Payment Recipient receives any payment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as applicable, (y) that was not preceded or accompanied by a notice of payment, prepayment or repayment sent by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12.17(a)</w:t>
      </w:r>
      <w:r>
        <w:rPr>
          <w:rFonts w:ascii="Arial" w:cs="Arial" w:eastAsia="Arial" w:hAnsi="Arial"/>
          <w:sz w:val="19"/>
          <w:szCs w:val="19"/>
          <w:color w:val="auto"/>
        </w:rPr>
        <w:t>,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then, in each case, such Payment Recipient is deemed to have knowledge of such error at the time of its receipt of such Erroneous Payment; provided that nothing in this Section shall require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Administrative Agent for the return of any Erroneous Payments, including without limitation waiver of any defense based on “discharge for value” or any similar doctrine.</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1820" w:right="219" w:firstLine="657"/>
        <w:spacing w:after="0" w:line="259" w:lineRule="auto"/>
        <w:tabs>
          <w:tab w:leader="none" w:pos="2792" w:val="left"/>
        </w:tabs>
        <w:numPr>
          <w:ilvl w:val="1"/>
          <w:numId w:val="30"/>
        </w:numPr>
        <w:rPr>
          <w:rFonts w:ascii="Arial" w:cs="Arial" w:eastAsia="Arial" w:hAnsi="Arial"/>
          <w:sz w:val="20"/>
          <w:szCs w:val="20"/>
          <w:color w:val="auto"/>
        </w:rPr>
      </w:pPr>
      <w:r>
        <w:rPr>
          <w:rFonts w:ascii="Arial" w:cs="Arial" w:eastAsia="Arial" w:hAnsi="Arial"/>
          <w:sz w:val="22"/>
          <w:szCs w:val="22"/>
          <w:color w:val="auto"/>
        </w:rPr>
        <w:t xml:space="preserve">Without limiting the immediately preceding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each Payment Recipient agrees that, in the case of </w:t>
      </w:r>
      <w:r>
        <w:rPr>
          <w:rFonts w:ascii="Arial" w:cs="Arial" w:eastAsia="Arial" w:hAnsi="Arial"/>
          <w:sz w:val="22"/>
          <w:szCs w:val="22"/>
          <w:u w:val="single" w:color="auto"/>
          <w:color w:val="auto"/>
        </w:rPr>
        <w:t>clause (a)(ii)</w:t>
      </w:r>
      <w:r>
        <w:rPr>
          <w:rFonts w:ascii="Arial" w:cs="Arial" w:eastAsia="Arial" w:hAnsi="Arial"/>
          <w:sz w:val="22"/>
          <w:szCs w:val="22"/>
          <w:color w:val="auto"/>
        </w:rPr>
        <w:t xml:space="preserve"> above, it shall promptly notify Administrative Agent in writing of such occurrence.</w:t>
      </w:r>
    </w:p>
    <w:p>
      <w:pPr>
        <w:spacing w:after="0" w:line="180" w:lineRule="exact"/>
        <w:rPr>
          <w:rFonts w:ascii="Arial" w:cs="Arial" w:eastAsia="Arial" w:hAnsi="Arial"/>
          <w:sz w:val="20"/>
          <w:szCs w:val="20"/>
          <w:color w:val="auto"/>
        </w:rPr>
      </w:pPr>
    </w:p>
    <w:p>
      <w:pPr>
        <w:jc w:val="both"/>
        <w:ind w:left="1820" w:right="219" w:firstLine="657"/>
        <w:spacing w:after="0" w:line="287" w:lineRule="auto"/>
        <w:tabs>
          <w:tab w:leader="none" w:pos="2792" w:val="left"/>
        </w:tabs>
        <w:numPr>
          <w:ilvl w:val="1"/>
          <w:numId w:val="30"/>
        </w:numPr>
        <w:rPr>
          <w:rFonts w:ascii="Arial" w:cs="Arial" w:eastAsia="Arial" w:hAnsi="Arial"/>
          <w:sz w:val="18"/>
          <w:szCs w:val="18"/>
          <w:color w:val="auto"/>
        </w:rPr>
      </w:pPr>
      <w:r>
        <w:rPr>
          <w:rFonts w:ascii="Arial" w:cs="Arial" w:eastAsia="Arial" w:hAnsi="Arial"/>
          <w:sz w:val="19"/>
          <w:szCs w:val="19"/>
          <w:color w:val="auto"/>
        </w:rPr>
        <w:t xml:space="preserve">In the case of either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above, such Erroneous Payment shall at all times remain the property of Administrative Agent and shall be segregated by the Payment Recipient and held in trust for the benefit of Administrative Agent, and upon demand from Administrative Agent such Payment Recipient shall (or, shall cause any Person who received any portion of an Erroneous Payment on its behalf to), promptly, but in all events no later than two (2) Business Days thereafter, return to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Administrative Agent at the Overnight Rate.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820" w:right="219" w:firstLine="657"/>
        <w:spacing w:after="0" w:line="297" w:lineRule="auto"/>
        <w:tabs>
          <w:tab w:leader="none" w:pos="2792" w:val="left"/>
        </w:tabs>
        <w:numPr>
          <w:ilvl w:val="1"/>
          <w:numId w:val="30"/>
        </w:numPr>
        <w:rPr>
          <w:rFonts w:ascii="Arial" w:cs="Arial" w:eastAsia="Arial" w:hAnsi="Arial"/>
          <w:sz w:val="18"/>
          <w:szCs w:val="18"/>
          <w:color w:val="auto"/>
        </w:rPr>
      </w:pPr>
      <w:r>
        <w:rPr>
          <w:rFonts w:ascii="Arial" w:cs="Arial" w:eastAsia="Arial" w:hAnsi="Arial"/>
          <w:sz w:val="19"/>
          <w:szCs w:val="19"/>
          <w:color w:val="auto"/>
        </w:rPr>
        <w:t xml:space="preserve">In the event that an Erroneous Payment (or portion thereof) is not recovered by Administrative Agent for any reason, after demand therefor by Administrative Agent in accordance with immediately preceding </w:t>
      </w:r>
      <w:r>
        <w:rPr>
          <w:rFonts w:ascii="Arial" w:cs="Arial" w:eastAsia="Arial" w:hAnsi="Arial"/>
          <w:sz w:val="19"/>
          <w:szCs w:val="19"/>
          <w:u w:val="single" w:color="auto"/>
          <w:color w:val="auto"/>
        </w:rPr>
        <w:t>clause (c)</w:t>
      </w:r>
      <w:r>
        <w:rPr>
          <w:rFonts w:ascii="Arial" w:cs="Arial" w:eastAsia="Arial" w:hAnsi="Arial"/>
          <w:sz w:val="19"/>
          <w:szCs w:val="19"/>
          <w:color w:val="auto"/>
        </w:rPr>
        <w:t>, from any Lender that is a Payment Recipient or an Affiliate of a Payment Recipient (such unrecovered amount as to such Lender, an “</w:t>
      </w:r>
      <w:r>
        <w:rPr>
          <w:rFonts w:ascii="Arial" w:cs="Arial" w:eastAsia="Arial" w:hAnsi="Arial"/>
          <w:sz w:val="19"/>
          <w:szCs w:val="19"/>
          <w:u w:val="single" w:color="auto"/>
          <w:color w:val="auto"/>
        </w:rPr>
        <w:t>Erroneous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595630</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7" w:name="page58"/>
    <w:bookmarkEnd w:id="57"/>
    <w:p>
      <w:pPr>
        <w:jc w:val="both"/>
        <w:ind w:left="1820" w:right="219"/>
        <w:spacing w:after="0" w:line="285" w:lineRule="auto"/>
        <w:rPr>
          <w:sz w:val="20"/>
          <w:szCs w:val="20"/>
          <w:color w:val="auto"/>
        </w:rPr>
      </w:pPr>
      <w:r>
        <w:rPr>
          <w:rFonts w:ascii="Arial" w:cs="Arial" w:eastAsia="Arial" w:hAnsi="Arial"/>
          <w:sz w:val="19"/>
          <w:szCs w:val="19"/>
          <w:u w:val="single" w:color="auto"/>
          <w:color w:val="auto"/>
        </w:rPr>
        <w:t>Return Deficiency</w:t>
      </w:r>
      <w:r>
        <w:rPr>
          <w:rFonts w:ascii="Arial" w:cs="Arial" w:eastAsia="Arial" w:hAnsi="Arial"/>
          <w:sz w:val="19"/>
          <w:szCs w:val="19"/>
          <w:color w:val="auto"/>
        </w:rPr>
        <w:t>”), then at the sole discretion of Administrative Agent and upon Administrative Agent’s written notice to such Lender (i) such Lender shall be deemed to have made a cashless assignment of a portion of its Loan (but not its Commitments) in the amount of such portion to Administrative Agent or, at the option of Administrative Agent, Administrative Agent’s applicable lending affiliate, in an amount that is equal to the Erroneous Payment Return Deficiency (or such lesser amount as Administrative Agent may specify) (such assignment of the Loan (but not Commitments), the “</w:t>
      </w:r>
      <w:r>
        <w:rPr>
          <w:rFonts w:ascii="Arial" w:cs="Arial" w:eastAsia="Arial" w:hAnsi="Arial"/>
          <w:sz w:val="19"/>
          <w:szCs w:val="19"/>
          <w:u w:val="single" w:color="auto"/>
          <w:color w:val="auto"/>
        </w:rPr>
        <w:t>Erroneous Payment Deficiency</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plus any accrued and unpaid interest on such assigned amount, without further consent or approval of any party hereto and without any payment by Administrative Agent or its applicable lending affiliate as the assignee of such Erroneous Payment Deficiency Assignment. Without limitation of its rights hereunder, Administrative Agent may cancel any Erroneous Payment Deficiency Assignment at any time by written notice to the applicable assigning Lender and upon such revocation the portion of the Loan assigned pursuant to such Erroneous Payment Deficiency Assignment shall be reassigned to such Lender without any requirement for payment or other consideration. The parties hereto acknowledge and agree that (1) any assignment contemplated in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be made without any requirement for any payment or other consideration paid by the applicable assignee or received by the assignor, (2) the provisions of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govern in the event of any conflict with the terms and conditions of </w:t>
      </w:r>
      <w:r>
        <w:rPr>
          <w:rFonts w:ascii="Arial" w:cs="Arial" w:eastAsia="Arial" w:hAnsi="Arial"/>
          <w:sz w:val="19"/>
          <w:szCs w:val="19"/>
          <w:u w:val="single" w:color="auto"/>
          <w:color w:val="auto"/>
        </w:rPr>
        <w:t>Section 13.13</w:t>
      </w:r>
      <w:r>
        <w:rPr>
          <w:rFonts w:ascii="Arial" w:cs="Arial" w:eastAsia="Arial" w:hAnsi="Arial"/>
          <w:sz w:val="19"/>
          <w:szCs w:val="19"/>
          <w:color w:val="auto"/>
        </w:rPr>
        <w:t xml:space="preserve"> and (3) Administrative Agent may reflect such assignments in the Register without further consent or action by any other Person.</w:t>
      </w:r>
    </w:p>
    <w:p>
      <w:pPr>
        <w:spacing w:after="0" w:line="200" w:lineRule="exact"/>
        <w:rPr>
          <w:sz w:val="20"/>
          <w:szCs w:val="20"/>
          <w:color w:val="auto"/>
        </w:rPr>
      </w:pPr>
    </w:p>
    <w:p>
      <w:pPr>
        <w:spacing w:after="0" w:line="218" w:lineRule="exact"/>
        <w:rPr>
          <w:sz w:val="20"/>
          <w:szCs w:val="20"/>
          <w:color w:val="auto"/>
        </w:rPr>
      </w:pPr>
    </w:p>
    <w:p>
      <w:pPr>
        <w:jc w:val="both"/>
        <w:ind w:left="1820" w:right="219" w:firstLine="657"/>
        <w:spacing w:after="0" w:line="285" w:lineRule="auto"/>
        <w:tabs>
          <w:tab w:leader="none" w:pos="2792" w:val="left"/>
        </w:tabs>
        <w:numPr>
          <w:ilvl w:val="0"/>
          <w:numId w:val="31"/>
        </w:numPr>
        <w:rPr>
          <w:rFonts w:ascii="Arial" w:cs="Arial" w:eastAsia="Arial" w:hAnsi="Arial"/>
          <w:sz w:val="18"/>
          <w:szCs w:val="18"/>
          <w:color w:val="auto"/>
        </w:rPr>
      </w:pPr>
      <w:r>
        <w:rPr>
          <w:rFonts w:ascii="Arial" w:cs="Arial" w:eastAsia="Arial" w:hAnsi="Arial"/>
          <w:sz w:val="19"/>
          <w:szCs w:val="19"/>
          <w:color w:val="auto"/>
        </w:rPr>
        <w:t xml:space="preserve">Each party hereto hereby agrees that (x) in the event an Erroneous Payment (or portion thereof) is not recovered from any Payment Recipient that has received such Erroneous Payment (or portion thereof) for any reason,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Administrative Agent to such Payment Recipient from any source, against any amount due to Administrative Agent under this </w:t>
      </w:r>
      <w:r>
        <w:rPr>
          <w:rFonts w:ascii="Arial" w:cs="Arial" w:eastAsia="Arial" w:hAnsi="Arial"/>
          <w:sz w:val="19"/>
          <w:szCs w:val="19"/>
          <w:u w:val="single" w:color="auto"/>
          <w:color w:val="auto"/>
        </w:rPr>
        <w:t>Section 12.17</w:t>
      </w:r>
      <w:r>
        <w:rPr>
          <w:rFonts w:ascii="Arial" w:cs="Arial" w:eastAsia="Arial" w:hAnsi="Arial"/>
          <w:sz w:val="19"/>
          <w:szCs w:val="19"/>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Borrower or any other Loan Party, except, in each case, to the extent such Erroneous Payment is, and solely with respect to the amount of such Erroneous Payment that is, comprised of funds received by Administrative Agent from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771525</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8" w:name="page59"/>
    <w:bookmarkEnd w:id="58"/>
    <w:p>
      <w:pPr>
        <w:jc w:val="both"/>
        <w:ind w:left="1820" w:right="219" w:firstLine="657"/>
        <w:spacing w:after="0" w:line="266" w:lineRule="auto"/>
        <w:tabs>
          <w:tab w:leader="none" w:pos="2792" w:val="left"/>
        </w:tabs>
        <w:numPr>
          <w:ilvl w:val="2"/>
          <w:numId w:val="32"/>
        </w:numPr>
        <w:rPr>
          <w:rFonts w:ascii="Arial" w:cs="Arial" w:eastAsia="Arial" w:hAnsi="Arial"/>
          <w:sz w:val="19"/>
          <w:szCs w:val="19"/>
          <w:color w:val="auto"/>
        </w:rPr>
      </w:pPr>
      <w:r>
        <w:rPr>
          <w:rFonts w:ascii="Arial" w:cs="Arial" w:eastAsia="Arial" w:hAnsi="Arial"/>
          <w:sz w:val="21"/>
          <w:szCs w:val="21"/>
          <w:color w:val="auto"/>
        </w:rPr>
        <w:t xml:space="preserve">Each party’s obligations under this </w:t>
      </w:r>
      <w:r>
        <w:rPr>
          <w:rFonts w:ascii="Arial" w:cs="Arial" w:eastAsia="Arial" w:hAnsi="Arial"/>
          <w:sz w:val="21"/>
          <w:szCs w:val="21"/>
          <w:u w:val="single" w:color="auto"/>
          <w:color w:val="auto"/>
        </w:rPr>
        <w:t>Section 12.17</w:t>
      </w:r>
      <w:r>
        <w:rPr>
          <w:rFonts w:ascii="Arial" w:cs="Arial" w:eastAsia="Arial" w:hAnsi="Arial"/>
          <w:sz w:val="21"/>
          <w:szCs w:val="21"/>
          <w:color w:val="auto"/>
        </w:rPr>
        <w:t xml:space="preserve"> shall survive the resignation or replacement of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3" w:lineRule="exact"/>
        <w:rPr>
          <w:rFonts w:ascii="Arial" w:cs="Arial" w:eastAsia="Arial" w:hAnsi="Arial"/>
          <w:sz w:val="19"/>
          <w:szCs w:val="19"/>
          <w:color w:val="auto"/>
        </w:rPr>
      </w:pPr>
    </w:p>
    <w:p>
      <w:pPr>
        <w:jc w:val="both"/>
        <w:ind w:left="1820" w:right="219" w:firstLine="657"/>
        <w:spacing w:after="0" w:line="259" w:lineRule="auto"/>
        <w:tabs>
          <w:tab w:leader="none" w:pos="2792" w:val="left"/>
        </w:tabs>
        <w:numPr>
          <w:ilvl w:val="2"/>
          <w:numId w:val="32"/>
        </w:numPr>
        <w:rPr>
          <w:rFonts w:ascii="Arial" w:cs="Arial" w:eastAsia="Arial" w:hAnsi="Arial"/>
          <w:sz w:val="20"/>
          <w:szCs w:val="20"/>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12.17</w:t>
      </w:r>
      <w:r>
        <w:rPr>
          <w:rFonts w:ascii="Arial" w:cs="Arial" w:eastAsia="Arial" w:hAnsi="Arial"/>
          <w:sz w:val="22"/>
          <w:szCs w:val="22"/>
          <w:color w:val="auto"/>
        </w:rPr>
        <w:t xml:space="preserve"> will constitute a waiver or release of any claim of any party hereunder arising from any Payment Recipient’s receipt of an Erroneous Payment.”</w:t>
      </w:r>
    </w:p>
    <w:p>
      <w:pPr>
        <w:spacing w:after="0" w:line="228" w:lineRule="exact"/>
        <w:rPr>
          <w:rFonts w:ascii="Arial" w:cs="Arial" w:eastAsia="Arial" w:hAnsi="Arial"/>
          <w:sz w:val="20"/>
          <w:szCs w:val="20"/>
          <w:color w:val="auto"/>
        </w:rPr>
      </w:pPr>
    </w:p>
    <w:p>
      <w:pPr>
        <w:ind w:left="860" w:right="219" w:hanging="651"/>
        <w:spacing w:after="0" w:line="269" w:lineRule="auto"/>
        <w:tabs>
          <w:tab w:leader="none" w:pos="8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color w:val="auto"/>
        </w:rPr>
        <w:t>. This Agreement shall become effective only</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satisfaction of the following conditions precedent:</w:t>
      </w:r>
    </w:p>
    <w:p>
      <w:pPr>
        <w:spacing w:after="0" w:line="235" w:lineRule="exact"/>
        <w:rPr>
          <w:rFonts w:ascii="Arial" w:cs="Arial" w:eastAsia="Arial" w:hAnsi="Arial"/>
          <w:sz w:val="22"/>
          <w:szCs w:val="22"/>
          <w:b w:val="1"/>
          <w:bCs w:val="1"/>
          <w:color w:val="auto"/>
        </w:rPr>
      </w:pPr>
    </w:p>
    <w:p>
      <w:pPr>
        <w:ind w:left="2160" w:hanging="655"/>
        <w:spacing w:after="0"/>
        <w:tabs>
          <w:tab w:leader="none" w:pos="216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There shall exist no Default as of the date hereof.</w:t>
      </w:r>
    </w:p>
    <w:p>
      <w:pPr>
        <w:spacing w:after="0" w:line="273" w:lineRule="exact"/>
        <w:rPr>
          <w:rFonts w:ascii="Arial" w:cs="Arial" w:eastAsia="Arial" w:hAnsi="Arial"/>
          <w:sz w:val="22"/>
          <w:szCs w:val="22"/>
          <w:color w:val="auto"/>
        </w:rPr>
      </w:pPr>
    </w:p>
    <w:p>
      <w:pPr>
        <w:jc w:val="both"/>
        <w:ind w:left="860" w:right="219" w:firstLine="645"/>
        <w:spacing w:after="0" w:line="302" w:lineRule="auto"/>
        <w:tabs>
          <w:tab w:leader="none" w:pos="2156"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Administrative Agent shall have received this Agreement executed and delivered by a duly authorized officer of Borrower, Operating Lessee, and Requisite Lenders, together with the Consent and Ratification of Guarantor and Indemnitor attached hereto executed and delivered by a duly authorized officer of Guarantor.</w:t>
      </w:r>
    </w:p>
    <w:p>
      <w:pPr>
        <w:spacing w:after="0" w:line="209" w:lineRule="exact"/>
        <w:rPr>
          <w:rFonts w:ascii="Arial" w:cs="Arial" w:eastAsia="Arial" w:hAnsi="Arial"/>
          <w:sz w:val="19"/>
          <w:szCs w:val="19"/>
          <w:color w:val="auto"/>
        </w:rPr>
      </w:pPr>
    </w:p>
    <w:p>
      <w:pPr>
        <w:jc w:val="both"/>
        <w:ind w:left="860" w:right="219" w:firstLine="645"/>
        <w:spacing w:after="0" w:line="271" w:lineRule="auto"/>
        <w:tabs>
          <w:tab w:leader="none" w:pos="2156"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The representations and warranties made pursuant to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of this Agreement shall be true and complete on and as of the date hereof with the same force and effect as if made on and as of such date.</w:t>
      </w:r>
    </w:p>
    <w:p>
      <w:pPr>
        <w:spacing w:after="0" w:line="221" w:lineRule="exact"/>
        <w:rPr>
          <w:rFonts w:ascii="Arial" w:cs="Arial" w:eastAsia="Arial" w:hAnsi="Arial"/>
          <w:sz w:val="21"/>
          <w:szCs w:val="21"/>
          <w:color w:val="auto"/>
        </w:rPr>
      </w:pPr>
    </w:p>
    <w:p>
      <w:pPr>
        <w:jc w:val="both"/>
        <w:ind w:left="860" w:right="219" w:firstLine="645"/>
        <w:spacing w:after="0" w:line="312" w:lineRule="auto"/>
        <w:tabs>
          <w:tab w:leader="none" w:pos="2156"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Payment by Borrower to Administrative Agent of all reasonable and documented costs and expenses actually incurred by Administrative Agent in connection with the preparation and negotiation of this Agreement.</w:t>
      </w:r>
    </w:p>
    <w:p>
      <w:pPr>
        <w:spacing w:after="0" w:line="194" w:lineRule="exact"/>
        <w:rPr>
          <w:rFonts w:ascii="Arial" w:cs="Arial" w:eastAsia="Arial" w:hAnsi="Arial"/>
          <w:sz w:val="19"/>
          <w:szCs w:val="19"/>
          <w:color w:val="auto"/>
        </w:rPr>
      </w:pPr>
    </w:p>
    <w:p>
      <w:pPr>
        <w:jc w:val="both"/>
        <w:ind w:left="860" w:right="219" w:hanging="651"/>
        <w:spacing w:after="0" w:line="256" w:lineRule="auto"/>
        <w:tabs>
          <w:tab w:leader="none" w:pos="8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Each of Borrower and Operating Lessee</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Administrative Agent and Lenders as of the date hereof and continuing thereafter that:</w:t>
      </w:r>
    </w:p>
    <w:p>
      <w:pPr>
        <w:spacing w:after="0" w:line="230" w:lineRule="exact"/>
        <w:rPr>
          <w:sz w:val="20"/>
          <w:szCs w:val="20"/>
          <w:color w:val="auto"/>
        </w:rPr>
      </w:pPr>
    </w:p>
    <w:p>
      <w:pPr>
        <w:jc w:val="both"/>
        <w:ind w:left="1820" w:right="219" w:hanging="647"/>
        <w:spacing w:after="0" w:line="293" w:lineRule="auto"/>
        <w:tabs>
          <w:tab w:leader="none" w:pos="18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FORMATION AND ORGANIZATIONAL DOCUMENTS</w:t>
      </w:r>
      <w:r>
        <w:rPr>
          <w:rFonts w:ascii="Arial" w:cs="Arial" w:eastAsia="Arial" w:hAnsi="Arial"/>
          <w:sz w:val="19"/>
          <w:szCs w:val="19"/>
          <w:color w:val="auto"/>
        </w:rPr>
        <w:t>. Borrower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Operating Lessee have delivered to Administrative Agent all formation and organizational documents of Borrower, Operating Lessee and Ryman Guarantor, and all constituent entities required to authorize the transactions contemplated by this Agreement, the other Loan Documents and Other Related Documents, and all such formation and organizational documents remain in full force and effect and have not been amended or modified since they were delivered to Administrative Agent in connection with the preparation of this Agreement.</w:t>
      </w:r>
    </w:p>
    <w:p>
      <w:pPr>
        <w:spacing w:after="0" w:line="188" w:lineRule="exact"/>
        <w:rPr>
          <w:sz w:val="20"/>
          <w:szCs w:val="20"/>
          <w:color w:val="auto"/>
        </w:rPr>
      </w:pPr>
    </w:p>
    <w:p>
      <w:pPr>
        <w:jc w:val="both"/>
        <w:ind w:left="1820" w:right="219" w:hanging="647"/>
        <w:spacing w:after="0" w:line="304" w:lineRule="auto"/>
        <w:tabs>
          <w:tab w:leader="none" w:pos="18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u w:val="single" w:color="auto"/>
          <w:color w:val="auto"/>
        </w:rPr>
        <w:t>FULL FORCE AND EFFECT</w:t>
      </w:r>
      <w:r>
        <w:rPr>
          <w:rFonts w:ascii="Arial" w:cs="Arial" w:eastAsia="Arial" w:hAnsi="Arial"/>
          <w:sz w:val="19"/>
          <w:szCs w:val="19"/>
          <w:color w:val="auto"/>
        </w:rPr>
        <w:t>. The Loan Agreement, each Note and the other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Loan Documents, in each case, as amended hereby, are valid and binding obligations of Borrower and Operating Lessee. All necessary limited liability company action to authorize the execution and delivery of this Agreement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445770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9" w:name="page60"/>
    <w:bookmarkEnd w:id="59"/>
    <w:p>
      <w:pPr>
        <w:ind w:left="1820" w:right="219"/>
        <w:spacing w:after="0" w:line="263" w:lineRule="auto"/>
        <w:rPr>
          <w:sz w:val="20"/>
          <w:szCs w:val="20"/>
          <w:color w:val="auto"/>
        </w:rPr>
      </w:pPr>
      <w:r>
        <w:rPr>
          <w:rFonts w:ascii="Arial" w:cs="Arial" w:eastAsia="Arial" w:hAnsi="Arial"/>
          <w:sz w:val="22"/>
          <w:szCs w:val="22"/>
          <w:color w:val="auto"/>
        </w:rPr>
        <w:t>been taken by Borrower and Operating Lessee (or their constituent entities, as applicable).</w:t>
      </w:r>
    </w:p>
    <w:p>
      <w:pPr>
        <w:spacing w:after="0" w:line="223" w:lineRule="exact"/>
        <w:rPr>
          <w:sz w:val="20"/>
          <w:szCs w:val="20"/>
          <w:color w:val="auto"/>
        </w:rPr>
      </w:pPr>
    </w:p>
    <w:p>
      <w:pPr>
        <w:jc w:val="both"/>
        <w:ind w:left="1820" w:right="219" w:hanging="647"/>
        <w:spacing w:after="0" w:line="290" w:lineRule="auto"/>
        <w:tabs>
          <w:tab w:leader="none" w:pos="18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u w:val="single" w:color="auto"/>
          <w:color w:val="auto"/>
        </w:rPr>
        <w:t>NO DEFAULT</w:t>
      </w:r>
      <w:r>
        <w:rPr>
          <w:rFonts w:ascii="Arial" w:cs="Arial" w:eastAsia="Arial" w:hAnsi="Arial"/>
          <w:sz w:val="19"/>
          <w:szCs w:val="19"/>
          <w:color w:val="auto"/>
        </w:rPr>
        <w:t>. To Borrower’s knowledge, there exists no Default or Potential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Default, and all representations and warranties of the Borrower, Operating Lessee and each other Loan Party contained in Article VI of Loan Agreement or any other Loan Document, are true and correct in all material respects (except to the extent qualified by materiality in the Loan Documents, in which case, such representation and/or warranty shall be true and correct in all respects) on and as of the date hereof, except to the extent that such representations and warranties specifically refer or relate to an earlier date, in which case they shall be true and correct as of such earlier date.</w:t>
      </w:r>
    </w:p>
    <w:p>
      <w:pPr>
        <w:spacing w:after="0" w:line="189" w:lineRule="exact"/>
        <w:rPr>
          <w:sz w:val="20"/>
          <w:szCs w:val="20"/>
          <w:color w:val="auto"/>
        </w:rPr>
      </w:pPr>
    </w:p>
    <w:p>
      <w:pPr>
        <w:jc w:val="both"/>
        <w:ind w:left="1820" w:right="219" w:hanging="647"/>
        <w:spacing w:after="0" w:line="295" w:lineRule="auto"/>
        <w:tabs>
          <w:tab w:leader="none" w:pos="18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u w:val="single" w:color="auto"/>
          <w:color w:val="auto"/>
        </w:rPr>
        <w:t>TITLE TO THE PROPERTY</w:t>
      </w:r>
      <w:r>
        <w:rPr>
          <w:rFonts w:ascii="Arial" w:cs="Arial" w:eastAsia="Arial" w:hAnsi="Arial"/>
          <w:sz w:val="19"/>
          <w:szCs w:val="19"/>
          <w:color w:val="auto"/>
        </w:rPr>
        <w:t>. Since the recordation date of the Security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Instrument, other than Permitted Liens, the Property has not been further encumbered, including, without limitation, by entering into any deed of trust, deed to secure debt or mortgage, ground lease, and/or any option to purchase or right of first refusal with respect to the Property, and this Agreement will not cause intervening liens to become prior to the lien of the Security Instrument.</w:t>
      </w:r>
    </w:p>
    <w:p>
      <w:pPr>
        <w:spacing w:after="0" w:line="184" w:lineRule="exact"/>
        <w:rPr>
          <w:sz w:val="20"/>
          <w:szCs w:val="20"/>
          <w:color w:val="auto"/>
        </w:rPr>
      </w:pPr>
    </w:p>
    <w:p>
      <w:pPr>
        <w:jc w:val="both"/>
        <w:ind w:left="1820" w:right="219" w:hanging="647"/>
        <w:spacing w:after="0" w:line="260" w:lineRule="auto"/>
        <w:tabs>
          <w:tab w:leader="none" w:pos="18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b w:val="1"/>
          <w:bCs w:val="1"/>
          <w:u w:val="single" w:color="auto"/>
          <w:color w:val="auto"/>
        </w:rPr>
        <w:t>REPRESENTATION BY INDEPENDENT COUNSEL</w:t>
      </w:r>
      <w:r>
        <w:rPr>
          <w:rFonts w:ascii="Arial" w:cs="Arial" w:eastAsia="Arial" w:hAnsi="Arial"/>
          <w:sz w:val="21"/>
          <w:szCs w:val="21"/>
          <w:color w:val="auto"/>
        </w:rPr>
        <w:t>. Borrower: (i) has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been represented by independent legal counsel of its choice (or has had the opportunity to consult with independent legal counsel of its choice) in connection with this Agreement; (ii) has reviewed this Agreement and understands the agreements contained herein and their impact on the terms of the Loan Agreement and each other Loan Document and Borrower’s rights and obligations thereunder; and (iii) has knowingly and voluntarily agreed to execute and deliver this Agreement without duress.</w:t>
      </w:r>
    </w:p>
    <w:p>
      <w:pPr>
        <w:spacing w:after="0" w:line="243" w:lineRule="exact"/>
        <w:rPr>
          <w:sz w:val="20"/>
          <w:szCs w:val="20"/>
          <w:color w:val="auto"/>
        </w:rPr>
      </w:pPr>
    </w:p>
    <w:p>
      <w:pPr>
        <w:jc w:val="both"/>
        <w:ind w:left="860" w:right="219" w:hanging="651"/>
        <w:spacing w:after="0" w:line="286" w:lineRule="auto"/>
        <w:tabs>
          <w:tab w:leader="none" w:pos="8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REAFFIRMATION</w:t>
      </w:r>
      <w:r>
        <w:rPr>
          <w:rFonts w:ascii="Arial" w:cs="Arial" w:eastAsia="Arial" w:hAnsi="Arial"/>
          <w:sz w:val="19"/>
          <w:szCs w:val="19"/>
          <w:color w:val="auto"/>
        </w:rPr>
        <w:t>. By signing this Agreement, each Loan Party herby confirms that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effect a novation of any of the obligations of the Loan Parties under the Existing Loan Agreement, any other Loan Document or any Other Related Document, which obligations shall continue in full force and effect as set forth in the Loan Agreement and such other Loan Documents. Additionally, by signing this Agreement, each Guarantor hereby confirms that this Agreement shall not effect a novation of any of the obligations of such Guarantor under its Guaranty, the Hazardous Materials Indemnity, any other Loan Document or any Other Related Document to which such Guarantor is a party (collectively, the “</w:t>
      </w:r>
      <w:r>
        <w:rPr>
          <w:rFonts w:ascii="Arial" w:cs="Arial" w:eastAsia="Arial" w:hAnsi="Arial"/>
          <w:sz w:val="19"/>
          <w:szCs w:val="19"/>
          <w:b w:val="1"/>
          <w:bCs w:val="1"/>
          <w:u w:val="single" w:color="auto"/>
          <w:color w:val="auto"/>
        </w:rPr>
        <w:t>Guarantor Documents</w:t>
      </w:r>
      <w:r>
        <w:rPr>
          <w:rFonts w:ascii="Arial" w:cs="Arial" w:eastAsia="Arial" w:hAnsi="Arial"/>
          <w:sz w:val="19"/>
          <w:szCs w:val="19"/>
          <w:color w:val="auto"/>
        </w:rPr>
        <w:t>”), which obligations continue in full force and effect, and the Guarantor Documents are hereby reaffirmed, ratified and confirmed. Each Loan Party hereby ratifies and confirms that all Liens granted, conveyed, or assigned to Administrative Agent by such Person pursuant to any Loan Document to which it is a party remain in full force and effect, are not released or reduced, and continue to secure full payment and performance of the Obligations as increased hereby.</w:t>
      </w:r>
    </w:p>
    <w:p>
      <w:pPr>
        <w:spacing w:after="0" w:line="229" w:lineRule="exact"/>
        <w:rPr>
          <w:rFonts w:ascii="Arial" w:cs="Arial" w:eastAsia="Arial" w:hAnsi="Arial"/>
          <w:sz w:val="19"/>
          <w:szCs w:val="19"/>
          <w:b w:val="1"/>
          <w:bCs w:val="1"/>
          <w:color w:val="auto"/>
        </w:rPr>
      </w:pPr>
    </w:p>
    <w:p>
      <w:pPr>
        <w:ind w:left="860" w:right="219" w:hanging="651"/>
        <w:spacing w:after="0" w:line="349" w:lineRule="auto"/>
        <w:tabs>
          <w:tab w:leader="none" w:pos="86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WAIVERS</w:t>
      </w:r>
      <w:r>
        <w:rPr>
          <w:rFonts w:ascii="Arial" w:cs="Arial" w:eastAsia="Arial" w:hAnsi="Arial"/>
          <w:sz w:val="19"/>
          <w:szCs w:val="19"/>
          <w:color w:val="auto"/>
        </w:rPr>
        <w:t>. In further consideration of Administrative Agent and Lenders entering into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Borrower waives, to the extent permitted by applicable law,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419735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0" w:name="page61"/>
    <w:bookmarkEnd w:id="60"/>
    <w:p>
      <w:pPr>
        <w:jc w:val="both"/>
        <w:ind w:left="860" w:right="219"/>
        <w:spacing w:after="0" w:line="259" w:lineRule="auto"/>
        <w:rPr>
          <w:sz w:val="20"/>
          <w:szCs w:val="20"/>
          <w:color w:val="auto"/>
        </w:rPr>
      </w:pPr>
      <w:r>
        <w:rPr>
          <w:rFonts w:ascii="Arial" w:cs="Arial" w:eastAsia="Arial" w:hAnsi="Arial"/>
          <w:sz w:val="22"/>
          <w:szCs w:val="22"/>
          <w:color w:val="auto"/>
        </w:rPr>
        <w:t>to the Loan, any and all rights to which Borrower is or may be entitled pursuant to any anti-deficiency or similar laws that limit, qualify or reduce Borrower’s obligations under the Loan Documents.</w:t>
      </w:r>
    </w:p>
    <w:p>
      <w:pPr>
        <w:spacing w:after="0" w:line="228" w:lineRule="exact"/>
        <w:rPr>
          <w:sz w:val="20"/>
          <w:szCs w:val="20"/>
          <w:color w:val="auto"/>
        </w:rPr>
      </w:pPr>
    </w:p>
    <w:p>
      <w:pPr>
        <w:jc w:val="both"/>
        <w:ind w:left="860" w:right="219" w:hanging="651"/>
        <w:spacing w:after="0" w:line="293" w:lineRule="auto"/>
        <w:tabs>
          <w:tab w:leader="none" w:pos="86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NON-IMPAIRMENT</w:t>
      </w:r>
      <w:r>
        <w:rPr>
          <w:rFonts w:ascii="Arial" w:cs="Arial" w:eastAsia="Arial" w:hAnsi="Arial"/>
          <w:sz w:val="19"/>
          <w:szCs w:val="19"/>
          <w:color w:val="auto"/>
        </w:rPr>
        <w:t>. Except as expressly provided herein, nothing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alter or affect any provision, condition, or covenant contained in any of the Loan Documents or affect or impair any rights, powers, or remedies of Administrative Agent or Lenders, it being the intent of the parties hereto that the provisions of the Loan Documents shall continue in full force and effect except as expressly modified hereby. Neither this Agreement nor anything contained herein shall be construed as a substitution or novation of Borrower’s indebtedness under the terms of the Loan Documents.</w:t>
      </w:r>
    </w:p>
    <w:p>
      <w:pPr>
        <w:spacing w:after="0" w:line="211" w:lineRule="exact"/>
        <w:rPr>
          <w:rFonts w:ascii="Arial" w:cs="Arial" w:eastAsia="Arial" w:hAnsi="Arial"/>
          <w:sz w:val="19"/>
          <w:szCs w:val="19"/>
          <w:b w:val="1"/>
          <w:bCs w:val="1"/>
          <w:color w:val="auto"/>
        </w:rPr>
      </w:pPr>
    </w:p>
    <w:p>
      <w:pPr>
        <w:ind w:left="860" w:hanging="651"/>
        <w:spacing w:after="0"/>
        <w:tabs>
          <w:tab w:leader="none" w:pos="8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color w:val="auto"/>
        </w:rPr>
        <w:t>.</w:t>
      </w:r>
    </w:p>
    <w:p>
      <w:pPr>
        <w:spacing w:after="0" w:line="274" w:lineRule="exact"/>
        <w:rPr>
          <w:sz w:val="20"/>
          <w:szCs w:val="20"/>
          <w:color w:val="auto"/>
        </w:rPr>
      </w:pPr>
    </w:p>
    <w:p>
      <w:pPr>
        <w:jc w:val="both"/>
        <w:ind w:left="1820" w:right="219" w:hanging="647"/>
        <w:spacing w:after="0" w:line="298" w:lineRule="auto"/>
        <w:tabs>
          <w:tab w:leader="none" w:pos="18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No previous waiver and no failure or delay by Administrative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Agent or any Lender in acting with respect to the terms of the Loan Documents shall constitute a waiver of any breach, default, or failure of condition under the Loan Documents. A waiver of any term of the Loan Documents must be made in writing and shall be limited to the express written terms of such waiver.</w:t>
      </w:r>
    </w:p>
    <w:p>
      <w:pPr>
        <w:spacing w:after="0" w:line="210" w:lineRule="exact"/>
        <w:rPr>
          <w:sz w:val="20"/>
          <w:szCs w:val="20"/>
          <w:color w:val="auto"/>
        </w:rPr>
      </w:pPr>
    </w:p>
    <w:p>
      <w:pPr>
        <w:jc w:val="both"/>
        <w:ind w:left="1820" w:right="219" w:hanging="647"/>
        <w:spacing w:after="0" w:line="288" w:lineRule="auto"/>
        <w:tabs>
          <w:tab w:leader="none" w:pos="18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any provision or obligation under this Agreement and the other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 xml:space="preserve">Loan Documents shall be determined by a court of competent jurisdiction to be invalid, illegal or unenforceable, that provision shall be deemed severed from the Loan Documents and the validity, legality and enforceability of the remaining provisions or obligations shall remain in full force as though the invalid, illegal, or unenforceable provision had never been a part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rate of interest or any other amount payable under the Note or this Agreement or any other Loan Document, or the right of collectability therefor, are declared to be or become invalid, illegal or unenforceable, Lenders’ obligations to make advances under the Loan Documents shall not be enforceable by Borrower.</w:t>
      </w:r>
    </w:p>
    <w:p>
      <w:pPr>
        <w:spacing w:after="0" w:line="221" w:lineRule="exact"/>
        <w:rPr>
          <w:sz w:val="20"/>
          <w:szCs w:val="20"/>
          <w:color w:val="auto"/>
        </w:rPr>
      </w:pPr>
    </w:p>
    <w:p>
      <w:pPr>
        <w:ind w:left="1180"/>
        <w:spacing w:after="0"/>
        <w:tabs>
          <w:tab w:leader="none" w:pos="180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u w:val="single" w:color="auto"/>
          <w:color w:val="auto"/>
        </w:rPr>
        <w:t>Time</w:t>
      </w:r>
      <w:r>
        <w:rPr>
          <w:rFonts w:ascii="Arial" w:cs="Arial" w:eastAsia="Arial" w:hAnsi="Arial"/>
          <w:sz w:val="19"/>
          <w:szCs w:val="19"/>
          <w:color w:val="auto"/>
        </w:rPr>
        <w:t>. Time is of the essence of each and every term herein.</w:t>
      </w:r>
    </w:p>
    <w:p>
      <w:pPr>
        <w:spacing w:after="0" w:line="274" w:lineRule="exact"/>
        <w:rPr>
          <w:sz w:val="20"/>
          <w:szCs w:val="20"/>
          <w:color w:val="auto"/>
        </w:rPr>
      </w:pPr>
    </w:p>
    <w:p>
      <w:pPr>
        <w:jc w:val="both"/>
        <w:ind w:left="1820" w:right="219" w:hanging="647"/>
        <w:spacing w:after="0" w:line="269" w:lineRule="auto"/>
        <w:tabs>
          <w:tab w:leader="none" w:pos="18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b w:val="1"/>
          <w:bCs w:val="1"/>
          <w:u w:val="single" w:color="auto"/>
          <w:color w:val="auto"/>
        </w:rPr>
        <w:t>Governing Law and Consent to Jurisdiction</w:t>
      </w:r>
      <w:r>
        <w:rPr>
          <w:rFonts w:ascii="Arial" w:cs="Arial" w:eastAsia="Arial" w:hAnsi="Arial"/>
          <w:sz w:val="22"/>
          <w:szCs w:val="22"/>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u w:val="single" w:color="auto"/>
          <w:color w:val="auto"/>
        </w:rPr>
        <w:t>Section 13.23</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of the Loan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Agreement is incorporated herein by this reference.</w:t>
      </w:r>
    </w:p>
    <w:p>
      <w:pPr>
        <w:spacing w:after="0" w:line="229" w:lineRule="exact"/>
        <w:rPr>
          <w:sz w:val="20"/>
          <w:szCs w:val="20"/>
          <w:color w:val="auto"/>
        </w:rPr>
      </w:pPr>
    </w:p>
    <w:p>
      <w:pPr>
        <w:jc w:val="both"/>
        <w:ind w:left="1820" w:right="219" w:hanging="647"/>
        <w:spacing w:after="0" w:line="252" w:lineRule="auto"/>
        <w:tabs>
          <w:tab w:leader="none" w:pos="180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Borrower and each other Loan Party each agrees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execute such other documents, instruments and agreements and take such further actions reasonably requested by Administrative Agent to effectuate the provisions of this Agreement.</w:t>
      </w:r>
    </w:p>
    <w:p>
      <w:pPr>
        <w:spacing w:after="0" w:line="234" w:lineRule="exact"/>
        <w:rPr>
          <w:sz w:val="20"/>
          <w:szCs w:val="20"/>
          <w:color w:val="auto"/>
        </w:rPr>
      </w:pPr>
    </w:p>
    <w:p>
      <w:pPr>
        <w:jc w:val="both"/>
        <w:ind w:left="1820" w:right="219" w:hanging="647"/>
        <w:spacing w:after="0" w:line="252" w:lineRule="auto"/>
        <w:tabs>
          <w:tab w:leader="none" w:pos="180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All article, section or other headings appearing in this Agreement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and any of the other Loan Documents are for convenience of reference only and shall be disregarded in construing this Agreement and any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1" w:name="page62"/>
    <w:bookmarkEnd w:id="61"/>
    <w:p>
      <w:pPr>
        <w:jc w:val="both"/>
        <w:ind w:left="1820" w:right="219" w:hanging="647"/>
        <w:spacing w:after="0" w:line="261" w:lineRule="auto"/>
        <w:tabs>
          <w:tab w:leader="none" w:pos="180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any number of counterparts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Agreement by facsimile or electronic transmission shall be as effective as delivery of a manually executed counterpart hereof.</w:t>
      </w:r>
    </w:p>
    <w:p>
      <w:pPr>
        <w:spacing w:after="0" w:line="241" w:lineRule="exact"/>
        <w:rPr>
          <w:sz w:val="20"/>
          <w:szCs w:val="20"/>
          <w:color w:val="auto"/>
        </w:rPr>
      </w:pPr>
    </w:p>
    <w:p>
      <w:pPr>
        <w:jc w:val="both"/>
        <w:ind w:left="1820" w:right="219" w:hanging="647"/>
        <w:spacing w:after="0" w:line="284" w:lineRule="auto"/>
        <w:tabs>
          <w:tab w:leader="none" w:pos="180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b w:val="1"/>
          <w:bCs w:val="1"/>
          <w:u w:val="single" w:color="auto"/>
          <w:color w:val="auto"/>
        </w:rPr>
        <w:t>Electronic Signatures</w:t>
      </w:r>
      <w:r>
        <w:rPr>
          <w:rFonts w:ascii="Arial" w:cs="Arial" w:eastAsia="Arial" w:hAnsi="Arial"/>
          <w:sz w:val="19"/>
          <w:szCs w:val="19"/>
          <w:color w:val="auto"/>
        </w:rPr>
        <w:t>. This Agreement may be executed in one or more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counterparts, each of which shall constitute an original and all of which when taken together shall constitute one agreement. The words “execution,” signed,” “signature,” and words of like import in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Each party hereto hereby waives any defenses to the enforcement of the terms of this Agreement based on the form of its signature, and hereby agrees that such electronically transmitted or signed signatures shall be conclusive proof, admissible in judicial proceedings, of such party’s execution of this Agreement. Even though the parties agree that electronic signatures are legally enforceable and intended to be effective for all purposes, the signing parties agree if requested by Administrative Agent in its sole discretion to promptly deliver to Administrative Agent the requested original document bearing an original manual signature, to the extent required or advisable to be delivered in connection with any program made available to Administrative Agent or any of its affiliates by the Federal Reserve, U.S. Treasury Department or any other federal or state regulatory body.</w:t>
      </w:r>
    </w:p>
    <w:p>
      <w:pPr>
        <w:spacing w:after="0" w:line="200" w:lineRule="exact"/>
        <w:rPr>
          <w:sz w:val="20"/>
          <w:szCs w:val="20"/>
          <w:color w:val="auto"/>
        </w:rPr>
      </w:pPr>
    </w:p>
    <w:p>
      <w:pPr>
        <w:spacing w:after="0" w:line="285" w:lineRule="exact"/>
        <w:rPr>
          <w:sz w:val="20"/>
          <w:szCs w:val="20"/>
          <w:color w:val="auto"/>
        </w:rPr>
      </w:pPr>
    </w:p>
    <w:p>
      <w:pPr>
        <w:jc w:val="both"/>
        <w:ind w:left="1820" w:right="219" w:hanging="647"/>
        <w:spacing w:after="0" w:line="256" w:lineRule="auto"/>
        <w:tabs>
          <w:tab w:leader="none" w:pos="180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Unless otherwise defined herein, capitalized terms used in this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Agreement shall have the meanings attributed to such terms in the Loan Agreement.</w:t>
      </w:r>
    </w:p>
    <w:p>
      <w:pPr>
        <w:spacing w:after="0" w:line="244" w:lineRule="exact"/>
        <w:rPr>
          <w:sz w:val="20"/>
          <w:szCs w:val="20"/>
          <w:color w:val="auto"/>
        </w:rPr>
      </w:pPr>
    </w:p>
    <w:p>
      <w:pPr>
        <w:jc w:val="both"/>
        <w:ind w:left="1820" w:right="219" w:hanging="647"/>
        <w:spacing w:after="0" w:line="304" w:lineRule="auto"/>
        <w:tabs>
          <w:tab w:leader="none" w:pos="180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b w:val="1"/>
          <w:bCs w:val="1"/>
          <w:u w:val="single" w:color="auto"/>
          <w:color w:val="auto"/>
        </w:rPr>
        <w:t>Rules of Construction</w:t>
      </w:r>
      <w:r>
        <w:rPr>
          <w:rFonts w:ascii="Arial" w:cs="Arial" w:eastAsia="Arial" w:hAnsi="Arial"/>
          <w:sz w:val="19"/>
          <w:szCs w:val="19"/>
          <w:color w:val="auto"/>
        </w:rPr>
        <w:t>. The word “Borrower” as used herein shall include both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named Borrower and any other person at any time assuming or otherwise becoming primarily liable for all or any part of the obligations of the named Borrower under the Note and the other Loan Documents. The term “person”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445770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9" w:right="1440" w:bottom="1440" w:gutter="0" w:footer="0" w:header="0"/>
        </w:sectPr>
      </w:pPr>
    </w:p>
    <w:bookmarkStart w:id="62" w:name="page63"/>
    <w:bookmarkEnd w:id="62"/>
    <w:p>
      <w:pPr>
        <w:jc w:val="both"/>
        <w:ind w:left="1820" w:right="219"/>
        <w:spacing w:after="0" w:line="251" w:lineRule="auto"/>
        <w:rPr>
          <w:sz w:val="20"/>
          <w:szCs w:val="20"/>
          <w:color w:val="auto"/>
        </w:rPr>
      </w:pPr>
      <w:r>
        <w:rPr>
          <w:rFonts w:ascii="Arial" w:cs="Arial" w:eastAsia="Arial" w:hAnsi="Arial"/>
          <w:sz w:val="22"/>
          <w:szCs w:val="22"/>
          <w:color w:val="auto"/>
        </w:rPr>
        <w:t>used herein shall include any individual, company, trust or other legal entity of any kind whatsoever. If this Agreement is executed by more than one person, the term “Borrower” shall include all such persons. The word “Administrative Agent” as used herein shall include Administrative Agent, its successors, assigns and affiliates.</w:t>
      </w:r>
    </w:p>
    <w:p>
      <w:pPr>
        <w:spacing w:after="0" w:line="237" w:lineRule="exact"/>
        <w:rPr>
          <w:sz w:val="20"/>
          <w:szCs w:val="20"/>
          <w:color w:val="auto"/>
        </w:rPr>
      </w:pPr>
    </w:p>
    <w:p>
      <w:pPr>
        <w:jc w:val="both"/>
        <w:ind w:left="1820" w:right="219" w:hanging="647"/>
        <w:spacing w:after="0" w:line="269" w:lineRule="auto"/>
        <w:tabs>
          <w:tab w:leader="none" w:pos="180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relating to this Agreement shall be delivered in the manner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and subject to the provisions set forth in the Loan Agreement.</w:t>
      </w:r>
    </w:p>
    <w:p>
      <w:pPr>
        <w:spacing w:after="0" w:line="229" w:lineRule="exact"/>
        <w:rPr>
          <w:sz w:val="20"/>
          <w:szCs w:val="20"/>
          <w:color w:val="auto"/>
        </w:rPr>
      </w:pPr>
    </w:p>
    <w:p>
      <w:pPr>
        <w:jc w:val="both"/>
        <w:ind w:left="1820" w:right="219" w:hanging="647"/>
        <w:spacing w:after="0" w:line="274" w:lineRule="auto"/>
        <w:tabs>
          <w:tab w:leader="none" w:pos="180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21"/>
          <w:szCs w:val="21"/>
          <w:b w:val="1"/>
          <w:bCs w:val="1"/>
          <w:u w:val="single" w:color="auto"/>
          <w:color w:val="auto"/>
        </w:rPr>
        <w:t>Use of Singular and Plural; Gender</w:t>
      </w:r>
      <w:r>
        <w:rPr>
          <w:rFonts w:ascii="Arial" w:cs="Arial" w:eastAsia="Arial" w:hAnsi="Arial"/>
          <w:sz w:val="21"/>
          <w:szCs w:val="21"/>
          <w:color w:val="auto"/>
        </w:rPr>
        <w:t>. When the identity of the parties or other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circumstances make it appropriate, the singular number includes the plural, and the masculine gender includes the feminine and/or neuter.</w:t>
      </w:r>
    </w:p>
    <w:p>
      <w:pPr>
        <w:spacing w:after="0" w:line="212" w:lineRule="exact"/>
        <w:rPr>
          <w:sz w:val="20"/>
          <w:szCs w:val="20"/>
          <w:color w:val="auto"/>
        </w:rPr>
      </w:pPr>
    </w:p>
    <w:p>
      <w:pPr>
        <w:jc w:val="both"/>
        <w:ind w:left="1820" w:right="219" w:hanging="647"/>
        <w:spacing w:after="0" w:line="256" w:lineRule="auto"/>
        <w:tabs>
          <w:tab w:leader="none" w:pos="180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22"/>
          <w:szCs w:val="22"/>
          <w:b w:val="1"/>
          <w:bCs w:val="1"/>
          <w:u w:val="single" w:color="auto"/>
          <w:color w:val="auto"/>
        </w:rPr>
        <w:t>Exhibits, Schedules and Riders</w:t>
      </w:r>
      <w:r>
        <w:rPr>
          <w:rFonts w:ascii="Arial" w:cs="Arial" w:eastAsia="Arial" w:hAnsi="Arial"/>
          <w:sz w:val="22"/>
          <w:szCs w:val="22"/>
          <w:color w:val="auto"/>
        </w:rPr>
        <w:t>. All exhibits, schedules, riders and other items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attached hereto are incorporated into this Agreement by such attachment for all purposes.</w:t>
      </w:r>
    </w:p>
    <w:p>
      <w:pPr>
        <w:spacing w:after="0" w:line="244" w:lineRule="exact"/>
        <w:rPr>
          <w:sz w:val="20"/>
          <w:szCs w:val="20"/>
          <w:color w:val="auto"/>
        </w:rPr>
      </w:pPr>
    </w:p>
    <w:p>
      <w:pPr>
        <w:jc w:val="both"/>
        <w:ind w:left="1820" w:right="219" w:hanging="647"/>
        <w:spacing w:after="0" w:line="256" w:lineRule="auto"/>
        <w:tabs>
          <w:tab w:leader="none" w:pos="180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22"/>
          <w:szCs w:val="22"/>
          <w:b w:val="1"/>
          <w:bCs w:val="1"/>
          <w:u w:val="single" w:color="auto"/>
          <w:color w:val="auto"/>
        </w:rPr>
        <w:t>Inconsistencies</w:t>
      </w:r>
      <w:r>
        <w:rPr>
          <w:rFonts w:ascii="Arial" w:cs="Arial" w:eastAsia="Arial" w:hAnsi="Arial"/>
          <w:sz w:val="22"/>
          <w:szCs w:val="22"/>
          <w:color w:val="auto"/>
        </w:rPr>
        <w:t>. In the event of any inconsistencies between the terms of this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Agreement and the terms of any of the other Loan Documents, the terms of this Agreement shall prevail.</w:t>
      </w:r>
    </w:p>
    <w:p>
      <w:pPr>
        <w:spacing w:after="0" w:line="230" w:lineRule="exact"/>
        <w:rPr>
          <w:sz w:val="20"/>
          <w:szCs w:val="20"/>
          <w:color w:val="auto"/>
        </w:rPr>
      </w:pPr>
    </w:p>
    <w:p>
      <w:pPr>
        <w:jc w:val="both"/>
        <w:ind w:left="1820" w:right="219" w:hanging="647"/>
        <w:spacing w:after="0" w:line="249" w:lineRule="auto"/>
        <w:tabs>
          <w:tab w:leader="none" w:pos="180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22"/>
          <w:szCs w:val="22"/>
          <w:b w:val="1"/>
          <w:bCs w:val="1"/>
          <w:u w:val="single" w:color="auto"/>
          <w:color w:val="auto"/>
        </w:rPr>
        <w:t>Binding Effect, Beneficiaries</w:t>
      </w:r>
      <w:r>
        <w:rPr>
          <w:rFonts w:ascii="Arial" w:cs="Arial" w:eastAsia="Arial" w:hAnsi="Arial"/>
          <w:sz w:val="22"/>
          <w:szCs w:val="22"/>
          <w:color w:val="auto"/>
        </w:rPr>
        <w:t>. This Agreement shall be binding upon and inure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to the benefit of the parties to the Loan Agreement and each other applicable Loan Document and their respective heirs, executors, administrators, successors, legal representatives and permitted assigns, and no other party shall derive any rights or benefits herefrom.</w:t>
      </w:r>
    </w:p>
    <w:p>
      <w:pPr>
        <w:spacing w:after="0" w:line="254" w:lineRule="exact"/>
        <w:rPr>
          <w:sz w:val="20"/>
          <w:szCs w:val="20"/>
          <w:color w:val="auto"/>
        </w:rPr>
      </w:pPr>
    </w:p>
    <w:p>
      <w:pPr>
        <w:jc w:val="both"/>
        <w:ind w:left="1820" w:right="219" w:hanging="647"/>
        <w:spacing w:after="0" w:line="261" w:lineRule="auto"/>
        <w:tabs>
          <w:tab w:leader="none" w:pos="1800" w:val="left"/>
        </w:tabs>
        <w:rPr>
          <w:sz w:val="20"/>
          <w:szCs w:val="20"/>
          <w:color w:val="auto"/>
        </w:rPr>
      </w:pPr>
      <w:r>
        <w:rPr>
          <w:rFonts w:ascii="Arial" w:cs="Arial" w:eastAsia="Arial" w:hAnsi="Arial"/>
          <w:sz w:val="22"/>
          <w:szCs w:val="22"/>
          <w:color w:val="auto"/>
        </w:rPr>
        <w:t>7.16</w:t>
      </w:r>
      <w:r>
        <w:rPr>
          <w:sz w:val="20"/>
          <w:szCs w:val="20"/>
          <w:color w:val="auto"/>
        </w:rPr>
        <w:tab/>
      </w:r>
      <w:r>
        <w:rPr>
          <w:rFonts w:ascii="Arial" w:cs="Arial" w:eastAsia="Arial" w:hAnsi="Arial"/>
          <w:sz w:val="21"/>
          <w:szCs w:val="21"/>
          <w:b w:val="1"/>
          <w:bCs w:val="1"/>
          <w:u w:val="single" w:color="auto"/>
          <w:color w:val="auto"/>
        </w:rPr>
        <w:t>Reference to and Effect on the Loan Agreement and the Other Loan Documents</w:t>
      </w:r>
      <w:r>
        <w:rPr>
          <w:rFonts w:ascii="Arial" w:cs="Arial" w:eastAsia="Arial" w:hAnsi="Arial"/>
          <w:sz w:val="21"/>
          <w:szCs w:val="21"/>
          <w:color w:val="auto"/>
        </w:rPr>
        <w:t>. On and after the date hereof, each reference in any Loan</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 to such Loan Document, “hereunder”, “herein” or words of like import referring to such Loan Document, and each reference in the other Loan Documents to another Loan Document, “thereunder”, “thereof” or words of like import referring to such Loan Document shall mean and be a reference to such Loan Document as amended by this Agreement.</w:t>
      </w:r>
    </w:p>
    <w:p>
      <w:pPr>
        <w:spacing w:after="0" w:line="241" w:lineRule="exact"/>
        <w:rPr>
          <w:sz w:val="20"/>
          <w:szCs w:val="20"/>
          <w:color w:val="auto"/>
        </w:rPr>
      </w:pPr>
    </w:p>
    <w:p>
      <w:pPr>
        <w:jc w:val="both"/>
        <w:ind w:left="1820" w:right="219" w:hanging="647"/>
        <w:spacing w:after="0" w:line="249" w:lineRule="auto"/>
        <w:tabs>
          <w:tab w:leader="none" w:pos="1800" w:val="left"/>
        </w:tabs>
        <w:rPr>
          <w:sz w:val="20"/>
          <w:szCs w:val="20"/>
          <w:color w:val="auto"/>
        </w:rPr>
      </w:pPr>
      <w:r>
        <w:rPr>
          <w:rFonts w:ascii="Arial" w:cs="Arial" w:eastAsia="Arial" w:hAnsi="Arial"/>
          <w:sz w:val="22"/>
          <w:szCs w:val="22"/>
          <w:color w:val="auto"/>
        </w:rPr>
        <w:t>7.17</w:t>
      </w:r>
      <w:r>
        <w:rPr>
          <w:sz w:val="20"/>
          <w:szCs w:val="20"/>
          <w:color w:val="auto"/>
        </w:rPr>
        <w:tab/>
      </w:r>
      <w:r>
        <w:rPr>
          <w:rFonts w:ascii="Arial" w:cs="Arial" w:eastAsia="Arial" w:hAnsi="Arial"/>
          <w:sz w:val="22"/>
          <w:szCs w:val="22"/>
          <w:b w:val="1"/>
          <w:bCs w:val="1"/>
          <w:u w:val="single" w:color="auto"/>
          <w:color w:val="auto"/>
        </w:rPr>
        <w:t>Integration; Interpretation</w:t>
      </w:r>
      <w:r>
        <w:rPr>
          <w:rFonts w:ascii="Arial" w:cs="Arial" w:eastAsia="Arial" w:hAnsi="Arial"/>
          <w:sz w:val="22"/>
          <w:szCs w:val="22"/>
          <w:color w:val="auto"/>
        </w:rPr>
        <w:t>. This Agreement, the Loan Agreement (as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amended hereby), and the other Loan Documents contain or expressly incorporate herein by reference the entire agreement of the parties with respect to the matters contemplated herein and therein and supersede all prior negotiations or agreements, written or oral.</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1044575</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3" w:name="page64"/>
    <w:bookmarkEnd w:id="63"/>
    <w:p>
      <w:pPr>
        <w:ind w:left="200" w:right="379"/>
        <w:spacing w:after="0" w:line="32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Requisite Lenders, Borrower and Administrative Agent have caused</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to be duly executed and delivered as of the date first above written.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w:t>
      </w:r>
      <w:r>
        <w:rPr>
          <w:rFonts w:ascii="Arial" w:cs="Arial" w:eastAsia="Arial" w:hAnsi="Arial"/>
          <w:sz w:val="22"/>
          <w:szCs w:val="22"/>
          <w:color w:val="auto"/>
        </w:rPr>
        <w:t>”</w:t>
      </w:r>
    </w:p>
    <w:p>
      <w:pPr>
        <w:spacing w:after="0" w:line="301" w:lineRule="exact"/>
        <w:rPr>
          <w:sz w:val="20"/>
          <w:szCs w:val="20"/>
          <w:color w:val="auto"/>
        </w:rPr>
      </w:pPr>
    </w:p>
    <w:p>
      <w:pPr>
        <w:ind w:left="200" w:right="3639"/>
        <w:spacing w:after="0" w:line="364" w:lineRule="auto"/>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as Administrative Agent and on behalf of Requisite Lenders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Christian 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-17780</wp:posOffset>
            </wp:positionV>
            <wp:extent cx="5467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46735" cy="8255"/>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Christian Roeder</w:t>
      </w:r>
    </w:p>
    <w:p>
      <w:pPr>
        <w:spacing w:after="0" w:line="2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1307465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4" w:name="page65"/>
    <w:bookmarkEnd w:id="64"/>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301" w:lineRule="exact"/>
        <w:rPr>
          <w:sz w:val="20"/>
          <w:szCs w:val="20"/>
          <w:color w:val="auto"/>
        </w:rPr>
      </w:pPr>
    </w:p>
    <w:p>
      <w:pPr>
        <w:ind w:left="200" w:right="3959"/>
        <w:spacing w:after="0" w:line="295" w:lineRule="auto"/>
        <w:rPr>
          <w:sz w:val="20"/>
          <w:szCs w:val="20"/>
          <w:color w:val="auto"/>
        </w:rPr>
      </w:pPr>
      <w:r>
        <w:rPr>
          <w:rFonts w:ascii="Arial" w:cs="Arial" w:eastAsia="Arial" w:hAnsi="Arial"/>
          <w:sz w:val="22"/>
          <w:szCs w:val="22"/>
          <w:b w:val="1"/>
          <w:bCs w:val="1"/>
          <w:color w:val="auto"/>
        </w:rPr>
        <w:t>AURORA CONVENTION CENTER HOTEL,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-17780</wp:posOffset>
            </wp:positionV>
            <wp:extent cx="7613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Scott J. Lynn</w:t>
      </w:r>
    </w:p>
    <w:p>
      <w:pPr>
        <w:spacing w:after="0" w:line="2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LESSEE</w:t>
      </w:r>
      <w:r>
        <w:rPr>
          <w:rFonts w:ascii="Arial" w:cs="Arial" w:eastAsia="Arial" w:hAnsi="Arial"/>
          <w:sz w:val="22"/>
          <w:szCs w:val="22"/>
          <w:color w:val="auto"/>
        </w:rPr>
        <w:t>”</w:t>
      </w:r>
    </w:p>
    <w:p>
      <w:pPr>
        <w:spacing w:after="0" w:line="287" w:lineRule="exact"/>
        <w:rPr>
          <w:sz w:val="20"/>
          <w:szCs w:val="20"/>
          <w:color w:val="auto"/>
        </w:rPr>
      </w:pPr>
    </w:p>
    <w:p>
      <w:pPr>
        <w:ind w:left="200" w:right="3099"/>
        <w:spacing w:after="0" w:line="295" w:lineRule="auto"/>
        <w:rPr>
          <w:sz w:val="20"/>
          <w:szCs w:val="20"/>
          <w:color w:val="auto"/>
        </w:rPr>
      </w:pPr>
      <w:r>
        <w:rPr>
          <w:rFonts w:ascii="Arial" w:cs="Arial" w:eastAsia="Arial" w:hAnsi="Arial"/>
          <w:sz w:val="22"/>
          <w:szCs w:val="22"/>
          <w:b w:val="1"/>
          <w:bCs w:val="1"/>
          <w:color w:val="auto"/>
        </w:rPr>
        <w:t>AURORA CONVENTION CENTER HOTEL LESSEE,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-17780</wp:posOffset>
            </wp:positionV>
            <wp:extent cx="761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Scott J. Lynn</w:t>
      </w:r>
    </w:p>
    <w:p>
      <w:pPr>
        <w:spacing w:after="0" w:line="2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1044575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5" w:name="page66"/>
    <w:bookmarkEnd w:id="65"/>
    <w:p>
      <w:pPr>
        <w:ind w:left="200"/>
        <w:spacing w:after="0"/>
        <w:rPr>
          <w:sz w:val="20"/>
          <w:szCs w:val="20"/>
          <w:color w:val="auto"/>
        </w:rPr>
      </w:pPr>
      <w:r>
        <w:rPr>
          <w:rFonts w:ascii="Arial" w:cs="Arial" w:eastAsia="Arial" w:hAnsi="Arial"/>
          <w:sz w:val="22"/>
          <w:szCs w:val="22"/>
          <w:color w:val="auto"/>
        </w:rPr>
        <w:t>Agreed and consented to:</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and “</w:t>
      </w:r>
      <w:r>
        <w:rPr>
          <w:rFonts w:ascii="Arial" w:cs="Arial" w:eastAsia="Arial" w:hAnsi="Arial"/>
          <w:sz w:val="22"/>
          <w:szCs w:val="22"/>
          <w:b w:val="1"/>
          <w:bCs w:val="1"/>
          <w:color w:val="auto"/>
        </w:rPr>
        <w:t>INDEMNITOR</w:t>
      </w:r>
      <w:r>
        <w:rPr>
          <w:rFonts w:ascii="Arial" w:cs="Arial" w:eastAsia="Arial" w:hAnsi="Arial"/>
          <w:sz w:val="22"/>
          <w:szCs w:val="22"/>
          <w:color w:val="auto"/>
        </w:rPr>
        <w: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RHP HOTEL PROPERTIES, LP</w:t>
      </w:r>
      <w:r>
        <w:rPr>
          <w:rFonts w:ascii="Arial" w:cs="Arial" w:eastAsia="Arial" w:hAnsi="Arial"/>
          <w:sz w:val="22"/>
          <w:szCs w:val="22"/>
          <w:color w:val="auto"/>
        </w:rPr>
        <w:t>,</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 Delaware limited partnership</w:t>
      </w:r>
    </w:p>
    <w:p>
      <w:pPr>
        <w:sectPr>
          <w:pgSz w:w="11900" w:h="16838" w:orient="portrait"/>
          <w:cols w:equalWidth="0" w:num="1">
            <w:col w:w="9019"/>
          </w:cols>
          <w:pgMar w:left="1440" w:top="901" w:right="1440" w:bottom="1440" w:gutter="0" w:footer="0" w:header="0"/>
        </w:sect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RHP Partner, LLC,</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 Delaware limited liability company,</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as sole general partner</w:t>
      </w:r>
    </w:p>
    <w:p>
      <w:pPr>
        <w:spacing w:after="0" w:line="200" w:lineRule="exact"/>
        <w:rPr>
          <w:sz w:val="20"/>
          <w:szCs w:val="20"/>
          <w:color w:val="auto"/>
        </w:rPr>
      </w:pPr>
    </w:p>
    <w:p>
      <w:pPr>
        <w:sectPr>
          <w:pgSz w:w="11900" w:h="16838" w:orient="portrait"/>
          <w:cols w:equalWidth="0" w:num="2">
            <w:col w:w="520" w:space="340"/>
            <w:col w:w="8159"/>
          </w:cols>
          <w:pgMar w:left="1440" w:top="9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-17780</wp:posOffset>
            </wp:positionV>
            <wp:extent cx="761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Name: Scott J. Lynn</w:t>
      </w:r>
    </w:p>
    <w:p>
      <w:pPr>
        <w:spacing w:after="0" w:line="17"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RYMAN HOSPITALITY PROPERTIES, INC.</w:t>
      </w:r>
      <w:r>
        <w:rPr>
          <w:rFonts w:ascii="Arial" w:cs="Arial" w:eastAsia="Arial" w:hAnsi="Arial"/>
          <w:sz w:val="22"/>
          <w:szCs w:val="22"/>
          <w:color w:val="auto"/>
        </w:rPr>
        <w:t>,</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Scott J.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-17780</wp:posOffset>
            </wp:positionV>
            <wp:extent cx="761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Name: Scott J. Lynn</w:t>
      </w:r>
    </w:p>
    <w:p>
      <w:pPr>
        <w:spacing w:after="0" w:line="2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1667510</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53"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22"/>
          <w:szCs w:val="22"/>
          <w:color w:val="auto"/>
        </w:rPr>
        <w:t xml:space="preserve">Notwithstanding anything to the contrary contained in the Existing Loan Agreement or in any other Loan Document, the Existing Loan Agreement and each other applicable Loan Document are each hereby amended and modified (to the extent applicable) to give effect to the provisions set forth on this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 Etc.</w:t>
      </w:r>
    </w:p>
    <w:p>
      <w:pPr>
        <w:spacing w:after="0" w:line="220"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The following terms shall have the following meanings for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purposes of this Agreement, including without limitation, this </w:t>
      </w:r>
      <w:r>
        <w:rPr>
          <w:rFonts w:ascii="Arial" w:cs="Arial" w:eastAsia="Arial" w:hAnsi="Arial"/>
          <w:sz w:val="22"/>
          <w:szCs w:val="22"/>
          <w:u w:val="single" w:color="auto"/>
          <w:color w:val="auto"/>
        </w:rPr>
        <w:t>Exhibit A</w:t>
      </w:r>
      <w:r>
        <w:rPr>
          <w:rFonts w:ascii="Arial" w:cs="Arial" w:eastAsia="Arial" w:hAnsi="Arial"/>
          <w:sz w:val="22"/>
          <w:szCs w:val="22"/>
          <w:color w:val="auto"/>
        </w:rPr>
        <w:t>, and the provisions contained herein:</w:t>
      </w:r>
    </w:p>
    <w:p>
      <w:pPr>
        <w:spacing w:after="0" w:line="176" w:lineRule="exact"/>
        <w:rPr>
          <w:sz w:val="20"/>
          <w:szCs w:val="20"/>
          <w:color w:val="auto"/>
        </w:rPr>
      </w:pPr>
    </w:p>
    <w:p>
      <w:pPr>
        <w:jc w:val="both"/>
        <w:ind w:left="860" w:right="219"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Adjusted Daily Simple SOFR</w:t>
      </w:r>
      <w:r>
        <w:rPr>
          <w:rFonts w:ascii="Arial" w:cs="Arial" w:eastAsia="Arial" w:hAnsi="Arial"/>
          <w:sz w:val="19"/>
          <w:szCs w:val="19"/>
          <w:color w:val="auto"/>
        </w:rPr>
        <w:t>” means, for any day (a “</w:t>
      </w:r>
      <w:r>
        <w:rPr>
          <w:rFonts w:ascii="Arial" w:cs="Arial" w:eastAsia="Arial" w:hAnsi="Arial"/>
          <w:sz w:val="19"/>
          <w:szCs w:val="19"/>
          <w:u w:val="single" w:color="auto"/>
          <w:color w:val="auto"/>
        </w:rPr>
        <w:t>SOFR Rate Day</w:t>
      </w:r>
      <w:r>
        <w:rPr>
          <w:rFonts w:ascii="Arial" w:cs="Arial" w:eastAsia="Arial" w:hAnsi="Arial"/>
          <w:sz w:val="19"/>
          <w:szCs w:val="19"/>
          <w:color w:val="auto"/>
        </w:rPr>
        <w:t>”), a rate per annum equal to the greater of (a) the sum of (i) SOFR for the day (such day, a “</w:t>
      </w:r>
      <w:r>
        <w:rPr>
          <w:rFonts w:ascii="Arial" w:cs="Arial" w:eastAsia="Arial" w:hAnsi="Arial"/>
          <w:sz w:val="19"/>
          <w:szCs w:val="19"/>
          <w:u w:val="single" w:color="auto"/>
          <w:color w:val="auto"/>
        </w:rPr>
        <w:t>SOFR</w:t>
      </w:r>
      <w:r>
        <w:rPr>
          <w:rFonts w:ascii="Arial" w:cs="Arial" w:eastAsia="Arial" w:hAnsi="Arial"/>
          <w:sz w:val="19"/>
          <w:szCs w:val="19"/>
          <w:color w:val="auto"/>
        </w:rPr>
        <w:t xml:space="preserve"> </w:t>
      </w:r>
      <w:r>
        <w:rPr>
          <w:rFonts w:ascii="Arial" w:cs="Arial" w:eastAsia="Arial" w:hAnsi="Arial"/>
          <w:sz w:val="19"/>
          <w:szCs w:val="19"/>
          <w:u w:val="single" w:color="auto"/>
          <w:color w:val="auto"/>
        </w:rPr>
        <w:t>Determination Day</w:t>
      </w:r>
      <w:r>
        <w:rPr>
          <w:rFonts w:ascii="Arial" w:cs="Arial" w:eastAsia="Arial" w:hAnsi="Arial"/>
          <w:sz w:val="19"/>
          <w:szCs w:val="19"/>
          <w:color w:val="auto"/>
        </w:rPr>
        <w:t>”) that is five (5) U.S. Government Securities Business Days prior to</w:t>
      </w:r>
    </w:p>
    <w:p>
      <w:pPr>
        <w:spacing w:after="0" w:line="1" w:lineRule="exact"/>
        <w:rPr>
          <w:sz w:val="20"/>
          <w:szCs w:val="20"/>
          <w:color w:val="auto"/>
        </w:rPr>
      </w:pPr>
    </w:p>
    <w:p>
      <w:pPr>
        <w:jc w:val="both"/>
        <w:ind w:left="860" w:right="219" w:hanging="3"/>
        <w:spacing w:after="0" w:line="268" w:lineRule="auto"/>
        <w:tabs>
          <w:tab w:leader="none" w:pos="1243"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by 5:00 p.m. (New York City time) on the second (2</w:t>
      </w:r>
      <w:r>
        <w:rPr>
          <w:rFonts w:ascii="Arial" w:cs="Arial" w:eastAsia="Arial" w:hAnsi="Arial"/>
          <w:sz w:val="31"/>
          <w:szCs w:val="31"/>
          <w:color w:val="auto"/>
          <w:vertAlign w:val="superscript"/>
        </w:rPr>
        <w:t>nd</w:t>
      </w:r>
      <w:r>
        <w:rPr>
          <w:rFonts w:ascii="Arial" w:cs="Arial" w:eastAsia="Arial" w:hAnsi="Arial"/>
          <w:sz w:val="21"/>
          <w:szCs w:val="21"/>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Adjusted Daily Simple SOFR has not occurred, then SOFR for such SOFR Determination Day will be SOFR as published in respect of the first preceding U.S. Government Securities Business Day for which such SOFR was published on the SOFR Administrator’s Website;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SOFR as determined pursuant to this proviso shall be utilized for purposes of calculation of Adjusted Daily Simple SOFR for no more than three (3) consecutive SOFR Rate Days and (ii) the SOFR Adjustment and (b) the Floor. Any change in Adjusted Daily Simple SOFR due to a change in SOFR shall be effective from and including the effective date of such change in SOFR without notice to the Borrower.</w:t>
      </w:r>
    </w:p>
    <w:p>
      <w:pPr>
        <w:spacing w:after="0" w:line="191" w:lineRule="exact"/>
        <w:rPr>
          <w:sz w:val="20"/>
          <w:szCs w:val="20"/>
          <w:color w:val="auto"/>
        </w:rPr>
      </w:pPr>
    </w:p>
    <w:p>
      <w:pPr>
        <w:jc w:val="both"/>
        <w:ind w:left="860" w:right="219" w:firstLine="648"/>
        <w:spacing w:after="0" w:line="3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Available Tenor</w:t>
      </w:r>
      <w:r>
        <w:rPr>
          <w:rFonts w:ascii="Arial" w:cs="Arial" w:eastAsia="Arial" w:hAnsi="Arial"/>
          <w:sz w:val="19"/>
          <w:szCs w:val="19"/>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the Loan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(or a similar or analogous period) pursuant to </w:t>
      </w:r>
      <w:r>
        <w:rPr>
          <w:rFonts w:ascii="Arial" w:cs="Arial" w:eastAsia="Arial" w:hAnsi="Arial"/>
          <w:sz w:val="19"/>
          <w:szCs w:val="19"/>
          <w:u w:val="single" w:color="auto"/>
          <w:color w:val="auto"/>
        </w:rPr>
        <w:t>Section 3.04(c)(iv)</w:t>
      </w:r>
      <w:r>
        <w:rPr>
          <w:rFonts w:ascii="Arial" w:cs="Arial" w:eastAsia="Arial" w:hAnsi="Arial"/>
          <w:sz w:val="19"/>
          <w:szCs w:val="19"/>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763270</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7" w:name="page68"/>
    <w:bookmarkEnd w:id="67"/>
    <w:p>
      <w:pPr>
        <w:jc w:val="both"/>
        <w:ind w:left="860" w:right="219" w:firstLine="648"/>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w:t>
      </w:r>
      <w:r>
        <w:rPr>
          <w:rFonts w:ascii="Arial" w:cs="Arial" w:eastAsia="Arial" w:hAnsi="Arial"/>
          <w:sz w:val="21"/>
          <w:szCs w:val="21"/>
          <w:color w:val="auto"/>
        </w:rPr>
        <w:t xml:space="preserve">” means, initially, Adjusted Daily Simple SOFR; provided that if a Benchmark Transition Event has occurred with respect to the Adjusted Daily Simple SOFR or the then-current Benchmark, then “Benchmark” means the applicable Benchmark Replacement to the extent that such Benchmark Replacement has replaced such prior benchmark rate pursuant to </w:t>
      </w:r>
      <w:r>
        <w:rPr>
          <w:rFonts w:ascii="Arial" w:cs="Arial" w:eastAsia="Arial" w:hAnsi="Arial"/>
          <w:sz w:val="21"/>
          <w:szCs w:val="21"/>
          <w:u w:val="single" w:color="auto"/>
          <w:color w:val="auto"/>
        </w:rPr>
        <w:t>Section 3.04(c)(i)</w:t>
      </w:r>
      <w:r>
        <w:rPr>
          <w:rFonts w:ascii="Arial" w:cs="Arial" w:eastAsia="Arial" w:hAnsi="Arial"/>
          <w:sz w:val="21"/>
          <w:szCs w:val="21"/>
          <w:color w:val="auto"/>
        </w:rPr>
        <w:t xml:space="preserve"> below.</w:t>
      </w:r>
    </w:p>
    <w:p>
      <w:pPr>
        <w:spacing w:after="0" w:line="178" w:lineRule="exact"/>
        <w:rPr>
          <w:sz w:val="20"/>
          <w:szCs w:val="20"/>
          <w:color w:val="auto"/>
        </w:rPr>
      </w:pPr>
    </w:p>
    <w:p>
      <w:pPr>
        <w:jc w:val="both"/>
        <w:ind w:left="860" w:right="219" w:firstLine="648"/>
        <w:spacing w:after="0" w:line="31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Benchmark Replacement</w:t>
      </w:r>
      <w:r>
        <w:rPr>
          <w:rFonts w:ascii="Arial" w:cs="Arial" w:eastAsia="Arial" w:hAnsi="Arial"/>
          <w:sz w:val="19"/>
          <w:szCs w:val="19"/>
          <w:color w:val="auto"/>
        </w:rPr>
        <w:t>” means, with respect to any Benchmark Transition Event, the sum of: (a) the alternate benchmark rate that has been selected by Administrative Agent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the Loan Agreement and the other Loan Documents.</w:t>
      </w:r>
    </w:p>
    <w:p>
      <w:pPr>
        <w:spacing w:after="0" w:line="148" w:lineRule="exact"/>
        <w:rPr>
          <w:sz w:val="20"/>
          <w:szCs w:val="20"/>
          <w:color w:val="auto"/>
        </w:rPr>
      </w:pPr>
    </w:p>
    <w:p>
      <w:pPr>
        <w:jc w:val="both"/>
        <w:ind w:left="860" w:right="219" w:firstLine="648"/>
        <w:spacing w:after="0" w:line="31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Benchmark Replacement Adjustment</w:t>
      </w:r>
      <w:r>
        <w:rPr>
          <w:rFonts w:ascii="Arial" w:cs="Arial" w:eastAsia="Arial" w:hAnsi="Arial"/>
          <w:sz w:val="19"/>
          <w:szCs w:val="19"/>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Administrative Agent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50" w:lineRule="exact"/>
        <w:rPr>
          <w:sz w:val="20"/>
          <w:szCs w:val="20"/>
          <w:color w:val="auto"/>
        </w:rPr>
      </w:pPr>
    </w:p>
    <w:p>
      <w:pPr>
        <w:jc w:val="both"/>
        <w:ind w:left="860" w:right="219" w:firstLine="648"/>
        <w:spacing w:after="0" w:line="29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154" w:lineRule="exact"/>
        <w:rPr>
          <w:sz w:val="20"/>
          <w:szCs w:val="20"/>
          <w:color w:val="auto"/>
        </w:rPr>
      </w:pPr>
    </w:p>
    <w:p>
      <w:pPr>
        <w:jc w:val="both"/>
        <w:ind w:left="1500" w:right="219" w:firstLine="653"/>
        <w:spacing w:after="0" w:line="265" w:lineRule="auto"/>
        <w:tabs>
          <w:tab w:leader="none" w:pos="27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rFonts w:ascii="Arial" w:cs="Arial" w:eastAsia="Arial" w:hAnsi="Arial"/>
          <w:sz w:val="22"/>
          <w:szCs w:val="22"/>
          <w:color w:val="auto"/>
        </w:rPr>
      </w:pPr>
    </w:p>
    <w:p>
      <w:pPr>
        <w:jc w:val="both"/>
        <w:ind w:left="1500" w:right="219" w:firstLine="653"/>
        <w:spacing w:after="0" w:line="322" w:lineRule="auto"/>
        <w:tabs>
          <w:tab w:leader="none" w:pos="27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8" w:name="page69"/>
    <w:bookmarkEnd w:id="68"/>
    <w:p>
      <w:pPr>
        <w:jc w:val="both"/>
        <w:ind w:left="1500" w:right="219"/>
        <w:spacing w:after="0" w:line="326" w:lineRule="auto"/>
        <w:rPr>
          <w:sz w:val="20"/>
          <w:szCs w:val="20"/>
          <w:color w:val="auto"/>
        </w:rPr>
      </w:pPr>
      <w:r>
        <w:rPr>
          <w:rFonts w:ascii="Arial" w:cs="Arial" w:eastAsia="Arial" w:hAnsi="Arial"/>
          <w:sz w:val="19"/>
          <w:szCs w:val="19"/>
          <w:color w:val="auto"/>
        </w:rPr>
        <w:t>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36" w:lineRule="exact"/>
        <w:rPr>
          <w:sz w:val="20"/>
          <w:szCs w:val="20"/>
          <w:color w:val="auto"/>
        </w:rPr>
      </w:pPr>
    </w:p>
    <w:p>
      <w:pPr>
        <w:jc w:val="both"/>
        <w:ind w:left="1500" w:right="219" w:firstLine="648"/>
        <w:spacing w:after="0" w:line="267" w:lineRule="auto"/>
        <w:rPr>
          <w:sz w:val="20"/>
          <w:szCs w:val="20"/>
          <w:color w:val="auto"/>
        </w:rPr>
      </w:pPr>
      <w:r>
        <w:rPr>
          <w:rFonts w:ascii="Arial" w:cs="Arial" w:eastAsia="Arial" w:hAnsi="Arial"/>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93" w:lineRule="exact"/>
        <w:rPr>
          <w:sz w:val="20"/>
          <w:szCs w:val="20"/>
          <w:color w:val="auto"/>
        </w:rPr>
      </w:pPr>
    </w:p>
    <w:p>
      <w:pPr>
        <w:ind w:left="860" w:right="219"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81" w:lineRule="exact"/>
        <w:rPr>
          <w:sz w:val="20"/>
          <w:szCs w:val="20"/>
          <w:color w:val="auto"/>
        </w:rPr>
      </w:pPr>
    </w:p>
    <w:p>
      <w:pPr>
        <w:jc w:val="both"/>
        <w:ind w:left="1500" w:right="219" w:firstLine="653"/>
        <w:spacing w:after="0" w:line="311" w:lineRule="auto"/>
        <w:tabs>
          <w:tab w:leader="none" w:pos="27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(if applicable) of such Benchmark (or such component thereof);</w:t>
      </w:r>
    </w:p>
    <w:p>
      <w:pPr>
        <w:spacing w:after="0" w:line="164" w:lineRule="exact"/>
        <w:rPr>
          <w:rFonts w:ascii="Arial" w:cs="Arial" w:eastAsia="Arial" w:hAnsi="Arial"/>
          <w:sz w:val="19"/>
          <w:szCs w:val="19"/>
          <w:color w:val="auto"/>
        </w:rPr>
      </w:pPr>
    </w:p>
    <w:p>
      <w:pPr>
        <w:jc w:val="both"/>
        <w:ind w:left="1500" w:right="219" w:firstLine="653"/>
        <w:spacing w:after="0" w:line="309" w:lineRule="auto"/>
        <w:tabs>
          <w:tab w:leader="none" w:pos="27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1500" w:right="219" w:firstLine="653"/>
        <w:spacing w:after="0" w:line="267" w:lineRule="auto"/>
        <w:tabs>
          <w:tab w:leader="none" w:pos="27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6" w:lineRule="exact"/>
        <w:rPr>
          <w:sz w:val="20"/>
          <w:szCs w:val="20"/>
          <w:color w:val="auto"/>
        </w:rPr>
      </w:pPr>
    </w:p>
    <w:p>
      <w:pPr>
        <w:ind w:left="1500" w:right="219" w:firstLine="648"/>
        <w:spacing w:after="0" w:line="372"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423545</wp:posOffset>
            </wp:positionV>
            <wp:extent cx="54521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9" w:name="page70"/>
    <w:bookmarkEnd w:id="69"/>
    <w:p>
      <w:pPr>
        <w:jc w:val="both"/>
        <w:ind w:left="1500" w:right="219"/>
        <w:spacing w:after="0" w:line="272" w:lineRule="auto"/>
        <w:rPr>
          <w:sz w:val="20"/>
          <w:szCs w:val="20"/>
          <w:color w:val="auto"/>
        </w:rPr>
      </w:pPr>
      <w:r>
        <w:rPr>
          <w:rFonts w:ascii="Arial" w:cs="Arial" w:eastAsia="Arial" w:hAnsi="Arial"/>
          <w:sz w:val="22"/>
          <w:szCs w:val="22"/>
          <w:color w:val="auto"/>
        </w:rPr>
        <w:t>publication of information set forth above has occurred with respect to each then-current Available Tenor of such Benchmark (or the published component used in the calculation thereof).</w:t>
      </w:r>
    </w:p>
    <w:p>
      <w:pPr>
        <w:spacing w:after="0" w:line="187" w:lineRule="exact"/>
        <w:rPr>
          <w:sz w:val="20"/>
          <w:szCs w:val="20"/>
          <w:color w:val="auto"/>
        </w:rPr>
      </w:pPr>
    </w:p>
    <w:p>
      <w:pPr>
        <w:jc w:val="both"/>
        <w:ind w:left="860" w:right="21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Benchmark Transition Start Date</w:t>
      </w:r>
      <w:r>
        <w:rPr>
          <w:rFonts w:ascii="Arial" w:cs="Arial" w:eastAsia="Arial" w:hAnsi="Arial"/>
          <w:sz w:val="22"/>
          <w:szCs w:val="22"/>
          <w:color w:val="auto"/>
        </w:rPr>
        <w:t>” means, in the case of a Benchmark Transition Event, the earlier of (a) the applicable Benchmark Replacement Date and (b) if such Benchmark Transition Event is a public statement or publication of information of a prospective event, the ninetieth (90</w:t>
      </w:r>
      <w:r>
        <w:rPr>
          <w:rFonts w:ascii="Arial" w:cs="Arial" w:eastAsia="Arial" w:hAnsi="Arial"/>
          <w:sz w:val="32"/>
          <w:szCs w:val="32"/>
          <w:color w:val="auto"/>
          <w:vertAlign w:val="superscript"/>
        </w:rPr>
        <w:t>th</w:t>
      </w:r>
      <w:r>
        <w:rPr>
          <w:rFonts w:ascii="Arial" w:cs="Arial" w:eastAsia="Arial" w:hAnsi="Arial"/>
          <w:sz w:val="22"/>
          <w:szCs w:val="22"/>
          <w:color w:val="auto"/>
        </w:rPr>
        <w:t>)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98" w:lineRule="exact"/>
        <w:rPr>
          <w:sz w:val="20"/>
          <w:szCs w:val="20"/>
          <w:color w:val="auto"/>
        </w:rPr>
      </w:pPr>
    </w:p>
    <w:p>
      <w:pPr>
        <w:jc w:val="both"/>
        <w:ind w:left="860" w:right="219" w:firstLine="648"/>
        <w:spacing w:after="0" w:line="28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 Unavailability Period</w:t>
      </w:r>
      <w:r>
        <w:rPr>
          <w:rFonts w:ascii="Arial" w:cs="Arial" w:eastAsia="Arial" w:hAnsi="Arial"/>
          <w:sz w:val="21"/>
          <w:szCs w:val="21"/>
          <w:color w:val="auto"/>
        </w:rPr>
        <w:t xml:space="preserve">” means the period (if any) (x) beginning at the time that a Benchmark Replacement Date pursuant to clauses (a) or (b) of that definition has occurred if, at such time, no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3.04(c)</w:t>
      </w:r>
      <w:r>
        <w:rPr>
          <w:rFonts w:ascii="Arial" w:cs="Arial" w:eastAsia="Arial" w:hAnsi="Arial"/>
          <w:sz w:val="21"/>
          <w:szCs w:val="21"/>
          <w:color w:val="auto"/>
        </w:rPr>
        <w:t xml:space="preserve"> below, and (y) ending at the time that a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3.04(c)</w:t>
      </w:r>
      <w:r>
        <w:rPr>
          <w:rFonts w:ascii="Arial" w:cs="Arial" w:eastAsia="Arial" w:hAnsi="Arial"/>
          <w:sz w:val="21"/>
          <w:szCs w:val="21"/>
          <w:color w:val="auto"/>
        </w:rPr>
        <w:t xml:space="preserve"> below.</w:t>
      </w:r>
    </w:p>
    <w:p>
      <w:pPr>
        <w:spacing w:after="0" w:line="167" w:lineRule="exact"/>
        <w:rPr>
          <w:sz w:val="20"/>
          <w:szCs w:val="20"/>
          <w:color w:val="auto"/>
        </w:rPr>
      </w:pPr>
    </w:p>
    <w:p>
      <w:pPr>
        <w:jc w:val="both"/>
        <w:ind w:left="860" w:right="219" w:firstLine="648"/>
        <w:spacing w:after="0" w:line="29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any day that is not a Saturday, Sunday or other day on which the Federal Reserve Bank of New York is closed.</w:t>
      </w:r>
    </w:p>
    <w:p>
      <w:pPr>
        <w:spacing w:after="0" w:line="148" w:lineRule="exact"/>
        <w:rPr>
          <w:sz w:val="20"/>
          <w:szCs w:val="20"/>
          <w:color w:val="auto"/>
        </w:rPr>
      </w:pPr>
    </w:p>
    <w:p>
      <w:pPr>
        <w:jc w:val="both"/>
        <w:ind w:left="860" w:right="219"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Conforming Changes</w:t>
      </w:r>
      <w:r>
        <w:rPr>
          <w:rFonts w:ascii="Arial" w:cs="Arial" w:eastAsia="Arial" w:hAnsi="Arial"/>
          <w:sz w:val="19"/>
          <w:szCs w:val="19"/>
          <w:color w:val="auto"/>
        </w:rPr>
        <w:t xml:space="preserve">” means, with respect to either the use or administration of Adjusted Daily Simple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below and other technical, administrative or operational matters) that Administrative Agent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 market practice is not administratively feasible or if Administrative Agent determines that no market practice for the administration of any such rate exists, in such other manner of administration as Administrative Agent decides is reasonably necessary in connection with the administration of the Loan Agreement and the other Loan Documents).</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Effective Rate</w:t>
      </w:r>
      <w:r>
        <w:rPr>
          <w:rFonts w:ascii="Arial" w:cs="Arial" w:eastAsia="Arial" w:hAnsi="Arial"/>
          <w:sz w:val="21"/>
          <w:szCs w:val="21"/>
          <w:color w:val="auto"/>
        </w:rPr>
        <w:t xml:space="preserve">” has the meaning given to such term in </w:t>
      </w:r>
      <w:r>
        <w:rPr>
          <w:rFonts w:ascii="Arial" w:cs="Arial" w:eastAsia="Arial" w:hAnsi="Arial"/>
          <w:sz w:val="21"/>
          <w:szCs w:val="21"/>
          <w:u w:val="single" w:color="auto"/>
          <w:color w:val="auto"/>
        </w:rPr>
        <w:t>Section 3.03(d)</w:t>
      </w:r>
      <w:r>
        <w:rPr>
          <w:rFonts w:ascii="Arial" w:cs="Arial" w:eastAsia="Arial" w:hAnsi="Arial"/>
          <w:sz w:val="21"/>
          <w:szCs w:val="21"/>
          <w:color w:val="auto"/>
        </w:rPr>
        <w:t xml:space="preserve"> below.</w:t>
      </w:r>
    </w:p>
    <w:p>
      <w:pPr>
        <w:spacing w:after="0" w:line="25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Floor</w:t>
      </w:r>
      <w:r>
        <w:rPr>
          <w:rFonts w:ascii="Arial" w:cs="Arial" w:eastAsia="Arial" w:hAnsi="Arial"/>
          <w:sz w:val="22"/>
          <w:szCs w:val="22"/>
          <w:color w:val="auto"/>
        </w:rPr>
        <w:t>” means a rate of interest equal to zero percent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654050</wp:posOffset>
            </wp:positionV>
            <wp:extent cx="5452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0" w:name="page71"/>
    <w:bookmarkEnd w:id="70"/>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FRB</w:t>
      </w:r>
      <w:r>
        <w:rPr>
          <w:rFonts w:ascii="Arial" w:cs="Arial" w:eastAsia="Arial" w:hAnsi="Arial"/>
          <w:sz w:val="19"/>
          <w:szCs w:val="19"/>
          <w:color w:val="auto"/>
        </w:rPr>
        <w:t>” means the Board of Governors of the Federal Reserve System of the United</w:t>
      </w:r>
    </w:p>
    <w:p>
      <w:pPr>
        <w:spacing w:after="0" w:line="7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States.</w:t>
      </w:r>
    </w:p>
    <w:p>
      <w:pPr>
        <w:spacing w:after="0" w:line="227" w:lineRule="exact"/>
        <w:rPr>
          <w:sz w:val="20"/>
          <w:szCs w:val="20"/>
          <w:color w:val="auto"/>
        </w:rPr>
      </w:pPr>
    </w:p>
    <w:p>
      <w:pPr>
        <w:jc w:val="both"/>
        <w:ind w:left="860" w:right="219" w:firstLine="648"/>
        <w:spacing w:after="0" w:line="27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LIBO Rate Related Definition</w:t>
      </w:r>
      <w:r>
        <w:rPr>
          <w:rFonts w:ascii="Arial" w:cs="Arial" w:eastAsia="Arial" w:hAnsi="Arial"/>
          <w:sz w:val="21"/>
          <w:szCs w:val="21"/>
          <w:color w:val="auto"/>
        </w:rPr>
        <w:t xml:space="preserve">” means any term defined in the Existing Loan Agreement or any other Loan Document (or any partial definition thereof) as in effect immediately prior to giving effect to the provisions of this Agreement on the Rate Transition Date, however phrased, primarily relating to the determination, administration or calculation of the LIBO Rate, including by way of example any instances of the LIBO Rate and other applicable terms. The term “LIBO Rate Related Definition” does not include any term such as “Base Rate” or other analogous or similar term generally indicating use of a benchmark rate other than, immediately prior to giving effect to the provisions of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LIBO Rate, even if such term, immediately prior to giving effect to the provisions of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Exhibit A</w:t>
      </w:r>
      <w:r>
        <w:rPr>
          <w:rFonts w:ascii="Arial" w:cs="Arial" w:eastAsia="Arial" w:hAnsi="Arial"/>
          <w:sz w:val="21"/>
          <w:szCs w:val="21"/>
          <w:color w:val="auto"/>
        </w:rPr>
        <w:t>, would have included a component based on the LIBO Rate.</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Modification Effective Date</w:t>
      </w:r>
      <w:r>
        <w:rPr>
          <w:rFonts w:ascii="Arial" w:cs="Arial" w:eastAsia="Arial" w:hAnsi="Arial"/>
          <w:sz w:val="22"/>
          <w:szCs w:val="22"/>
          <w:color w:val="auto"/>
        </w:rPr>
        <w:t>” means May [__], 2023.</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Overnight Rate</w:t>
      </w:r>
      <w:r>
        <w:rPr>
          <w:rFonts w:ascii="Arial" w:cs="Arial" w:eastAsia="Arial" w:hAnsi="Arial"/>
          <w:sz w:val="19"/>
          <w:szCs w:val="19"/>
          <w:color w:val="auto"/>
        </w:rPr>
        <w:t>” means, for any day, the greater of (a) the Federal Funds Rate and</w:t>
      </w:r>
    </w:p>
    <w:p>
      <w:pPr>
        <w:spacing w:after="0" w:line="62" w:lineRule="exact"/>
        <w:rPr>
          <w:sz w:val="20"/>
          <w:szCs w:val="20"/>
          <w:color w:val="auto"/>
        </w:rPr>
      </w:pPr>
    </w:p>
    <w:p>
      <w:pPr>
        <w:ind w:left="860" w:right="219" w:hanging="3"/>
        <w:spacing w:after="0" w:line="285" w:lineRule="auto"/>
        <w:tabs>
          <w:tab w:leader="none" w:pos="1215"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 overnight rate determined by Administrative Agent in accordance with banking industry rules on interbank compensation.</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Payment Date</w:t>
      </w:r>
      <w:r>
        <w:rPr>
          <w:rFonts w:ascii="Arial" w:cs="Arial" w:eastAsia="Arial" w:hAnsi="Arial"/>
          <w:sz w:val="21"/>
          <w:szCs w:val="21"/>
          <w:color w:val="auto"/>
        </w:rPr>
        <w:t xml:space="preserve">” has the meaning given to such term in </w:t>
      </w:r>
      <w:r>
        <w:rPr>
          <w:rFonts w:ascii="Arial" w:cs="Arial" w:eastAsia="Arial" w:hAnsi="Arial"/>
          <w:sz w:val="21"/>
          <w:szCs w:val="21"/>
          <w:u w:val="single" w:color="auto"/>
          <w:color w:val="auto"/>
        </w:rPr>
        <w:t>Section 3.03</w:t>
      </w:r>
      <w:r>
        <w:rPr>
          <w:rFonts w:ascii="Arial" w:cs="Arial" w:eastAsia="Arial" w:hAnsi="Arial"/>
          <w:sz w:val="21"/>
          <w:szCs w:val="21"/>
          <w:color w:val="auto"/>
        </w:rPr>
        <w:t xml:space="preserve"> below.</w:t>
      </w:r>
    </w:p>
    <w:p>
      <w:pPr>
        <w:spacing w:after="0" w:line="25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Rate Transition Date</w:t>
      </w:r>
      <w:r>
        <w:rPr>
          <w:rFonts w:ascii="Arial" w:cs="Arial" w:eastAsia="Arial" w:hAnsi="Arial"/>
          <w:sz w:val="22"/>
          <w:szCs w:val="22"/>
          <w:color w:val="auto"/>
        </w:rPr>
        <w:t>” means June 1, 2023.</w:t>
      </w:r>
    </w:p>
    <w:p>
      <w:pPr>
        <w:spacing w:after="0" w:line="233" w:lineRule="exact"/>
        <w:rPr>
          <w:sz w:val="20"/>
          <w:szCs w:val="20"/>
          <w:color w:val="auto"/>
        </w:rPr>
      </w:pPr>
    </w:p>
    <w:p>
      <w:pPr>
        <w:jc w:val="both"/>
        <w:ind w:left="860" w:right="219" w:firstLine="648"/>
        <w:spacing w:after="0" w:line="27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Relevant Governmental Body</w:t>
      </w:r>
      <w:r>
        <w:rPr>
          <w:rFonts w:ascii="Arial" w:cs="Arial" w:eastAsia="Arial" w:hAnsi="Arial"/>
          <w:sz w:val="22"/>
          <w:szCs w:val="22"/>
          <w:color w:val="auto"/>
        </w:rPr>
        <w:t>” means the FRB or the Federal Reserve Bank of New York, or a committee officially endorsed or convened by the FRB or the Federal Reserve Bank of New York or any successor thereto.</w:t>
      </w:r>
    </w:p>
    <w:p>
      <w:pPr>
        <w:spacing w:after="0" w:line="183" w:lineRule="exact"/>
        <w:rPr>
          <w:sz w:val="20"/>
          <w:szCs w:val="20"/>
          <w:color w:val="auto"/>
        </w:rPr>
      </w:pPr>
    </w:p>
    <w:p>
      <w:pPr>
        <w:jc w:val="both"/>
        <w:ind w:left="860" w:right="219"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w:t>
      </w:r>
      <w:r>
        <w:rPr>
          <w:rFonts w:ascii="Arial" w:cs="Arial" w:eastAsia="Arial" w:hAnsi="Arial"/>
          <w:sz w:val="22"/>
          <w:szCs w:val="22"/>
          <w:color w:val="auto"/>
        </w:rPr>
        <w:t>” means a rate equal to the secured overnight financing rate as administered by the SOFR Administrator.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SOFR Adjustment</w:t>
      </w:r>
      <w:r>
        <w:rPr>
          <w:rFonts w:ascii="Arial" w:cs="Arial" w:eastAsia="Arial" w:hAnsi="Arial"/>
          <w:sz w:val="19"/>
          <w:szCs w:val="19"/>
          <w:color w:val="auto"/>
        </w:rPr>
        <w:t>” means a percentage equal to one tenth percent (0.10%) per</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annum.</w:t>
      </w:r>
    </w:p>
    <w:p>
      <w:pPr>
        <w:spacing w:after="0" w:line="236" w:lineRule="exact"/>
        <w:rPr>
          <w:sz w:val="20"/>
          <w:szCs w:val="20"/>
          <w:color w:val="auto"/>
        </w:rPr>
      </w:pPr>
    </w:p>
    <w:p>
      <w:pPr>
        <w:jc w:val="both"/>
        <w:ind w:left="860" w:right="219"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75" w:lineRule="exact"/>
        <w:rPr>
          <w:sz w:val="20"/>
          <w:szCs w:val="20"/>
          <w:color w:val="auto"/>
        </w:rPr>
      </w:pPr>
    </w:p>
    <w:p>
      <w:pPr>
        <w:jc w:val="both"/>
        <w:ind w:left="860" w:right="219"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75" w:lineRule="exact"/>
        <w:rPr>
          <w:sz w:val="20"/>
          <w:szCs w:val="20"/>
          <w:color w:val="auto"/>
        </w:rPr>
      </w:pPr>
    </w:p>
    <w:p>
      <w:pPr>
        <w:jc w:val="both"/>
        <w:ind w:left="860" w:right="219" w:firstLine="648"/>
        <w:spacing w:after="0" w:line="29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 Determination Day</w:t>
      </w:r>
      <w:r>
        <w:rPr>
          <w:rFonts w:ascii="Arial" w:cs="Arial" w:eastAsia="Arial" w:hAnsi="Arial"/>
          <w:sz w:val="22"/>
          <w:szCs w:val="22"/>
          <w:color w:val="auto"/>
        </w:rPr>
        <w:t>” has the meaning specified in the definition of “Adjusted Daily Simple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600075</wp:posOffset>
            </wp:positionV>
            <wp:extent cx="54521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jc w:val="both"/>
        <w:ind w:left="860" w:right="219" w:firstLine="648"/>
        <w:spacing w:after="0" w:line="29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SOFR Rate Day</w:t>
      </w:r>
      <w:r>
        <w:rPr>
          <w:rFonts w:ascii="Arial" w:cs="Arial" w:eastAsia="Arial" w:hAnsi="Arial"/>
          <w:sz w:val="22"/>
          <w:szCs w:val="22"/>
          <w:color w:val="auto"/>
        </w:rPr>
        <w:t>” has the meaning specified in the definition of “Adjusted Daily Simple SOFR”.</w:t>
      </w:r>
    </w:p>
    <w:p>
      <w:pPr>
        <w:spacing w:after="0" w:line="148" w:lineRule="exact"/>
        <w:rPr>
          <w:sz w:val="20"/>
          <w:szCs w:val="20"/>
          <w:color w:val="auto"/>
        </w:rPr>
      </w:pPr>
    </w:p>
    <w:p>
      <w:pPr>
        <w:jc w:val="both"/>
        <w:ind w:left="860" w:right="219" w:firstLine="64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U.S. Government Securities Business Day</w:t>
      </w:r>
      <w:r>
        <w:rPr>
          <w:rFonts w:ascii="Arial" w:cs="Arial" w:eastAsia="Arial" w:hAnsi="Arial"/>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25"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9"/>
          <w:szCs w:val="19"/>
          <w:b w:val="1"/>
          <w:bCs w:val="1"/>
          <w:color w:val="auto"/>
        </w:rPr>
        <w:t xml:space="preserve">Section 1.02 </w:t>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The Existing Loan Agreement and each other applicable Loan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 are each hereby amended and modified (to the extent applicable) to incorporate the definitions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extent used in any such Loan Document, including as a result of the effectiveness of this Agreement. If the Existing Loan Agreement or any other Loan Document as in effect immediately prior to giving effect to the provisions of this Agreement already defines any term defined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definition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supersede such definition in the Existing Loan Agreement or such Loan Document, if applicable.</w:t>
      </w:r>
    </w:p>
    <w:p>
      <w:pPr>
        <w:spacing w:after="0" w:line="162"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21"/>
          <w:szCs w:val="21"/>
          <w:b w:val="1"/>
          <w:bCs w:val="1"/>
          <w:color w:val="auto"/>
        </w:rPr>
        <w:t xml:space="preserve">Section 1.03 </w:t>
      </w:r>
      <w:r>
        <w:rPr>
          <w:rFonts w:ascii="Arial" w:cs="Arial" w:eastAsia="Arial" w:hAnsi="Arial"/>
          <w:sz w:val="21"/>
          <w:szCs w:val="21"/>
          <w:b w:val="1"/>
          <w:bCs w:val="1"/>
          <w:u w:val="single" w:color="auto"/>
          <w:color w:val="auto"/>
        </w:rPr>
        <w:t>Additional Conforming Changes</w:t>
      </w:r>
      <w:r>
        <w:rPr>
          <w:rFonts w:ascii="Arial" w:cs="Arial" w:eastAsia="Arial" w:hAnsi="Arial"/>
          <w:sz w:val="21"/>
          <w:szCs w:val="21"/>
          <w:color w:val="auto"/>
        </w:rPr>
        <w:t>. Nothing in this Agreement shall restrict</w:t>
      </w:r>
      <w:r>
        <w:rPr>
          <w:rFonts w:ascii="Arial" w:cs="Arial" w:eastAsia="Arial" w:hAnsi="Arial"/>
          <w:sz w:val="21"/>
          <w:szCs w:val="21"/>
          <w:b w:val="1"/>
          <w:bCs w:val="1"/>
          <w:color w:val="auto"/>
        </w:rPr>
        <w:t xml:space="preserve"> </w:t>
      </w:r>
      <w:r>
        <w:rPr>
          <w:rFonts w:ascii="Arial" w:cs="Arial" w:eastAsia="Arial" w:hAnsi="Arial"/>
          <w:sz w:val="21"/>
          <w:szCs w:val="21"/>
          <w:color w:val="auto"/>
        </w:rPr>
        <w:t>or impact the ability or right of Administrative Agent, in consultation with Borrower, to make any future modifications, supplements, amendments, technical, administrative or operational changes or other conforming changes that Administrative Agent reasonably decides may be necessary to reflect the adoption and implementation of Adjusted Daily Simple SOFR and to permit the use and administration thereof by Administrative Agent to the extent permitted pursuant to the Loan Documents, as amended hereby.</w:t>
      </w:r>
    </w:p>
    <w:p>
      <w:pPr>
        <w:spacing w:after="0" w:line="17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Discontinuance of the LIBO Rate.</w:t>
      </w:r>
    </w:p>
    <w:p>
      <w:pPr>
        <w:spacing w:after="0" w:line="220"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b w:val="1"/>
          <w:bCs w:val="1"/>
          <w:color w:val="auto"/>
        </w:rPr>
        <w:t xml:space="preserve">Section 2.01 </w:t>
      </w:r>
      <w:r>
        <w:rPr>
          <w:rFonts w:ascii="Arial" w:cs="Arial" w:eastAsia="Arial" w:hAnsi="Arial"/>
          <w:sz w:val="22"/>
          <w:szCs w:val="22"/>
          <w:b w:val="1"/>
          <w:bCs w:val="1"/>
          <w:u w:val="single" w:color="auto"/>
          <w:color w:val="auto"/>
        </w:rPr>
        <w:t>LIBO Rate Credit Extensions</w:t>
      </w:r>
      <w:r>
        <w:rPr>
          <w:rFonts w:ascii="Arial" w:cs="Arial" w:eastAsia="Arial" w:hAnsi="Arial"/>
          <w:sz w:val="22"/>
          <w:szCs w:val="22"/>
          <w:color w:val="auto"/>
        </w:rPr>
        <w:t>. Notwithstanding any provision of the Loan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or any other Loan Document to the contrary, whether or not the LIBO Rate is operational, reported, published on a synthetic basis or otherwise available in the market as of the Rate Transition Date, subject to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 the Loan shall, from and after the Rate Transition Date, no longer bear interest at the LIBO Rate and (b) any request for a disbursement of the Loan at the LIBO Rate shall be ineffective, to the extent that any such disbursement would, but for the provisions of this </w:t>
      </w:r>
      <w:r>
        <w:rPr>
          <w:rFonts w:ascii="Arial" w:cs="Arial" w:eastAsia="Arial" w:hAnsi="Arial"/>
          <w:sz w:val="22"/>
          <w:szCs w:val="22"/>
          <w:u w:val="single" w:color="auto"/>
          <w:color w:val="auto"/>
        </w:rPr>
        <w:t>Exhibit A</w:t>
      </w:r>
      <w:r>
        <w:rPr>
          <w:rFonts w:ascii="Arial" w:cs="Arial" w:eastAsia="Arial" w:hAnsi="Arial"/>
          <w:sz w:val="22"/>
          <w:szCs w:val="22"/>
          <w:color w:val="auto"/>
        </w:rPr>
        <w:t>, reference a setting of the LIBO Rate on or after the Rate Transition Date.</w:t>
      </w:r>
    </w:p>
    <w:p>
      <w:pPr>
        <w:spacing w:after="0" w:line="185"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2"/>
          <w:szCs w:val="22"/>
          <w:b w:val="1"/>
          <w:bCs w:val="1"/>
          <w:color w:val="auto"/>
        </w:rPr>
        <w:t xml:space="preserve">Section 2.02 </w:t>
      </w:r>
      <w:r>
        <w:rPr>
          <w:rFonts w:ascii="Arial" w:cs="Arial" w:eastAsia="Arial" w:hAnsi="Arial"/>
          <w:sz w:val="22"/>
          <w:szCs w:val="22"/>
          <w:b w:val="1"/>
          <w:bCs w:val="1"/>
          <w:u w:val="single" w:color="auto"/>
          <w:color w:val="auto"/>
        </w:rPr>
        <w:t>LIBO Rate Definitions</w:t>
      </w:r>
      <w:r>
        <w:rPr>
          <w:rFonts w:ascii="Arial" w:cs="Arial" w:eastAsia="Arial" w:hAnsi="Arial"/>
          <w:sz w:val="22"/>
          <w:szCs w:val="22"/>
          <w:color w:val="auto"/>
        </w:rPr>
        <w:t>. Notwithstanding any provision of the Existing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Loan Agreement or any other Loan Document to the contrary, subject to the provisions of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Exhibit A</w:t>
      </w:r>
      <w:r>
        <w:rPr>
          <w:rFonts w:ascii="Arial" w:cs="Arial" w:eastAsia="Arial" w:hAnsi="Arial"/>
          <w:sz w:val="22"/>
          <w:szCs w:val="22"/>
          <w:color w:val="auto"/>
        </w:rPr>
        <w:t>, from and after the Rate Transition Date, the “LIBO Rate” and related definitions shall be deemed deleted from the Existing Loan Agreement and each other applicable Loan Document and of no further force or effect.</w:t>
      </w:r>
    </w:p>
    <w:p>
      <w:pPr>
        <w:spacing w:after="0" w:line="18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9"/>
          <w:szCs w:val="19"/>
          <w:b w:val="1"/>
          <w:bCs w:val="1"/>
          <w:u w:val="single" w:color="auto"/>
          <w:color w:val="auto"/>
        </w:rPr>
        <w:t>New Adjusted Daily Simple SOFR Benchmark</w:t>
      </w:r>
      <w:r>
        <w:rPr>
          <w:rFonts w:ascii="Arial" w:cs="Arial" w:eastAsia="Arial" w:hAnsi="Arial"/>
          <w:sz w:val="19"/>
          <w:szCs w:val="19"/>
          <w:color w:val="auto"/>
        </w:rPr>
        <w:t>.</w:t>
      </w:r>
    </w:p>
    <w:p>
      <w:pPr>
        <w:spacing w:after="0" w:line="220" w:lineRule="exact"/>
        <w:rPr>
          <w:sz w:val="20"/>
          <w:szCs w:val="20"/>
          <w:color w:val="auto"/>
        </w:rPr>
      </w:pPr>
    </w:p>
    <w:p>
      <w:pPr>
        <w:jc w:val="both"/>
        <w:ind w:left="200" w:right="219" w:firstLine="648"/>
        <w:spacing w:after="0" w:line="315" w:lineRule="auto"/>
        <w:rPr>
          <w:sz w:val="20"/>
          <w:szCs w:val="20"/>
          <w:color w:val="auto"/>
        </w:rPr>
      </w:pPr>
      <w:r>
        <w:rPr>
          <w:rFonts w:ascii="Arial" w:cs="Arial" w:eastAsia="Arial" w:hAnsi="Arial"/>
          <w:sz w:val="19"/>
          <w:szCs w:val="19"/>
          <w:b w:val="1"/>
          <w:bCs w:val="1"/>
          <w:color w:val="auto"/>
        </w:rPr>
        <w:t xml:space="preserve">Section 3.01 </w:t>
      </w:r>
      <w:r>
        <w:rPr>
          <w:rFonts w:ascii="Arial" w:cs="Arial" w:eastAsia="Arial" w:hAnsi="Arial"/>
          <w:sz w:val="19"/>
          <w:szCs w:val="19"/>
          <w:b w:val="1"/>
          <w:bCs w:val="1"/>
          <w:u w:val="single" w:color="auto"/>
          <w:color w:val="auto"/>
        </w:rPr>
        <w:t>Modification to LIBOR Rate Related Definitions and Provisions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Notwithstanding any provision of the Existing Loan Agreement or any other Loan Document to the contrary, subject to the provisions of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A</w:t>
      </w:r>
      <w:r>
        <w:rPr>
          <w:rFonts w:ascii="Arial" w:cs="Arial" w:eastAsia="Arial" w:hAnsi="Arial"/>
          <w:sz w:val="19"/>
          <w:szCs w:val="19"/>
          <w:color w:val="auto"/>
        </w:rPr>
        <w:t>: (a) from and after the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2" w:name="page73"/>
    <w:bookmarkEnd w:id="72"/>
    <w:p>
      <w:pPr>
        <w:jc w:val="both"/>
        <w:ind w:left="200" w:right="219"/>
        <w:spacing w:after="0" w:line="291" w:lineRule="auto"/>
        <w:rPr>
          <w:sz w:val="20"/>
          <w:szCs w:val="20"/>
          <w:color w:val="auto"/>
        </w:rPr>
      </w:pPr>
      <w:r>
        <w:rPr>
          <w:rFonts w:ascii="Arial" w:cs="Arial" w:eastAsia="Arial" w:hAnsi="Arial"/>
          <w:sz w:val="19"/>
          <w:szCs w:val="19"/>
          <w:color w:val="auto"/>
        </w:rPr>
        <w:t>Transition Date, any usage of “LIBO Rate” in the Existing Loan Agreement or any other Loan Document, as applicable, shall be deemed deleted and of no further force or effect and the term “Adjusted Daily Simple SOFR” shall be inserted in lieu thereof; and (b) any term or provision of the Existing Loan Agreement or any other Loan Document that refers or is applicable to the LIBO Rate immediately prior to giving effect to the provisions of this Agreement on the Rate Transition Date shall be deemed to refer to and be applicable to Adjusted Daily Simple SOFR from and after the Rate Transition Date, unless, and to the extent that, such term or provision is superseded or otherwise modified by this Agreement, in which case, such term or provision shall to such extent be construed as so superseded or otherwise modified as set forth in this Agreement.</w:t>
      </w:r>
    </w:p>
    <w:p>
      <w:pPr>
        <w:spacing w:after="0" w:line="148"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2"/>
          <w:szCs w:val="22"/>
          <w:b w:val="1"/>
          <w:bCs w:val="1"/>
          <w:color w:val="auto"/>
        </w:rPr>
        <w:t xml:space="preserve">Section 3.02 </w:t>
      </w:r>
      <w:r>
        <w:rPr>
          <w:rFonts w:ascii="Arial" w:cs="Arial" w:eastAsia="Arial" w:hAnsi="Arial"/>
          <w:sz w:val="22"/>
          <w:szCs w:val="22"/>
          <w:b w:val="1"/>
          <w:bCs w:val="1"/>
          <w:u w:val="single" w:color="auto"/>
          <w:color w:val="auto"/>
        </w:rPr>
        <w:t>SOFR Conventions and Provisions</w:t>
      </w:r>
      <w:r>
        <w:rPr>
          <w:rFonts w:ascii="Arial" w:cs="Arial" w:eastAsia="Arial" w:hAnsi="Arial"/>
          <w:sz w:val="22"/>
          <w:szCs w:val="22"/>
          <w:color w:val="auto"/>
        </w:rPr>
        <w:t>. Notwithstanding any provision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Existing Loan Agreement or any other Loan Document to the contrary, subject to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Exhibit A</w:t>
      </w:r>
      <w:r>
        <w:rPr>
          <w:rFonts w:ascii="Arial" w:cs="Arial" w:eastAsia="Arial" w:hAnsi="Arial"/>
          <w:sz w:val="22"/>
          <w:szCs w:val="22"/>
          <w:color w:val="auto"/>
        </w:rPr>
        <w:t>, and the Existing Loan Agreement and each other applicable Loan Document are each hereby amended and modified from and after the Rate Transition Date to incorporate such provisions therein:</w:t>
      </w:r>
    </w:p>
    <w:p>
      <w:pPr>
        <w:spacing w:after="0" w:line="186" w:lineRule="exact"/>
        <w:rPr>
          <w:sz w:val="20"/>
          <w:szCs w:val="20"/>
          <w:color w:val="auto"/>
        </w:rPr>
      </w:pPr>
    </w:p>
    <w:p>
      <w:pPr>
        <w:jc w:val="both"/>
        <w:ind w:left="860" w:right="219" w:firstLine="1293"/>
        <w:spacing w:after="0" w:line="285" w:lineRule="auto"/>
        <w:tabs>
          <w:tab w:leader="none" w:pos="2804"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Rates Generally</w:t>
      </w:r>
      <w:r>
        <w:rPr>
          <w:rFonts w:ascii="Arial" w:cs="Arial" w:eastAsia="Arial" w:hAnsi="Arial"/>
          <w:sz w:val="19"/>
          <w:szCs w:val="19"/>
          <w:color w:val="auto"/>
        </w:rPr>
        <w:t>. Administrative Agent does not warrant or accept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responsibility for, and shall not have any liability with respect to, (a) the continuation of, administration of, submission of, calculation of or any other matter related to Adjusted Daily Simple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9"/>
          <w:szCs w:val="19"/>
          <w:u w:val="single" w:color="auto"/>
          <w:color w:val="auto"/>
        </w:rPr>
        <w:t>Section 3.04(c)</w:t>
      </w:r>
      <w:r>
        <w:rPr>
          <w:rFonts w:ascii="Arial" w:cs="Arial" w:eastAsia="Arial" w:hAnsi="Arial"/>
          <w:sz w:val="19"/>
          <w:szCs w:val="19"/>
          <w:color w:val="auto"/>
        </w:rPr>
        <w:t xml:space="preserve"> below, will be similar to, or produce the same value or economic equivalence of, or have the same volume or liquidity as, Adjusted Daily Simple SOFR, or any other Benchmark prior to its discontinuance or unavailability, or (b) the effect, implementation or composition of any Conforming Changes. Administrative Agent and its Affiliates or other related entities may engage in transactions that affect the calculation of Adjusted Daily Simple SOFR, any alternative, successor or replacement rate (including any Benchmark Replacement) or any relevant adjustments thereto and such transactions may be adverse to Borrower. Administrative Agent may select information sources or services in its reasonable discretion to ascertain Adjusted Daily Simple SOFR, or any other Benchmark, any component definition thereof or rates referred to in the definition thereof, in each case pursuant to the terms of the Loan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860" w:right="219" w:firstLine="1293"/>
        <w:spacing w:after="0" w:line="298" w:lineRule="auto"/>
        <w:tabs>
          <w:tab w:leader="none" w:pos="2804"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London Interbank Market</w:t>
      </w:r>
      <w:r>
        <w:rPr>
          <w:rFonts w:ascii="Arial" w:cs="Arial" w:eastAsia="Arial" w:hAnsi="Arial"/>
          <w:sz w:val="19"/>
          <w:szCs w:val="19"/>
          <w:color w:val="auto"/>
        </w:rPr>
        <w:t>. Any reference in the Existing Loan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any other Loan Documents to the London interbank market, London interbank eurodollar market or other analogous or similar term shall be disregarded and, to the extent that such reference operates as a limitation on, or qualification of, the applicability of another provision, such limitation or qualification will be deemed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588010</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3" w:name="page74"/>
    <w:bookmarkEnd w:id="73"/>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3.03</w:t>
      </w:r>
      <w:r>
        <w:rPr>
          <w:sz w:val="20"/>
          <w:szCs w:val="20"/>
          <w:color w:val="auto"/>
        </w:rPr>
        <w:tab/>
      </w:r>
      <w:r>
        <w:rPr>
          <w:rFonts w:ascii="Arial" w:cs="Arial" w:eastAsia="Arial" w:hAnsi="Arial"/>
          <w:sz w:val="19"/>
          <w:szCs w:val="19"/>
          <w:b w:val="1"/>
          <w:bCs w:val="1"/>
          <w:u w:val="single" w:color="auto"/>
          <w:color w:val="auto"/>
        </w:rPr>
        <w:t>Interest on the Loan</w:t>
      </w:r>
      <w:r>
        <w:rPr>
          <w:rFonts w:ascii="Arial" w:cs="Arial" w:eastAsia="Arial" w:hAnsi="Arial"/>
          <w:sz w:val="19"/>
          <w:szCs w:val="19"/>
          <w:b w:val="1"/>
          <w:bCs w:val="1"/>
          <w:color w:val="auto"/>
        </w:rPr>
        <w:t>.</w:t>
      </w:r>
    </w:p>
    <w:p>
      <w:pPr>
        <w:spacing w:after="0" w:line="220" w:lineRule="exact"/>
        <w:rPr>
          <w:sz w:val="20"/>
          <w:szCs w:val="20"/>
          <w:color w:val="auto"/>
        </w:rPr>
      </w:pPr>
    </w:p>
    <w:p>
      <w:pPr>
        <w:jc w:val="both"/>
        <w:ind w:left="860" w:right="219" w:firstLine="1293"/>
        <w:spacing w:after="0" w:line="249" w:lineRule="auto"/>
        <w:tabs>
          <w:tab w:leader="none" w:pos="2804" w:val="left"/>
        </w:tabs>
        <w:numPr>
          <w:ilvl w:val="0"/>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Interest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accrued on the outstanding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balance of the Loan shall be due and payable, in the manner provided in the Loan Agreement, on the first (1</w:t>
      </w:r>
      <w:r>
        <w:rPr>
          <w:rFonts w:ascii="Arial" w:cs="Arial" w:eastAsia="Arial" w:hAnsi="Arial"/>
          <w:sz w:val="30"/>
          <w:szCs w:val="30"/>
          <w:color w:val="auto"/>
          <w:vertAlign w:val="superscript"/>
        </w:rPr>
        <w:t>st</w:t>
      </w:r>
      <w:r>
        <w:rPr>
          <w:rFonts w:ascii="Arial" w:cs="Arial" w:eastAsia="Arial" w:hAnsi="Arial"/>
          <w:sz w:val="20"/>
          <w:szCs w:val="20"/>
          <w:color w:val="auto"/>
        </w:rPr>
        <w:t>) Business Day of each calendar month commencing with the first calendar month after the Rate Transition Date (each such date, a “</w:t>
      </w:r>
      <w:r>
        <w:rPr>
          <w:rFonts w:ascii="Arial" w:cs="Arial" w:eastAsia="Arial" w:hAnsi="Arial"/>
          <w:sz w:val="20"/>
          <w:szCs w:val="20"/>
          <w:u w:val="single" w:color="auto"/>
          <w:color w:val="auto"/>
        </w:rPr>
        <w:t>Payment Date</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left="860" w:right="219" w:firstLine="1293"/>
        <w:spacing w:after="0" w:line="264" w:lineRule="auto"/>
        <w:tabs>
          <w:tab w:leader="none" w:pos="2804"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Default Interest, Late Fees and Maximum Rates</w:t>
      </w:r>
      <w:r>
        <w:rPr>
          <w:rFonts w:ascii="Arial" w:cs="Arial" w:eastAsia="Arial" w:hAnsi="Arial"/>
          <w:sz w:val="21"/>
          <w:szCs w:val="21"/>
          <w:color w:val="auto"/>
        </w:rPr>
        <w:t>.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avoidance of doubt, the provisions of the Loan Agreement relating to the payment of default interest, the payment of late fees and the application of maximum interest rates shall continue in full force and effect, except to the extent any component definition or provision used in the calculation thereof is modified hereby.</w:t>
      </w:r>
    </w:p>
    <w:p>
      <w:pPr>
        <w:spacing w:after="0" w:line="170" w:lineRule="exact"/>
        <w:rPr>
          <w:rFonts w:ascii="Arial" w:cs="Arial" w:eastAsia="Arial" w:hAnsi="Arial"/>
          <w:sz w:val="21"/>
          <w:szCs w:val="21"/>
          <w:color w:val="auto"/>
        </w:rPr>
      </w:pPr>
    </w:p>
    <w:p>
      <w:pPr>
        <w:jc w:val="both"/>
        <w:ind w:left="860" w:right="219" w:firstLine="1293"/>
        <w:spacing w:after="0" w:line="293" w:lineRule="auto"/>
        <w:tabs>
          <w:tab w:leader="none" w:pos="2804"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Computation of Interest</w:t>
      </w:r>
      <w:r>
        <w:rPr>
          <w:rFonts w:ascii="Arial" w:cs="Arial" w:eastAsia="Arial" w:hAnsi="Arial"/>
          <w:sz w:val="19"/>
          <w:szCs w:val="19"/>
          <w:color w:val="auto"/>
        </w:rPr>
        <w:t>. Interest shall be computed on the basis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actual number of days elapsed in the period during which interest or fees accrue and a year of three hundred sixty (360) days on the principal balance of the Loan outstanding from time to time. In computing interest on the Loan, the date of the making of any advance on the Loan shall be included and the date of payment shall be excluded. Notwithstanding any provision in this </w:t>
      </w:r>
      <w:r>
        <w:rPr>
          <w:rFonts w:ascii="Arial" w:cs="Arial" w:eastAsia="Arial" w:hAnsi="Arial"/>
          <w:sz w:val="19"/>
          <w:szCs w:val="19"/>
          <w:u w:val="single" w:color="auto"/>
          <w:color w:val="auto"/>
        </w:rPr>
        <w:t>Section 3.03</w:t>
      </w:r>
      <w:r>
        <w:rPr>
          <w:rFonts w:ascii="Arial" w:cs="Arial" w:eastAsia="Arial" w:hAnsi="Arial"/>
          <w:sz w:val="19"/>
          <w:szCs w:val="19"/>
          <w:color w:val="auto"/>
        </w:rPr>
        <w:t>, interest in respect of the Loan shall not exceed the maximum rate permitted by applicable Requirements of Law.</w:t>
      </w:r>
    </w:p>
    <w:p>
      <w:pPr>
        <w:spacing w:after="0" w:line="144" w:lineRule="exact"/>
        <w:rPr>
          <w:rFonts w:ascii="Arial" w:cs="Arial" w:eastAsia="Arial" w:hAnsi="Arial"/>
          <w:sz w:val="19"/>
          <w:szCs w:val="19"/>
          <w:color w:val="auto"/>
        </w:rPr>
      </w:pPr>
    </w:p>
    <w:p>
      <w:pPr>
        <w:jc w:val="both"/>
        <w:ind w:left="860" w:right="219" w:firstLine="1293"/>
        <w:spacing w:after="0" w:line="267" w:lineRule="auto"/>
        <w:tabs>
          <w:tab w:leader="none" w:pos="2804"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Effective Rate</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3.04</w:t>
      </w:r>
      <w:r>
        <w:rPr>
          <w:rFonts w:ascii="Arial" w:cs="Arial" w:eastAsia="Arial" w:hAnsi="Arial"/>
          <w:sz w:val="21"/>
          <w:szCs w:val="21"/>
          <w:b w:val="1"/>
          <w:bCs w:val="1"/>
          <w:color w:val="auto"/>
        </w:rPr>
        <w:t xml:space="preserve"> </w:t>
      </w:r>
      <w:r>
        <w:rPr>
          <w:rFonts w:ascii="Arial" w:cs="Arial" w:eastAsia="Arial" w:hAnsi="Arial"/>
          <w:sz w:val="21"/>
          <w:szCs w:val="21"/>
          <w:color w:val="auto"/>
        </w:rPr>
        <w:t>below, provided that no</w:t>
      </w:r>
      <w:r>
        <w:rPr>
          <w:rFonts w:ascii="Arial" w:cs="Arial" w:eastAsia="Arial" w:hAnsi="Arial"/>
          <w:sz w:val="21"/>
          <w:szCs w:val="21"/>
          <w:b w:val="1"/>
          <w:bCs w:val="1"/>
          <w:color w:val="auto"/>
        </w:rPr>
        <w:t xml:space="preserve"> </w:t>
      </w:r>
      <w:r>
        <w:rPr>
          <w:rFonts w:ascii="Arial" w:cs="Arial" w:eastAsia="Arial" w:hAnsi="Arial"/>
          <w:sz w:val="21"/>
          <w:szCs w:val="21"/>
          <w:color w:val="auto"/>
        </w:rPr>
        <w:t>Default then exists, the “</w:t>
      </w:r>
      <w:r>
        <w:rPr>
          <w:rFonts w:ascii="Arial" w:cs="Arial" w:eastAsia="Arial" w:hAnsi="Arial"/>
          <w:sz w:val="21"/>
          <w:szCs w:val="21"/>
          <w:u w:val="single" w:color="auto"/>
          <w:color w:val="auto"/>
        </w:rPr>
        <w:t>Effective Rate</w:t>
      </w:r>
      <w:r>
        <w:rPr>
          <w:rFonts w:ascii="Arial" w:cs="Arial" w:eastAsia="Arial" w:hAnsi="Arial"/>
          <w:sz w:val="21"/>
          <w:szCs w:val="21"/>
          <w:color w:val="auto"/>
        </w:rPr>
        <w:t>” upon which interest shall be calculated for the Loan shall, from and after the Rate Transition Date, be the Calculated Rate (calculated after giving effect to the terms and provisions of this Agreement).</w:t>
      </w:r>
    </w:p>
    <w:p>
      <w:pPr>
        <w:spacing w:after="0" w:line="167" w:lineRule="exact"/>
        <w:rPr>
          <w:rFonts w:ascii="Arial" w:cs="Arial" w:eastAsia="Arial" w:hAnsi="Arial"/>
          <w:sz w:val="21"/>
          <w:szCs w:val="21"/>
          <w:color w:val="auto"/>
        </w:rPr>
      </w:pPr>
    </w:p>
    <w:p>
      <w:pPr>
        <w:jc w:val="both"/>
        <w:ind w:left="860" w:right="219" w:firstLine="1293"/>
        <w:spacing w:after="0" w:line="246" w:lineRule="auto"/>
        <w:tabs>
          <w:tab w:leader="none" w:pos="2804"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Adjusted Daily Simple SOFR Conforming Changes</w:t>
      </w:r>
      <w:r>
        <w:rPr>
          <w:rFonts w:ascii="Arial" w:cs="Arial" w:eastAsia="Arial" w:hAnsi="Arial"/>
          <w:sz w:val="22"/>
          <w:szCs w:val="22"/>
          <w:color w:val="auto"/>
        </w:rPr>
        <w:t>.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use or administration of Adjusted Daily Simple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Agreement or any other Loan Document. Administrative Agent will promptly notify Borrower and the Lenders of the effectiveness of any Conforming Changes in connection with the use or administration of Adjusted Daily Simple SOFR.</w:t>
      </w:r>
    </w:p>
    <w:p>
      <w:pPr>
        <w:spacing w:after="0" w:line="191"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3.04</w:t>
      </w:r>
      <w:r>
        <w:rPr>
          <w:sz w:val="20"/>
          <w:szCs w:val="20"/>
          <w:color w:val="auto"/>
        </w:rPr>
        <w:tab/>
      </w:r>
      <w:r>
        <w:rPr>
          <w:rFonts w:ascii="Arial" w:cs="Arial" w:eastAsia="Arial" w:hAnsi="Arial"/>
          <w:sz w:val="19"/>
          <w:szCs w:val="19"/>
          <w:b w:val="1"/>
          <w:bCs w:val="1"/>
          <w:u w:val="single" w:color="auto"/>
          <w:color w:val="auto"/>
        </w:rPr>
        <w:t>Changed Circumstances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firstLine="1293"/>
        <w:spacing w:after="0" w:line="291" w:lineRule="auto"/>
        <w:tabs>
          <w:tab w:leader="none" w:pos="280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Circumstances Affecting Benchmark Availability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below, if for any reason Administrative Agent shall determine (which determination shall be conclusive and binding absent manifest error) that reasonable and adequate means do not exist for ascertaining Adjusted Daily Simple SOFR with respect to the Benchmark Loan, or (ii) the Requisite Lenders shall determine (which determination shall be conclusive and binding absent manifest error) that Adjusted Daily Simple SOFR does not adequately and fairly reflect the cost to such Lender of making or maintaining the Loan and,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the Requisite Lenders have provided notice of such determination to Administrative Agent then, in each case, Administrative Agent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4" w:name="page75"/>
    <w:bookmarkEnd w:id="74"/>
    <w:p>
      <w:pPr>
        <w:jc w:val="both"/>
        <w:ind w:left="860" w:right="219"/>
        <w:spacing w:after="0" w:line="289" w:lineRule="auto"/>
        <w:rPr>
          <w:sz w:val="20"/>
          <w:szCs w:val="20"/>
          <w:color w:val="auto"/>
        </w:rPr>
      </w:pPr>
      <w:r>
        <w:rPr>
          <w:rFonts w:ascii="Arial" w:cs="Arial" w:eastAsia="Arial" w:hAnsi="Arial"/>
          <w:sz w:val="19"/>
          <w:szCs w:val="19"/>
          <w:color w:val="auto"/>
        </w:rPr>
        <w:t xml:space="preserve">promptly give notice thereof to Borrower. Thereafter, unless Borrower repays in full (or cause to be repaid in full) the then outstanding principal amount of the Loan, together with accrued interest thereon and the payment of any prepayment premiums, yield maintenance or other payments due in connection therewith pursuant to the terms of the Loan Agreement, (subject to any provisions of the Loan Agreement regarding the maximum rate of interest applicable to the Loan), on the day immediately following the delivery of such notice and thereafter, until Administrative Agent (with respect to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at the instruction of the Requisite Lenders) notifies Borrower that such circumstances no longer exist, Loan will accrue interest at the Base Rate. Upon any such prepayment or conversion, Borrower shall also pay accrued interest on the amount so prepaid or converted,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below.</w:t>
      </w:r>
    </w:p>
    <w:p>
      <w:pPr>
        <w:spacing w:after="0" w:line="157" w:lineRule="exact"/>
        <w:rPr>
          <w:sz w:val="20"/>
          <w:szCs w:val="20"/>
          <w:color w:val="auto"/>
        </w:rPr>
      </w:pPr>
    </w:p>
    <w:p>
      <w:pPr>
        <w:jc w:val="both"/>
        <w:ind w:left="860" w:right="219" w:firstLine="1293"/>
        <w:spacing w:after="0" w:line="257" w:lineRule="auto"/>
        <w:tabs>
          <w:tab w:leader="none" w:pos="2804"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Laws Affecting SOFR Availability</w:t>
      </w:r>
      <w:r>
        <w:rPr>
          <w:rFonts w:ascii="Arial" w:cs="Arial" w:eastAsia="Arial" w:hAnsi="Arial"/>
          <w:sz w:val="21"/>
          <w:szCs w:val="21"/>
          <w:color w:val="auto"/>
        </w:rPr>
        <w:t>. If, after the Rate Transition Date, the introduction of, or any change in, any applicable Requirement of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the Loan using a SOFR rate, or to determine or charge interest based upon SOFR, Adjusted Daily Simple SOFR, such Lender shall promptly give notice thereof to Administrative Agent and the Administrative Agent shall promptly give notice to Borrower and the other Lenders. Thereafter, until each affected Lender notifies Administrative Agent and Administrative Agent notifies Borrower that the circumstances giving rise to such determination no longer exist, the Loan shall accrue interest at the Base Rate.</w:t>
      </w:r>
    </w:p>
    <w:p>
      <w:pPr>
        <w:spacing w:after="0" w:line="184" w:lineRule="exact"/>
        <w:rPr>
          <w:rFonts w:ascii="Arial" w:cs="Arial" w:eastAsia="Arial" w:hAnsi="Arial"/>
          <w:sz w:val="21"/>
          <w:szCs w:val="21"/>
          <w:color w:val="auto"/>
        </w:rPr>
      </w:pPr>
    </w:p>
    <w:p>
      <w:pPr>
        <w:ind w:left="2800" w:hanging="647"/>
        <w:spacing w:after="0"/>
        <w:tabs>
          <w:tab w:leader="none" w:pos="28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Benchmark Replacement Setting</w:t>
      </w:r>
      <w:r>
        <w:rPr>
          <w:rFonts w:ascii="Arial" w:cs="Arial" w:eastAsia="Arial" w:hAnsi="Arial"/>
          <w:sz w:val="22"/>
          <w:szCs w:val="22"/>
          <w:color w:val="auto"/>
        </w:rPr>
        <w:t>.</w:t>
      </w:r>
    </w:p>
    <w:p>
      <w:pPr>
        <w:spacing w:after="0" w:line="220"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upon the occurrence of a Benchmark Transition Event, Administrative Agent and Borrower may amend the Existing Loan Agreement to replace the then-current Benchmark with a Benchmark Replacement. Any such amendment with respect to a Benchmark Transition Event will become effective at 5:00 p.m. (New York City time) on the fifth (5th) Business Day after Administrative Agent has posted such proposed amendment to all Lenders and Borrower so long as Administrative Agent has not received, by such time, written notice of objection to such amendment from Lenders comprising the Requisite Lenders. No replacement of a Benchmark with a Benchmark Replacement pursuant to this </w:t>
      </w:r>
      <w:r>
        <w:rPr>
          <w:rFonts w:ascii="Arial" w:cs="Arial" w:eastAsia="Arial" w:hAnsi="Arial"/>
          <w:sz w:val="19"/>
          <w:szCs w:val="19"/>
          <w:u w:val="single" w:color="auto"/>
          <w:color w:val="auto"/>
        </w:rPr>
        <w:t>Section 3.04(c)(i)</w:t>
      </w:r>
      <w:r>
        <w:rPr>
          <w:rFonts w:ascii="Arial" w:cs="Arial" w:eastAsia="Arial" w:hAnsi="Arial"/>
          <w:sz w:val="19"/>
          <w:szCs w:val="19"/>
          <w:color w:val="auto"/>
        </w:rPr>
        <w:t xml:space="preserve"> will occur prior to the applicable Benchmark Transition Start Date.</w:t>
      </w:r>
    </w:p>
    <w:p>
      <w:pPr>
        <w:spacing w:after="0" w:line="200" w:lineRule="exact"/>
        <w:rPr>
          <w:sz w:val="20"/>
          <w:szCs w:val="20"/>
          <w:color w:val="auto"/>
        </w:rPr>
      </w:pPr>
    </w:p>
    <w:p>
      <w:pPr>
        <w:spacing w:after="0" w:line="218" w:lineRule="exact"/>
        <w:rPr>
          <w:sz w:val="20"/>
          <w:szCs w:val="20"/>
          <w:color w:val="auto"/>
        </w:rPr>
      </w:pPr>
    </w:p>
    <w:p>
      <w:pPr>
        <w:ind w:left="860"/>
        <w:spacing w:after="0"/>
        <w:tabs>
          <w:tab w:leader="none" w:pos="40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In</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connection with the use, administration, adoption or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5" w:name="page76"/>
    <w:bookmarkEnd w:id="75"/>
    <w:p>
      <w:pPr>
        <w:jc w:val="both"/>
        <w:ind w:left="200" w:right="219" w:firstLine="648"/>
        <w:spacing w:after="0" w:line="251" w:lineRule="auto"/>
        <w:rPr>
          <w:sz w:val="20"/>
          <w:szCs w:val="20"/>
          <w:color w:val="auto"/>
        </w:rPr>
      </w:pPr>
      <w:r>
        <w:rPr>
          <w:rFonts w:ascii="Arial" w:cs="Arial" w:eastAsia="Arial" w:hAnsi="Arial"/>
          <w:sz w:val="22"/>
          <w:szCs w:val="22"/>
          <w:color w:val="auto"/>
        </w:rPr>
        <w:t>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Agreement or any other Loan Document.</w:t>
      </w:r>
    </w:p>
    <w:p>
      <w:pPr>
        <w:spacing w:after="0" w:line="189" w:lineRule="exact"/>
        <w:rPr>
          <w:sz w:val="20"/>
          <w:szCs w:val="20"/>
          <w:color w:val="auto"/>
        </w:rPr>
      </w:pPr>
    </w:p>
    <w:p>
      <w:pPr>
        <w:ind w:left="860"/>
        <w:spacing w:after="0"/>
        <w:tabs>
          <w:tab w:leader="none" w:pos="40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w:t>
      </w:r>
    </w:p>
    <w:p>
      <w:pPr>
        <w:spacing w:after="0" w:line="56"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 xml:space="preserve">Administrative Agent will promptly notify Borrower and Lenders of (A) the implementation of any Benchmark Replacement and (B) the effectiveness of any Conforming Changes in connection with the use, administration, adoption or implementation of a Benchmark Replacement. Administrative Agent will promptly notify Borrower of the removal or reinstatement of any tenor of a Benchmark pursuant to </w:t>
      </w:r>
      <w:r>
        <w:rPr>
          <w:rFonts w:ascii="Arial" w:cs="Arial" w:eastAsia="Arial" w:hAnsi="Arial"/>
          <w:sz w:val="19"/>
          <w:szCs w:val="19"/>
          <w:u w:val="single" w:color="auto"/>
          <w:color w:val="auto"/>
        </w:rPr>
        <w:t>Section 3.04(c)(iv)</w:t>
      </w:r>
      <w:r>
        <w:rPr>
          <w:rFonts w:ascii="Arial" w:cs="Arial" w:eastAsia="Arial" w:hAnsi="Arial"/>
          <w:sz w:val="19"/>
          <w:szCs w:val="19"/>
          <w:color w:val="auto"/>
        </w:rPr>
        <w:t xml:space="preserve"> below. Any determination, decision or election that may be made by Administrative Agent or, if applicable, any Lender (or group of Lenders) pursuant to this </w:t>
      </w:r>
      <w:r>
        <w:rPr>
          <w:rFonts w:ascii="Arial" w:cs="Arial" w:eastAsia="Arial" w:hAnsi="Arial"/>
          <w:sz w:val="19"/>
          <w:szCs w:val="19"/>
          <w:u w:val="single" w:color="auto"/>
          <w:color w:val="auto"/>
        </w:rPr>
        <w:t>Section 3.04(c)</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the Loan Agreement or any other Loan Document, except, in each case, as expressly required pursuant to this </w:t>
      </w:r>
      <w:r>
        <w:rPr>
          <w:rFonts w:ascii="Arial" w:cs="Arial" w:eastAsia="Arial" w:hAnsi="Arial"/>
          <w:sz w:val="19"/>
          <w:szCs w:val="19"/>
          <w:u w:val="single" w:color="auto"/>
          <w:color w:val="auto"/>
        </w:rPr>
        <w:t>Section 3.04(c)</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ind w:left="860"/>
        <w:spacing w:after="0"/>
        <w:tabs>
          <w:tab w:leader="none" w:pos="4080" w:val="left"/>
          <w:tab w:leader="none" w:pos="5700" w:val="left"/>
          <w:tab w:leader="none" w:pos="6260" w:val="left"/>
          <w:tab w:leader="none" w:pos="7160" w:val="left"/>
          <w:tab w:leader="none" w:pos="77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color w:val="auto"/>
        </w:rPr>
        <w:t>Unavailability</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Tenor</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19"/>
          <w:szCs w:val="19"/>
          <w:color w:val="auto"/>
        </w:rPr>
        <w:t>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-17780</wp:posOffset>
            </wp:positionV>
            <wp:extent cx="2952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952115" cy="8255"/>
                    </a:xfrm>
                    <a:prstGeom prst="rect">
                      <a:avLst/>
                    </a:prstGeom>
                    <a:noFill/>
                  </pic:spPr>
                </pic:pic>
              </a:graphicData>
            </a:graphic>
          </wp:anchor>
        </w:drawing>
      </w:r>
    </w:p>
    <w:p>
      <w:pPr>
        <w:spacing w:after="0" w:line="1"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Notwithstanding anything to the contrary herein or in any other Loan Document, at any time (including in connection with the implementation of a Benchmark Replacement): (A) if the then-current Benchmark is a term rate (including Adjusted Daily Simple SOFR) and either: (1) any tenor for such Benchmark is not displayed on a screen or other information service that publishes such rate from time to time as selected by Administrative Agent in its reasonable discretion; or (2) the regulatory supervisor for the administrator of such Benchmark has provided a public statement or publication of information announcing that any tenor for such Benchmark is not or will not be representative, then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766445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6" w:name="page77"/>
    <w:bookmarkEnd w:id="76"/>
    <w:p>
      <w:pPr>
        <w:jc w:val="both"/>
        <w:ind w:left="200" w:right="219" w:firstLine="648"/>
        <w:spacing w:after="0" w:line="259" w:lineRule="auto"/>
        <w:rPr>
          <w:sz w:val="20"/>
          <w:szCs w:val="20"/>
          <w:color w:val="auto"/>
        </w:rPr>
      </w:pPr>
      <w:r>
        <w:rPr>
          <w:rFonts w:ascii="Arial" w:cs="Arial" w:eastAsia="Arial" w:hAnsi="Arial"/>
          <w:sz w:val="22"/>
          <w:szCs w:val="22"/>
          <w:color w:val="auto"/>
        </w:rPr>
        <w:t>Administrative Agent may modify the definition of “interest period” (or any similar or analogous definition) for all Benchmark settings at or after such time to reinstate such previously removed tenor.</w:t>
      </w:r>
    </w:p>
    <w:p>
      <w:pPr>
        <w:spacing w:after="0" w:line="180" w:lineRule="exact"/>
        <w:rPr>
          <w:sz w:val="20"/>
          <w:szCs w:val="20"/>
          <w:color w:val="auto"/>
        </w:rPr>
      </w:pPr>
    </w:p>
    <w:p>
      <w:pPr>
        <w:ind w:left="860"/>
        <w:spacing w:after="0"/>
        <w:tabs>
          <w:tab w:leader="none" w:pos="4080" w:val="left"/>
        </w:tabs>
        <w:rPr>
          <w:sz w:val="20"/>
          <w:szCs w:val="20"/>
          <w:color w:val="auto"/>
        </w:rPr>
      </w:pPr>
      <w:r>
        <w:rPr>
          <w:rFonts w:ascii="Arial" w:cs="Arial" w:eastAsia="Arial" w:hAnsi="Arial"/>
          <w:sz w:val="19"/>
          <w:szCs w:val="19"/>
          <w:color w:val="auto"/>
        </w:rPr>
        <w:t>(v)</w:t>
      </w:r>
      <w:r>
        <w:rPr>
          <w:sz w:val="20"/>
          <w:szCs w:val="20"/>
          <w:color w:val="auto"/>
        </w:rPr>
        <w:tab/>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Borrower’s</w:t>
      </w:r>
    </w:p>
    <w:p>
      <w:pPr>
        <w:spacing w:after="0" w:line="56"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receipt of notice of the commencement of a Benchmark Unavailability Period, Borrower may revoke any pending request for a borrowing and, until the end of the Benchmark Unavailability Period, the entire outstanding principal amount of the Loan will be converted to a Loan bearing interest at the Base Rate.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7"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3.05</w:t>
      </w:r>
      <w:r>
        <w:rPr>
          <w:sz w:val="20"/>
          <w:szCs w:val="20"/>
          <w:color w:val="auto"/>
        </w:rPr>
        <w:tab/>
      </w:r>
      <w:r>
        <w:rPr>
          <w:rFonts w:ascii="Arial" w:cs="Arial" w:eastAsia="Arial" w:hAnsi="Arial"/>
          <w:sz w:val="19"/>
          <w:szCs w:val="19"/>
          <w:b w:val="1"/>
          <w:bCs w:val="1"/>
          <w:u w:val="single" w:color="auto"/>
          <w:color w:val="auto"/>
        </w:rPr>
        <w:t>Intentionally Omitted</w:t>
      </w:r>
      <w:r>
        <w:rPr>
          <w:rFonts w:ascii="Arial" w:cs="Arial" w:eastAsia="Arial" w:hAnsi="Arial"/>
          <w:sz w:val="19"/>
          <w:szCs w:val="19"/>
          <w:color w:val="auto"/>
        </w:rPr>
        <w:t>.</w:t>
      </w:r>
    </w:p>
    <w:p>
      <w:pPr>
        <w:spacing w:after="0" w:line="220"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3.06</w:t>
      </w:r>
      <w:r>
        <w:rPr>
          <w:sz w:val="20"/>
          <w:szCs w:val="20"/>
          <w:color w:val="auto"/>
        </w:rPr>
        <w:tab/>
      </w:r>
      <w:r>
        <w:rPr>
          <w:rFonts w:ascii="Arial" w:cs="Arial" w:eastAsia="Arial" w:hAnsi="Arial"/>
          <w:sz w:val="18"/>
          <w:szCs w:val="18"/>
          <w:b w:val="1"/>
          <w:bCs w:val="1"/>
          <w:u w:val="single" w:color="auto"/>
          <w:color w:val="auto"/>
        </w:rPr>
        <w:t>Increased Costs</w:t>
      </w:r>
      <w:r>
        <w:rPr>
          <w:rFonts w:ascii="Arial" w:cs="Arial" w:eastAsia="Arial" w:hAnsi="Arial"/>
          <w:sz w:val="18"/>
          <w:szCs w:val="18"/>
          <w:color w:val="auto"/>
        </w:rPr>
        <w:t>.</w:t>
      </w:r>
    </w:p>
    <w:p>
      <w:pPr>
        <w:spacing w:after="0" w:line="226" w:lineRule="exact"/>
        <w:rPr>
          <w:sz w:val="20"/>
          <w:szCs w:val="20"/>
          <w:color w:val="auto"/>
        </w:rPr>
      </w:pPr>
    </w:p>
    <w:p>
      <w:pPr>
        <w:ind w:left="2800" w:hanging="647"/>
        <w:spacing w:after="0"/>
        <w:tabs>
          <w:tab w:leader="none" w:pos="28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Regulatory Change shall:</w:t>
      </w:r>
    </w:p>
    <w:p>
      <w:pPr>
        <w:spacing w:after="0" w:line="220"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(i) 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w:t>
      </w:r>
    </w:p>
    <w:p>
      <w:pPr>
        <w:spacing w:after="0" w:line="151" w:lineRule="exact"/>
        <w:rPr>
          <w:sz w:val="20"/>
          <w:szCs w:val="20"/>
          <w:color w:val="auto"/>
        </w:rPr>
      </w:pPr>
    </w:p>
    <w:p>
      <w:pPr>
        <w:ind w:left="860"/>
        <w:spacing w:after="0"/>
        <w:tabs>
          <w:tab w:leader="none" w:pos="40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subject  any  Recipient  to  any  Taxes  (other  than:</w:t>
      </w:r>
    </w:p>
    <w:p>
      <w:pPr>
        <w:spacing w:after="0" w:line="56" w:lineRule="exact"/>
        <w:rPr>
          <w:sz w:val="20"/>
          <w:szCs w:val="20"/>
          <w:color w:val="auto"/>
        </w:rPr>
      </w:pPr>
    </w:p>
    <w:p>
      <w:pPr>
        <w:jc w:val="both"/>
        <w:ind w:left="200" w:right="219" w:firstLine="9"/>
        <w:spacing w:after="0" w:line="302" w:lineRule="auto"/>
        <w:tabs>
          <w:tab w:leader="none" w:pos="555"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Indemnified Taxes; (B) Taxes described in clauses (b) through (d) of the definition of Excluded Taxes; and (C) Other Connection Taxes) on its loans, loan principal, letters of credit, commitments, or other obligations, or its deposits, reserves, other liabilities or capital attributable thereto; or</w:t>
      </w:r>
    </w:p>
    <w:p>
      <w:pPr>
        <w:spacing w:after="0" w:line="143" w:lineRule="exact"/>
        <w:rPr>
          <w:sz w:val="20"/>
          <w:szCs w:val="20"/>
          <w:color w:val="auto"/>
        </w:rPr>
      </w:pPr>
    </w:p>
    <w:p>
      <w:pPr>
        <w:ind w:left="200" w:right="219" w:firstLine="648"/>
        <w:spacing w:after="0" w:line="263" w:lineRule="auto"/>
        <w:rPr>
          <w:sz w:val="20"/>
          <w:szCs w:val="20"/>
          <w:color w:val="auto"/>
        </w:rPr>
      </w:pPr>
      <w:r>
        <w:rPr>
          <w:rFonts w:ascii="Arial" w:cs="Arial" w:eastAsia="Arial" w:hAnsi="Arial"/>
          <w:sz w:val="22"/>
          <w:szCs w:val="22"/>
          <w:color w:val="auto"/>
        </w:rPr>
        <w:t>(iii) impose on any Lender any other condition, cost or expense (other than Taxes) affecting Loans made by such Lender;</w:t>
      </w:r>
    </w:p>
    <w:p>
      <w:pPr>
        <w:spacing w:after="0" w:line="175" w:lineRule="exact"/>
        <w:rPr>
          <w:sz w:val="20"/>
          <w:szCs w:val="20"/>
          <w:color w:val="auto"/>
        </w:rPr>
      </w:pPr>
    </w:p>
    <w:p>
      <w:pPr>
        <w:jc w:val="both"/>
        <w:ind w:left="2800" w:right="219"/>
        <w:spacing w:after="0" w:line="326"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converting to, continuing or maintaining the Loan (or of maintaining its obligation to make any such Loan), or to reduce the amount of any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7" w:name="page78"/>
    <w:bookmarkEnd w:id="77"/>
    <w:p>
      <w:pPr>
        <w:jc w:val="both"/>
        <w:ind w:left="2800" w:right="219"/>
        <w:spacing w:after="0" w:line="314" w:lineRule="auto"/>
        <w:rPr>
          <w:sz w:val="20"/>
          <w:szCs w:val="20"/>
          <w:color w:val="auto"/>
        </w:rPr>
      </w:pPr>
      <w:r>
        <w:rPr>
          <w:rFonts w:ascii="Arial" w:cs="Arial" w:eastAsia="Arial" w:hAnsi="Arial"/>
          <w:sz w:val="19"/>
          <w:szCs w:val="19"/>
          <w:color w:val="auto"/>
        </w:rPr>
        <w:t>received or receivable by such Lender or such other Recipient hereunder (whether of principal, interest or any other amount) then, upon written request of such Lender or other Recipient, Borrower shall promptly pay to any such Lender or other Recipient, as the case may be, such additional amount or amounts as will compensate such Lender or other Recipient, as the case may be, for such additional costs incurred or reduction suffered.</w:t>
      </w:r>
    </w:p>
    <w:p>
      <w:pPr>
        <w:spacing w:after="0" w:line="159" w:lineRule="exact"/>
        <w:rPr>
          <w:sz w:val="20"/>
          <w:szCs w:val="20"/>
          <w:color w:val="auto"/>
        </w:rPr>
      </w:pPr>
    </w:p>
    <w:p>
      <w:pPr>
        <w:jc w:val="both"/>
        <w:ind w:left="860" w:right="219" w:firstLine="1293"/>
        <w:spacing w:after="0" w:line="287" w:lineRule="auto"/>
        <w:tabs>
          <w:tab w:leader="none" w:pos="280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determines that any Regulatory Change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the Loan Agreement, the Commitment of such Lender or the Loan made by such Lender to a level below that which such Lender or such Lender’s holding company could have achieved but for such Regulatory Change (taking into consideration such Lender’s policies and the policies of such Lender’s holding company with respect to capital adequacy and liquidity), then from time to time upon written request of such Lender, Borrower shall promptly pay to such Lender such additional amount or amounts as will compensate such Lender or such Lender’s holding company for any such reduction suffered.</w:t>
      </w:r>
    </w:p>
    <w:p>
      <w:pPr>
        <w:spacing w:after="0" w:line="158" w:lineRule="exact"/>
        <w:rPr>
          <w:rFonts w:ascii="Arial" w:cs="Arial" w:eastAsia="Arial" w:hAnsi="Arial"/>
          <w:sz w:val="19"/>
          <w:szCs w:val="19"/>
          <w:color w:val="auto"/>
        </w:rPr>
      </w:pPr>
    </w:p>
    <w:p>
      <w:pPr>
        <w:jc w:val="both"/>
        <w:ind w:left="860" w:right="219" w:firstLine="1293"/>
        <w:spacing w:after="0" w:line="260" w:lineRule="auto"/>
        <w:tabs>
          <w:tab w:leader="none" w:pos="280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Certificates for Reimbursement</w:t>
      </w:r>
      <w:r>
        <w:rPr>
          <w:rFonts w:ascii="Arial" w:cs="Arial" w:eastAsia="Arial" w:hAnsi="Arial"/>
          <w:sz w:val="21"/>
          <w:szCs w:val="21"/>
          <w:color w:val="auto"/>
        </w:rPr>
        <w:t xml:space="preserve">. A certificate of a Lender or such other Recipient setting forth the amount or amounts necessary to compensate such Lender or such other Recipient or any of their respective holding companies, as the case may be, as specified in </w:t>
      </w:r>
      <w:r>
        <w:rPr>
          <w:rFonts w:ascii="Arial" w:cs="Arial" w:eastAsia="Arial" w:hAnsi="Arial"/>
          <w:sz w:val="21"/>
          <w:szCs w:val="21"/>
          <w:u w:val="single" w:color="auto"/>
          <w:color w:val="auto"/>
        </w:rPr>
        <w:t>subsection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3.06</w:t>
      </w:r>
      <w:r>
        <w:rPr>
          <w:rFonts w:ascii="Arial" w:cs="Arial" w:eastAsia="Arial" w:hAnsi="Arial"/>
          <w:sz w:val="21"/>
          <w:szCs w:val="21"/>
          <w:color w:val="auto"/>
        </w:rPr>
        <w:t xml:space="preserve"> and delivered to Borrower, shall be conclusive absent manifest error. Borrower shall pay such Lender or such other Recipient, as the case may be, the amount shown as due on any such certificate within ten (10) days after receipt thereof.</w:t>
      </w:r>
    </w:p>
    <w:p>
      <w:pPr>
        <w:spacing w:after="0" w:line="180" w:lineRule="exact"/>
        <w:rPr>
          <w:rFonts w:ascii="Arial" w:cs="Arial" w:eastAsia="Arial" w:hAnsi="Arial"/>
          <w:sz w:val="21"/>
          <w:szCs w:val="21"/>
          <w:color w:val="auto"/>
        </w:rPr>
      </w:pPr>
    </w:p>
    <w:p>
      <w:pPr>
        <w:jc w:val="both"/>
        <w:ind w:left="860" w:right="219" w:firstLine="1293"/>
        <w:spacing w:after="0" w:line="289" w:lineRule="auto"/>
        <w:tabs>
          <w:tab w:leader="none" w:pos="280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such other Recipient to demand compensation pursuant to this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shall not constitute a waiver of such Lender’s or such other Recipient’s right to demand such compensation; provided, however, that Borrower shall not be required to compensate any Lender or any other Recipient pursuant to this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for any increased costs incurred or reductions suffered more than nine (9) months prior to the date that such Lender or such other Recipient, as the case may be, notifies Borrower of the Regulatory Change giving rise to such increased costs or reductions, and of such Lender’s or such other Recipient’s intention to claim compensation therefor (except that if the Regulatory Change giving rise to such increased costs or reductions is retroactive, then the nine (9) month period referred to herein shall be extended to include the period of retroactive effect thereof).</w:t>
      </w:r>
    </w:p>
    <w:p>
      <w:pPr>
        <w:spacing w:after="0" w:line="156" w:lineRule="exact"/>
        <w:rPr>
          <w:rFonts w:ascii="Arial" w:cs="Arial" w:eastAsia="Arial" w:hAnsi="Arial"/>
          <w:sz w:val="19"/>
          <w:szCs w:val="19"/>
          <w:color w:val="auto"/>
        </w:rPr>
      </w:pPr>
    </w:p>
    <w:p>
      <w:pPr>
        <w:jc w:val="both"/>
        <w:ind w:left="860" w:right="219" w:firstLine="1293"/>
        <w:spacing w:after="0" w:line="248" w:lineRule="auto"/>
        <w:tabs>
          <w:tab w:leader="none" w:pos="280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All of the obligations of the Borrower and Loan Parties under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shall survive the resignation or replacement of Administrative Agent or any assignment of rights by, or the replacement of, a Lender, the termination of the Commitments and the repayment, satisfaction or discharge of all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8" w:name="page79"/>
    <w:bookmarkEnd w:id="78"/>
    <w:p>
      <w:pPr>
        <w:ind w:left="200"/>
        <w:spacing w:after="0"/>
        <w:tabs>
          <w:tab w:leader="none" w:pos="148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Delayed Transition for Prior Interest Period</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48"/>
        <w:spacing w:after="0" w:line="305" w:lineRule="auto"/>
        <w:rPr>
          <w:sz w:val="20"/>
          <w:szCs w:val="20"/>
          <w:color w:val="auto"/>
        </w:rPr>
      </w:pPr>
      <w:r>
        <w:rPr>
          <w:rFonts w:ascii="Arial" w:cs="Arial" w:eastAsia="Arial" w:hAnsi="Arial"/>
          <w:sz w:val="19"/>
          <w:szCs w:val="19"/>
          <w:color w:val="auto"/>
        </w:rPr>
        <w:t xml:space="preserve">The provisions in the other Articles of 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not apply with respect to any: (a) period or determination of the LIBO Rate that: (i) is or was set prior to the Rate Transition Date; and (ii) is held constant for a specifically designated period and is not reset on a daily or substantially daily basis (disregarding day count, weekend or holiday conventions); or</w:t>
      </w:r>
    </w:p>
    <w:p>
      <w:pPr>
        <w:spacing w:after="0" w:line="1" w:lineRule="exact"/>
        <w:rPr>
          <w:sz w:val="20"/>
          <w:szCs w:val="20"/>
          <w:color w:val="auto"/>
        </w:rPr>
      </w:pPr>
    </w:p>
    <w:p>
      <w:pPr>
        <w:jc w:val="both"/>
        <w:ind w:left="200" w:right="219" w:firstLine="9"/>
        <w:spacing w:after="0" w:line="277" w:lineRule="auto"/>
        <w:tabs>
          <w:tab w:leader="none" w:pos="513"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retroactive margin, yield, fee or commission increases available to Administrative Agent or the Lenders as a result of any inaccuracy in any financial statement or compliance certificate that, if corrected, would have led to the application of a higher interest margin or yield with respect to the Loan accruing interest based on the LIBO Rate or any higher fee or commission for any applicable period, and in each case, the LIBO Rate Related Definitions and provisions with respect thereto (as in effect immediately prior to giving effect to the provisions of this Agreement on the Rate Transition Date) shall continue in effect solely for such purpose;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such LIBO Rate applicable to the Loan described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Article 4</w:t>
      </w:r>
      <w:r>
        <w:rPr>
          <w:rFonts w:ascii="Arial" w:cs="Arial" w:eastAsia="Arial" w:hAnsi="Arial"/>
          <w:sz w:val="21"/>
          <w:szCs w:val="21"/>
          <w:color w:val="auto"/>
        </w:rPr>
        <w:t>, such LIBO Rate shall only continue in effect in accordance with its terms until the then-current “interest period” (or any similar or analogous definition) (as defined without giving effect to this Agreement) therefor has concluded.</w:t>
      </w:r>
    </w:p>
    <w:p>
      <w:pPr>
        <w:spacing w:after="0" w:line="19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Voluntary Prepayment</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48"/>
        <w:spacing w:after="0" w:line="327" w:lineRule="auto"/>
        <w:rPr>
          <w:sz w:val="20"/>
          <w:szCs w:val="20"/>
          <w:color w:val="auto"/>
        </w:rPr>
      </w:pPr>
      <w:r>
        <w:rPr>
          <w:rFonts w:ascii="Arial" w:cs="Arial" w:eastAsia="Arial" w:hAnsi="Arial"/>
          <w:sz w:val="19"/>
          <w:szCs w:val="19"/>
          <w:color w:val="auto"/>
        </w:rPr>
        <w:t>Notwithstanding any provision of the Loan Agreement to the contrary, each notice of voluntary prepayment shall be given to and received by Administrate Agent not later than 1:00 P.M. on the date three (3) U.S. Government Securities Business Days’ prior the date of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586740</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9" w:name="page80"/>
    <w:bookmarkEnd w:id="79"/>
    <w:p>
      <w:pPr>
        <w:jc w:val="right"/>
        <w:ind w:right="119"/>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TO AGREEMENT OF PURCHASE AND SALE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THIS FIRST AMENDMENT TO AGREEMENT OF PURCHASE AND SALE (this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is dated as of June 15, 2023, by and between </w:t>
      </w:r>
      <w:r>
        <w:rPr>
          <w:rFonts w:ascii="Arial" w:cs="Arial" w:eastAsia="Arial" w:hAnsi="Arial"/>
          <w:sz w:val="19"/>
          <w:szCs w:val="19"/>
          <w:b w:val="1"/>
          <w:bCs w:val="1"/>
          <w:color w:val="auto"/>
        </w:rPr>
        <w:t>BREIT JWM SAN ANTONIO LP,</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 Delaware limited partnership (the “</w:t>
      </w:r>
      <w:r>
        <w:rPr>
          <w:rFonts w:ascii="Arial" w:cs="Arial" w:eastAsia="Arial" w:hAnsi="Arial"/>
          <w:sz w:val="21"/>
          <w:szCs w:val="21"/>
          <w:b w:val="1"/>
          <w:bCs w:val="1"/>
          <w:color w:val="auto"/>
        </w:rPr>
        <w:t>Resort Seller</w:t>
      </w:r>
      <w:r>
        <w:rPr>
          <w:rFonts w:ascii="Arial" w:cs="Arial" w:eastAsia="Arial" w:hAnsi="Arial"/>
          <w:sz w:val="21"/>
          <w:szCs w:val="21"/>
          <w:color w:val="auto"/>
        </w:rPr>
        <w:t xml:space="preserve">”), and </w:t>
      </w:r>
      <w:r>
        <w:rPr>
          <w:rFonts w:ascii="Arial" w:cs="Arial" w:eastAsia="Arial" w:hAnsi="Arial"/>
          <w:sz w:val="21"/>
          <w:szCs w:val="21"/>
          <w:b w:val="1"/>
          <w:bCs w:val="1"/>
          <w:color w:val="auto"/>
        </w:rPr>
        <w:t>BREIT JWM SAN ANTONIO TRS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LLC</w:t>
      </w:r>
      <w:r>
        <w:rPr>
          <w:rFonts w:ascii="Arial" w:cs="Arial" w:eastAsia="Arial" w:hAnsi="Arial"/>
          <w:sz w:val="21"/>
          <w:szCs w:val="21"/>
          <w:color w:val="auto"/>
        </w:rPr>
        <w:t>, a Delaware limited liability company (the “</w:t>
      </w:r>
      <w:r>
        <w:rPr>
          <w:rFonts w:ascii="Arial" w:cs="Arial" w:eastAsia="Arial" w:hAnsi="Arial"/>
          <w:sz w:val="21"/>
          <w:szCs w:val="21"/>
          <w:b w:val="1"/>
          <w:bCs w:val="1"/>
          <w:color w:val="auto"/>
        </w:rPr>
        <w:t xml:space="preserve">Operating Seller”, </w:t>
      </w:r>
      <w:r>
        <w:rPr>
          <w:rFonts w:ascii="Arial" w:cs="Arial" w:eastAsia="Arial" w:hAnsi="Arial"/>
          <w:sz w:val="21"/>
          <w:szCs w:val="21"/>
          <w:color w:val="auto"/>
        </w:rPr>
        <w:t>together with the Resort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Seller, collectively, the “</w:t>
      </w:r>
      <w:r>
        <w:rPr>
          <w:rFonts w:ascii="Arial" w:cs="Arial" w:eastAsia="Arial" w:hAnsi="Arial"/>
          <w:sz w:val="21"/>
          <w:szCs w:val="21"/>
          <w:b w:val="1"/>
          <w:bCs w:val="1"/>
          <w:color w:val="auto"/>
        </w:rPr>
        <w:t>Seller</w:t>
      </w:r>
      <w:r>
        <w:rPr>
          <w:rFonts w:ascii="Arial" w:cs="Arial" w:eastAsia="Arial" w:hAnsi="Arial"/>
          <w:sz w:val="21"/>
          <w:szCs w:val="21"/>
          <w:color w:val="auto"/>
        </w:rPr>
        <w:t xml:space="preserve">”), and </w:t>
      </w:r>
      <w:r>
        <w:rPr>
          <w:rFonts w:ascii="Arial" w:cs="Arial" w:eastAsia="Arial" w:hAnsi="Arial"/>
          <w:sz w:val="21"/>
          <w:szCs w:val="21"/>
          <w:b w:val="1"/>
          <w:bCs w:val="1"/>
          <w:color w:val="auto"/>
        </w:rPr>
        <w:t>RHP PROPERTY SA, LLC,</w:t>
      </w:r>
      <w:r>
        <w:rPr>
          <w:rFonts w:ascii="Arial" w:cs="Arial" w:eastAsia="Arial" w:hAnsi="Arial"/>
          <w:sz w:val="21"/>
          <w:szCs w:val="21"/>
          <w:color w:val="auto"/>
        </w:rPr>
        <w:t xml:space="preserve"> a Delaware limited liability</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company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w:t>
      </w:r>
      <w:r>
        <w:rPr>
          <w:rFonts w:ascii="Arial" w:cs="Arial" w:eastAsia="Arial" w:hAnsi="Arial"/>
          <w:sz w:val="22"/>
          <w:szCs w:val="22"/>
          <w:b w:val="1"/>
          <w:bCs w:val="1"/>
          <w:color w:val="auto"/>
        </w:rPr>
        <w:t xml:space="preserve"> I T N E S S E T 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-20955</wp:posOffset>
            </wp:positionV>
            <wp:extent cx="1714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-20955</wp:posOffset>
            </wp:positionV>
            <wp:extent cx="1714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-20955</wp:posOffset>
            </wp:positionV>
            <wp:extent cx="1714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-20955</wp:posOffset>
            </wp:positionV>
            <wp:extent cx="1714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-20955</wp:posOffset>
            </wp:positionV>
            <wp:extent cx="1714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-20955</wp:posOffset>
            </wp:positionV>
            <wp:extent cx="1714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-20955</wp:posOffset>
            </wp:positionV>
            <wp:extent cx="1714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-20955</wp:posOffset>
            </wp:positionV>
            <wp:extent cx="1714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7145" cy="1397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-20955</wp:posOffset>
            </wp:positionV>
            <wp:extent cx="76263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62635" cy="13970"/>
                    </a:xfrm>
                    <a:prstGeom prst="rect">
                      <a:avLst/>
                    </a:prstGeom>
                    <a:noFill/>
                  </pic:spPr>
                </pic:pic>
              </a:graphicData>
            </a:graphic>
          </wp:anchor>
        </w:drawing>
      </w:r>
    </w:p>
    <w:p>
      <w:pPr>
        <w:spacing w:after="0" w:line="219"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WHEREAS, Seller and Buyer entered into that certain Agreement of Purchase and Sale, dated as of June 5, 2023 (the “</w:t>
      </w:r>
      <w:r>
        <w:rPr>
          <w:rFonts w:ascii="Arial" w:cs="Arial" w:eastAsia="Arial" w:hAnsi="Arial"/>
          <w:sz w:val="22"/>
          <w:szCs w:val="22"/>
          <w:b w:val="1"/>
          <w:bCs w:val="1"/>
          <w:color w:val="auto"/>
        </w:rPr>
        <w:t>Original Agreement</w:t>
      </w:r>
      <w:r>
        <w:rPr>
          <w:rFonts w:ascii="Arial" w:cs="Arial" w:eastAsia="Arial" w:hAnsi="Arial"/>
          <w:sz w:val="22"/>
          <w:szCs w:val="22"/>
          <w:color w:val="auto"/>
        </w:rPr>
        <w:t>”); and</w:t>
      </w:r>
    </w:p>
    <w:p>
      <w:pPr>
        <w:spacing w:after="0" w:line="17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WHEREAS, Seller and Buyer now desire to amend the Original Agreement as hereinafter provided.</w:t>
      </w:r>
    </w:p>
    <w:p>
      <w:pPr>
        <w:spacing w:after="0" w:line="18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1"/>
          <w:szCs w:val="21"/>
          <w:color w:val="auto"/>
        </w:rPr>
        <w:t>NOW, THEREFORE, for Ten Dollars ($10.00) and other good and valuable consideration, the receipt and sufficiency of which are hereby acknowledged, and the mutual covenants and agreements set forth herein, the parties hereto hereby agree as follows:</w:t>
      </w:r>
    </w:p>
    <w:p>
      <w:pPr>
        <w:spacing w:after="0" w:line="161" w:lineRule="exact"/>
        <w:rPr>
          <w:sz w:val="20"/>
          <w:szCs w:val="20"/>
          <w:color w:val="auto"/>
        </w:rPr>
      </w:pPr>
    </w:p>
    <w:p>
      <w:pPr>
        <w:ind w:left="200" w:right="219" w:firstLine="1303"/>
        <w:spacing w:after="0" w:line="282" w:lineRule="auto"/>
        <w:tabs>
          <w:tab w:leader="none" w:pos="2143" w:val="left"/>
        </w:tabs>
        <w:numPr>
          <w:ilvl w:val="0"/>
          <w:numId w:val="48"/>
        </w:numPr>
        <w:rPr>
          <w:rFonts w:ascii="Arial" w:cs="Arial" w:eastAsia="Arial" w:hAnsi="Arial"/>
          <w:sz w:val="20"/>
          <w:szCs w:val="20"/>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Capitalized terms used but not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ascribed thereto in the Original Agreement.</w:t>
      </w:r>
    </w:p>
    <w:p>
      <w:pPr>
        <w:spacing w:after="0" w:line="148" w:lineRule="exact"/>
        <w:rPr>
          <w:rFonts w:ascii="Arial" w:cs="Arial" w:eastAsia="Arial" w:hAnsi="Arial"/>
          <w:sz w:val="20"/>
          <w:szCs w:val="20"/>
          <w:color w:val="auto"/>
        </w:rPr>
      </w:pPr>
    </w:p>
    <w:p>
      <w:pPr>
        <w:ind w:left="200" w:right="219" w:firstLine="1303"/>
        <w:spacing w:after="0" w:line="282" w:lineRule="auto"/>
        <w:tabs>
          <w:tab w:leader="none" w:pos="2143" w:val="left"/>
        </w:tabs>
        <w:numPr>
          <w:ilvl w:val="0"/>
          <w:numId w:val="48"/>
        </w:numPr>
        <w:rPr>
          <w:rFonts w:ascii="Arial" w:cs="Arial" w:eastAsia="Arial" w:hAnsi="Arial"/>
          <w:sz w:val="20"/>
          <w:szCs w:val="20"/>
          <w:color w:val="auto"/>
        </w:rPr>
      </w:pP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 In the second line of Section 2.4(a) of the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date of “June 29, 2023” is hereby replaced with “June 30, 2023”.</w:t>
      </w:r>
    </w:p>
    <w:p>
      <w:pPr>
        <w:spacing w:after="0" w:line="148" w:lineRule="exact"/>
        <w:rPr>
          <w:rFonts w:ascii="Arial" w:cs="Arial" w:eastAsia="Arial" w:hAnsi="Arial"/>
          <w:sz w:val="20"/>
          <w:szCs w:val="20"/>
          <w:color w:val="auto"/>
        </w:rPr>
      </w:pPr>
    </w:p>
    <w:p>
      <w:pPr>
        <w:ind w:left="200" w:right="219" w:firstLine="1303"/>
        <w:spacing w:after="0" w:line="282" w:lineRule="auto"/>
        <w:tabs>
          <w:tab w:leader="none" w:pos="2143" w:val="left"/>
        </w:tabs>
        <w:numPr>
          <w:ilvl w:val="0"/>
          <w:numId w:val="48"/>
        </w:numPr>
        <w:rPr>
          <w:rFonts w:ascii="Arial" w:cs="Arial" w:eastAsia="Arial" w:hAnsi="Arial"/>
          <w:sz w:val="20"/>
          <w:szCs w:val="20"/>
          <w:color w:val="auto"/>
        </w:rPr>
      </w:pPr>
      <w:r>
        <w:rPr>
          <w:rFonts w:ascii="Arial" w:cs="Arial" w:eastAsia="Arial" w:hAnsi="Arial"/>
          <w:sz w:val="22"/>
          <w:szCs w:val="22"/>
          <w:b w:val="1"/>
          <w:bCs w:val="1"/>
          <w:u w:val="single" w:color="auto"/>
          <w:color w:val="auto"/>
        </w:rPr>
        <w:t>Consideration Time</w:t>
      </w:r>
      <w:r>
        <w:rPr>
          <w:rFonts w:ascii="Arial" w:cs="Arial" w:eastAsia="Arial" w:hAnsi="Arial"/>
          <w:sz w:val="22"/>
          <w:szCs w:val="22"/>
          <w:color w:val="auto"/>
        </w:rPr>
        <w:t>. The time of “2:00 p.m.” in Section 2.2(a)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Agreement is hereby replaced with “11:00 a.m.”.</w:t>
      </w:r>
    </w:p>
    <w:p>
      <w:pPr>
        <w:spacing w:after="0" w:line="148" w:lineRule="exact"/>
        <w:rPr>
          <w:rFonts w:ascii="Arial" w:cs="Arial" w:eastAsia="Arial" w:hAnsi="Arial"/>
          <w:sz w:val="20"/>
          <w:szCs w:val="20"/>
          <w:color w:val="auto"/>
        </w:rPr>
      </w:pPr>
    </w:p>
    <w:p>
      <w:pPr>
        <w:ind w:left="200" w:right="219" w:firstLine="1303"/>
        <w:spacing w:after="0" w:line="282" w:lineRule="auto"/>
        <w:tabs>
          <w:tab w:leader="none" w:pos="2143" w:val="left"/>
        </w:tabs>
        <w:numPr>
          <w:ilvl w:val="0"/>
          <w:numId w:val="48"/>
        </w:numPr>
        <w:rPr>
          <w:rFonts w:ascii="Arial" w:cs="Arial" w:eastAsia="Arial" w:hAnsi="Arial"/>
          <w:sz w:val="20"/>
          <w:szCs w:val="20"/>
          <w:color w:val="auto"/>
        </w:rPr>
      </w:pPr>
      <w:r>
        <w:rPr>
          <w:rFonts w:ascii="Arial" w:cs="Arial" w:eastAsia="Arial" w:hAnsi="Arial"/>
          <w:sz w:val="22"/>
          <w:szCs w:val="22"/>
          <w:b w:val="1"/>
          <w:bCs w:val="1"/>
          <w:u w:val="single" w:color="auto"/>
          <w:color w:val="auto"/>
        </w:rPr>
        <w:t>Closing Time</w:t>
      </w:r>
      <w:r>
        <w:rPr>
          <w:rFonts w:ascii="Arial" w:cs="Arial" w:eastAsia="Arial" w:hAnsi="Arial"/>
          <w:sz w:val="22"/>
          <w:szCs w:val="22"/>
          <w:color w:val="auto"/>
        </w:rPr>
        <w:t>. The time of “12:00 p.m.” in Section 2.4(b) of the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replaced with “11:00 a.m.”.</w:t>
      </w:r>
    </w:p>
    <w:p>
      <w:pPr>
        <w:spacing w:after="0" w:line="148" w:lineRule="exact"/>
        <w:rPr>
          <w:rFonts w:ascii="Arial" w:cs="Arial" w:eastAsia="Arial" w:hAnsi="Arial"/>
          <w:sz w:val="20"/>
          <w:szCs w:val="20"/>
          <w:color w:val="auto"/>
        </w:rPr>
      </w:pPr>
    </w:p>
    <w:p>
      <w:pPr>
        <w:jc w:val="both"/>
        <w:ind w:left="200" w:right="219" w:firstLine="1303"/>
        <w:spacing w:after="0" w:line="262" w:lineRule="auto"/>
        <w:tabs>
          <w:tab w:leader="none" w:pos="2143" w:val="left"/>
        </w:tabs>
        <w:numPr>
          <w:ilvl w:val="0"/>
          <w:numId w:val="48"/>
        </w:numPr>
        <w:rPr>
          <w:rFonts w:ascii="Arial" w:cs="Arial" w:eastAsia="Arial" w:hAnsi="Arial"/>
          <w:sz w:val="20"/>
          <w:szCs w:val="20"/>
          <w:color w:val="auto"/>
        </w:rPr>
      </w:pPr>
      <w:r>
        <w:rPr>
          <w:rFonts w:ascii="Arial" w:cs="Arial" w:eastAsia="Arial" w:hAnsi="Arial"/>
          <w:sz w:val="22"/>
          <w:szCs w:val="22"/>
          <w:b w:val="1"/>
          <w:bCs w:val="1"/>
          <w:u w:val="single" w:color="auto"/>
          <w:color w:val="auto"/>
        </w:rPr>
        <w:t>Ratification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modified and amended hereby, the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remains unmodified and in full force and effect in accordance with its terms and is hereby ratified and confirmed by Seller and Buyer.</w:t>
      </w:r>
    </w:p>
    <w:p>
      <w:pPr>
        <w:spacing w:after="0" w:line="170" w:lineRule="exact"/>
        <w:rPr>
          <w:rFonts w:ascii="Arial" w:cs="Arial" w:eastAsia="Arial" w:hAnsi="Arial"/>
          <w:sz w:val="20"/>
          <w:szCs w:val="20"/>
          <w:color w:val="auto"/>
        </w:rPr>
      </w:pPr>
    </w:p>
    <w:p>
      <w:pPr>
        <w:ind w:left="2140" w:hanging="637"/>
        <w:spacing w:after="0"/>
        <w:tabs>
          <w:tab w:leader="none" w:pos="2140" w:val="left"/>
        </w:tabs>
        <w:numPr>
          <w:ilvl w:val="0"/>
          <w:numId w:val="48"/>
        </w:numPr>
        <w:rPr>
          <w:rFonts w:ascii="Arial" w:cs="Arial" w:eastAsia="Arial" w:hAnsi="Arial"/>
          <w:sz w:val="20"/>
          <w:szCs w:val="20"/>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9" w:lineRule="exact"/>
        <w:rPr>
          <w:rFonts w:ascii="Arial" w:cs="Arial" w:eastAsia="Arial" w:hAnsi="Arial"/>
          <w:sz w:val="20"/>
          <w:szCs w:val="20"/>
          <w:color w:val="auto"/>
        </w:rPr>
      </w:pPr>
    </w:p>
    <w:p>
      <w:pPr>
        <w:jc w:val="both"/>
        <w:ind w:left="200" w:right="219" w:firstLine="1951"/>
        <w:spacing w:after="0" w:line="312" w:lineRule="auto"/>
        <w:tabs>
          <w:tab w:leader="none" w:pos="2791"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This Amendment shall not be construed to limit, waive or otherwise modify any of Seller’s or Buyer’s rights and/or remedies under the Agreement, including, without limitation, any rights of adjournment expressly provided for in the Agreement.</w:t>
      </w:r>
    </w:p>
    <w:p>
      <w:pPr>
        <w:spacing w:after="0" w:line="146" w:lineRule="exact"/>
        <w:rPr>
          <w:rFonts w:ascii="Arial" w:cs="Arial" w:eastAsia="Arial" w:hAnsi="Arial"/>
          <w:sz w:val="19"/>
          <w:szCs w:val="19"/>
          <w:color w:val="auto"/>
        </w:rPr>
      </w:pPr>
    </w:p>
    <w:p>
      <w:pPr>
        <w:ind w:left="2800" w:hanging="649"/>
        <w:spacing w:after="0"/>
        <w:tabs>
          <w:tab w:leader="none" w:pos="28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This Amendment supersedes any prior agreements or understandings</w:t>
      </w:r>
    </w:p>
    <w:p>
      <w:pPr>
        <w:spacing w:after="0" w:line="5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between the parties with respect to the subject matter expressly set forth herein.</w:t>
      </w:r>
    </w:p>
    <w:p>
      <w:pPr>
        <w:spacing w:after="0" w:line="201" w:lineRule="exact"/>
        <w:rPr>
          <w:rFonts w:ascii="Arial" w:cs="Arial" w:eastAsia="Arial" w:hAnsi="Arial"/>
          <w:sz w:val="19"/>
          <w:szCs w:val="19"/>
          <w:color w:val="auto"/>
        </w:rPr>
      </w:pPr>
    </w:p>
    <w:p>
      <w:pPr>
        <w:jc w:val="both"/>
        <w:ind w:left="200" w:right="219" w:firstLine="1951"/>
        <w:spacing w:after="0" w:line="271" w:lineRule="auto"/>
        <w:tabs>
          <w:tab w:leader="none" w:pos="2791" w:val="left"/>
        </w:tabs>
        <w:numPr>
          <w:ilvl w:val="1"/>
          <w:numId w:val="48"/>
        </w:numPr>
        <w:rPr>
          <w:rFonts w:ascii="Arial" w:cs="Arial" w:eastAsia="Arial" w:hAnsi="Arial"/>
          <w:sz w:val="21"/>
          <w:szCs w:val="21"/>
          <w:color w:val="auto"/>
        </w:rPr>
      </w:pPr>
      <w:r>
        <w:rPr>
          <w:rFonts w:ascii="Arial" w:cs="Arial" w:eastAsia="Arial" w:hAnsi="Arial"/>
          <w:sz w:val="21"/>
          <w:szCs w:val="21"/>
          <w:color w:val="auto"/>
        </w:rPr>
        <w:t>To facilitate execution of this Amendment, this Amendment may be executed in multiple counterparts, each of which, when assembled to include an original, faxed or electronically mailed (in portable document format (“</w:t>
      </w:r>
      <w:r>
        <w:rPr>
          <w:rFonts w:ascii="Arial" w:cs="Arial" w:eastAsia="Arial" w:hAnsi="Arial"/>
          <w:sz w:val="21"/>
          <w:szCs w:val="21"/>
          <w:b w:val="1"/>
          <w:bCs w:val="1"/>
          <w:u w:val="single" w:color="auto"/>
          <w:color w:val="auto"/>
        </w:rPr>
        <w:t>PDF</w:t>
      </w:r>
      <w:r>
        <w:rPr>
          <w:rFonts w:ascii="Arial" w:cs="Arial" w:eastAsia="Arial" w:hAnsi="Arial"/>
          <w:sz w:val="21"/>
          <w:szCs w:val="21"/>
          <w:color w:val="auto"/>
        </w:rPr>
        <w:t>”)) signature for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471170</wp:posOffset>
            </wp:positionV>
            <wp:extent cx="55892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0" w:name="page81"/>
    <w:bookmarkEnd w:id="80"/>
    <w:p>
      <w:pPr>
        <w:jc w:val="both"/>
        <w:ind w:left="200" w:right="219"/>
        <w:spacing w:after="0" w:line="259" w:lineRule="auto"/>
        <w:rPr>
          <w:sz w:val="20"/>
          <w:szCs w:val="20"/>
          <w:color w:val="auto"/>
        </w:rPr>
      </w:pPr>
      <w:r>
        <w:rPr>
          <w:rFonts w:ascii="Arial" w:cs="Arial" w:eastAsia="Arial" w:hAnsi="Arial"/>
          <w:sz w:val="22"/>
          <w:szCs w:val="22"/>
          <w:color w:val="auto"/>
        </w:rPr>
        <w:t>contemplated to sign this Amendment, will constitute a complete and fully executed agreement. All such fully executed original, faxed or PDF counterparts will collectively constitute a single agreement.</w:t>
      </w:r>
    </w:p>
    <w:p>
      <w:pPr>
        <w:spacing w:after="0" w:line="180" w:lineRule="exact"/>
        <w:rPr>
          <w:sz w:val="20"/>
          <w:szCs w:val="20"/>
          <w:color w:val="auto"/>
        </w:rPr>
      </w:pPr>
    </w:p>
    <w:p>
      <w:pPr>
        <w:jc w:val="both"/>
        <w:ind w:left="200" w:right="219" w:firstLine="1951"/>
        <w:spacing w:after="0" w:line="247" w:lineRule="auto"/>
        <w:tabs>
          <w:tab w:leader="none" w:pos="279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Agreement shall be governed by, interpreted under, and construed and enforced in accordance with, the laws of the State of New York; provided, however, that with respect to any term or provision set forth in this Amendment or the enforceability thereof for which Applicable Law requires that the laws of the State of Texas govern, then such term, provision or matter shall be governed by, interpreted under, and construed and enforced in accordance with, the laws of the State of Texas.</w:t>
      </w:r>
    </w:p>
    <w:p>
      <w:pPr>
        <w:spacing w:after="0" w:line="206" w:lineRule="exact"/>
        <w:rPr>
          <w:rFonts w:ascii="Arial" w:cs="Arial" w:eastAsia="Arial" w:hAnsi="Arial"/>
          <w:sz w:val="22"/>
          <w:szCs w:val="22"/>
          <w:color w:val="auto"/>
        </w:rPr>
      </w:pPr>
    </w:p>
    <w:p>
      <w:pPr>
        <w:jc w:val="both"/>
        <w:ind w:left="200" w:right="219" w:firstLine="1951"/>
        <w:spacing w:after="0" w:line="248" w:lineRule="auto"/>
        <w:tabs>
          <w:tab w:leader="none" w:pos="2791" w:val="left"/>
        </w:tabs>
        <w:numPr>
          <w:ilvl w:val="0"/>
          <w:numId w:val="49"/>
        </w:numPr>
        <w:rPr>
          <w:rFonts w:ascii="Arial" w:cs="Arial" w:eastAsia="Arial" w:hAnsi="Arial"/>
          <w:sz w:val="22"/>
          <w:szCs w:val="22"/>
          <w:color w:val="auto"/>
        </w:rPr>
      </w:pPr>
      <w:r>
        <w:rPr>
          <w:rFonts w:ascii="Arial" w:cs="Arial" w:eastAsia="Arial" w:hAnsi="Arial"/>
          <w:sz w:val="22"/>
          <w:szCs w:val="22"/>
          <w:color w:val="auto"/>
        </w:rPr>
        <w:t>From and after the date hereof, the term “Agreement” set forth in the Original Agreement shall be deemed to refer to the Original Agreement, as amended by this Amendment. If and to the extent that any of the provisions of this Amendment conflict or are otherwise inconsistent with any provisions of the Original Agreement, the provisions of this Amendment shall prevail.</w:t>
      </w:r>
    </w:p>
    <w:p>
      <w:pPr>
        <w:spacing w:after="0" w:line="191" w:lineRule="exact"/>
        <w:rPr>
          <w:rFonts w:ascii="Arial" w:cs="Arial" w:eastAsia="Arial" w:hAnsi="Arial"/>
          <w:sz w:val="22"/>
          <w:szCs w:val="22"/>
          <w:color w:val="auto"/>
        </w:rPr>
      </w:pPr>
    </w:p>
    <w:p>
      <w:pPr>
        <w:ind w:left="200" w:right="219" w:firstLine="1951"/>
        <w:spacing w:after="0" w:line="263" w:lineRule="auto"/>
        <w:tabs>
          <w:tab w:leader="none" w:pos="279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Amendment cannot be modified in any manner except by a written agreement signed by Seller and Buyer.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0"/>
        <w:spacing w:after="0"/>
        <w:rPr>
          <w:sz w:val="20"/>
          <w:szCs w:val="20"/>
          <w:color w:val="auto"/>
        </w:rPr>
      </w:pPr>
      <w:r>
        <w:rPr>
          <w:rFonts w:ascii="Arial" w:cs="Arial" w:eastAsia="Arial" w:hAnsi="Arial"/>
          <w:sz w:val="22"/>
          <w:szCs w:val="22"/>
          <w:b w:val="1"/>
          <w:bCs w:val="1"/>
          <w:u w:val="single" w:color="auto"/>
          <w:color w:val="auto"/>
        </w:rPr>
        <w:t>[SIGNATURE PAGE FOLLOWS; 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605155</wp:posOffset>
            </wp:positionV>
            <wp:extent cx="55892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1" w:name="page82"/>
    <w:bookmarkEnd w:id="81"/>
    <w:p>
      <w:pPr>
        <w:ind w:left="340" w:right="259" w:firstLine="640"/>
        <w:spacing w:after="0" w:line="288" w:lineRule="auto"/>
        <w:rPr>
          <w:sz w:val="20"/>
          <w:szCs w:val="20"/>
          <w:color w:val="auto"/>
        </w:rPr>
      </w:pPr>
      <w:r>
        <w:rPr>
          <w:rFonts w:ascii="Arial" w:cs="Arial" w:eastAsia="Arial" w:hAnsi="Arial"/>
          <w:sz w:val="20"/>
          <w:szCs w:val="20"/>
          <w:color w:val="3F3F3F"/>
        </w:rPr>
        <w:t>IN WITNESS WHEREOF, Seller and Buyer have executed this Amendment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420" w:type="dxa"/>
        <w:tblCellMar>
          <w:top w:w="0" w:type="dxa"/>
          <w:left w:w="0" w:type="dxa"/>
          <w:bottom w:w="0" w:type="dxa"/>
          <w:right w:w="0" w:type="dxa"/>
        </w:tblCellMar>
      </w:tblPr>
      <w:tr>
        <w:trPr>
          <w:trHeight w:val="250"/>
        </w:trPr>
        <w:tc>
          <w:tcPr>
            <w:tcW w:w="3660" w:type="dxa"/>
            <w:vAlign w:val="bottom"/>
            <w:gridSpan w:val="3"/>
          </w:tcPr>
          <w:p>
            <w:pPr>
              <w:spacing w:after="0"/>
              <w:rPr>
                <w:sz w:val="20"/>
                <w:szCs w:val="20"/>
                <w:color w:val="auto"/>
              </w:rPr>
            </w:pPr>
            <w:r>
              <w:rPr>
                <w:rFonts w:ascii="Arial" w:cs="Arial" w:eastAsia="Arial" w:hAnsi="Arial"/>
                <w:sz w:val="20"/>
                <w:szCs w:val="20"/>
                <w:color w:val="3F3F3F"/>
              </w:rPr>
              <w:t>SELLER:</w:t>
            </w:r>
          </w:p>
        </w:tc>
        <w:tc>
          <w:tcPr>
            <w:tcW w:w="1340" w:type="dxa"/>
            <w:vAlign w:val="bottom"/>
          </w:tcPr>
          <w:p>
            <w:pPr>
              <w:spacing w:after="0"/>
              <w:rPr>
                <w:sz w:val="21"/>
                <w:szCs w:val="21"/>
                <w:color w:val="auto"/>
              </w:rPr>
            </w:pPr>
          </w:p>
        </w:tc>
      </w:tr>
      <w:tr>
        <w:trPr>
          <w:trHeight w:val="486"/>
        </w:trPr>
        <w:tc>
          <w:tcPr>
            <w:tcW w:w="3660" w:type="dxa"/>
            <w:vAlign w:val="bottom"/>
            <w:gridSpan w:val="3"/>
          </w:tcPr>
          <w:p>
            <w:pPr>
              <w:spacing w:after="0"/>
              <w:rPr>
                <w:sz w:val="20"/>
                <w:szCs w:val="20"/>
                <w:color w:val="auto"/>
              </w:rPr>
            </w:pPr>
            <w:r>
              <w:rPr>
                <w:rFonts w:ascii="Arial" w:cs="Arial" w:eastAsia="Arial" w:hAnsi="Arial"/>
                <w:sz w:val="20"/>
                <w:szCs w:val="20"/>
                <w:b w:val="1"/>
                <w:bCs w:val="1"/>
                <w:color w:val="3F3F3F"/>
              </w:rPr>
              <w:t>BREIT JWM SAN ANTONIO LP,</w:t>
            </w:r>
          </w:p>
        </w:tc>
        <w:tc>
          <w:tcPr>
            <w:tcW w:w="1340" w:type="dxa"/>
            <w:vAlign w:val="bottom"/>
          </w:tcPr>
          <w:p>
            <w:pPr>
              <w:spacing w:after="0"/>
              <w:rPr>
                <w:sz w:val="24"/>
                <w:szCs w:val="24"/>
                <w:color w:val="auto"/>
              </w:rPr>
            </w:pPr>
          </w:p>
        </w:tc>
      </w:tr>
      <w:tr>
        <w:trPr>
          <w:trHeight w:val="256"/>
        </w:trPr>
        <w:tc>
          <w:tcPr>
            <w:tcW w:w="3660" w:type="dxa"/>
            <w:vAlign w:val="bottom"/>
            <w:gridSpan w:val="3"/>
          </w:tcPr>
          <w:p>
            <w:pPr>
              <w:spacing w:after="0"/>
              <w:rPr>
                <w:sz w:val="20"/>
                <w:szCs w:val="20"/>
                <w:color w:val="auto"/>
              </w:rPr>
            </w:pPr>
            <w:r>
              <w:rPr>
                <w:rFonts w:ascii="Arial" w:cs="Arial" w:eastAsia="Arial" w:hAnsi="Arial"/>
                <w:sz w:val="20"/>
                <w:szCs w:val="20"/>
                <w:color w:val="3F3F3F"/>
              </w:rPr>
              <w:t>a Delaware limited partnership</w:t>
            </w:r>
          </w:p>
        </w:tc>
        <w:tc>
          <w:tcPr>
            <w:tcW w:w="1340" w:type="dxa"/>
            <w:vAlign w:val="bottom"/>
          </w:tcPr>
          <w:p>
            <w:pPr>
              <w:spacing w:after="0"/>
              <w:rPr>
                <w:sz w:val="22"/>
                <w:szCs w:val="22"/>
                <w:color w:val="auto"/>
              </w:rPr>
            </w:pPr>
          </w:p>
        </w:tc>
      </w:tr>
      <w:tr>
        <w:trPr>
          <w:trHeight w:val="479"/>
        </w:trPr>
        <w:tc>
          <w:tcPr>
            <w:tcW w:w="560" w:type="dxa"/>
            <w:vAlign w:val="bottom"/>
            <w:gridSpan w:val="2"/>
          </w:tcPr>
          <w:p>
            <w:pPr>
              <w:ind w:left="20"/>
              <w:spacing w:after="0"/>
              <w:rPr>
                <w:sz w:val="20"/>
                <w:szCs w:val="20"/>
                <w:color w:val="auto"/>
              </w:rPr>
            </w:pPr>
            <w:r>
              <w:rPr>
                <w:rFonts w:ascii="Arial" w:cs="Arial" w:eastAsia="Arial" w:hAnsi="Arial"/>
                <w:sz w:val="20"/>
                <w:szCs w:val="20"/>
                <w:color w:val="3F3F3F"/>
              </w:rPr>
              <w:t>By:</w:t>
            </w:r>
          </w:p>
        </w:tc>
        <w:tc>
          <w:tcPr>
            <w:tcW w:w="4440" w:type="dxa"/>
            <w:vAlign w:val="bottom"/>
            <w:gridSpan w:val="2"/>
          </w:tcPr>
          <w:p>
            <w:pPr>
              <w:spacing w:after="0"/>
              <w:rPr>
                <w:sz w:val="20"/>
                <w:szCs w:val="20"/>
                <w:color w:val="auto"/>
              </w:rPr>
            </w:pPr>
            <w:r>
              <w:rPr>
                <w:rFonts w:ascii="Arial" w:cs="Arial" w:eastAsia="Arial" w:hAnsi="Arial"/>
                <w:sz w:val="20"/>
                <w:szCs w:val="20"/>
                <w:color w:val="3F3F3F"/>
                <w:w w:val="92"/>
              </w:rPr>
              <w:t>BREIT JWM San Antonio GP LLC, a Delaware liability</w:t>
            </w:r>
          </w:p>
        </w:tc>
      </w:tr>
      <w:tr>
        <w:trPr>
          <w:trHeight w:val="243"/>
        </w:trPr>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20"/>
                <w:szCs w:val="20"/>
                <w:color w:val="3F3F3F"/>
              </w:rPr>
              <w:t>company,</w:t>
            </w:r>
          </w:p>
        </w:tc>
        <w:tc>
          <w:tcPr>
            <w:tcW w:w="1340" w:type="dxa"/>
            <w:vAlign w:val="bottom"/>
          </w:tcPr>
          <w:p>
            <w:pPr>
              <w:spacing w:after="0"/>
              <w:rPr>
                <w:sz w:val="21"/>
                <w:szCs w:val="21"/>
                <w:color w:val="auto"/>
              </w:rPr>
            </w:pPr>
          </w:p>
        </w:tc>
      </w:tr>
      <w:tr>
        <w:trPr>
          <w:trHeight w:val="250"/>
        </w:trPr>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20"/>
                <w:szCs w:val="20"/>
                <w:color w:val="3F3F3F"/>
              </w:rPr>
              <w:t>its general partner</w:t>
            </w:r>
          </w:p>
        </w:tc>
        <w:tc>
          <w:tcPr>
            <w:tcW w:w="1340" w:type="dxa"/>
            <w:vAlign w:val="bottom"/>
          </w:tcPr>
          <w:p>
            <w:pPr>
              <w:spacing w:after="0"/>
              <w:rPr>
                <w:sz w:val="21"/>
                <w:szCs w:val="21"/>
                <w:color w:val="auto"/>
              </w:rPr>
            </w:pPr>
          </w:p>
        </w:tc>
      </w:tr>
      <w:tr>
        <w:trPr>
          <w:trHeight w:val="455"/>
        </w:trPr>
        <w:tc>
          <w:tcPr>
            <w:tcW w:w="560" w:type="dxa"/>
            <w:vAlign w:val="bottom"/>
            <w:gridSpan w:val="2"/>
          </w:tcPr>
          <w:p>
            <w:pPr>
              <w:ind w:left="20"/>
              <w:spacing w:after="0"/>
              <w:rPr>
                <w:sz w:val="20"/>
                <w:szCs w:val="20"/>
                <w:color w:val="auto"/>
              </w:rPr>
            </w:pPr>
            <w:r>
              <w:rPr>
                <w:rFonts w:ascii="Arial" w:cs="Arial" w:eastAsia="Arial" w:hAnsi="Arial"/>
                <w:sz w:val="20"/>
                <w:szCs w:val="20"/>
                <w:color w:val="3F3F3F"/>
              </w:rPr>
              <w:t>By:​</w:t>
            </w:r>
          </w:p>
        </w:tc>
        <w:tc>
          <w:tcPr>
            <w:tcW w:w="3100" w:type="dxa"/>
            <w:vAlign w:val="bottom"/>
          </w:tcPr>
          <w:p>
            <w:pPr>
              <w:spacing w:after="0"/>
              <w:rPr>
                <w:sz w:val="20"/>
                <w:szCs w:val="20"/>
                <w:color w:val="auto"/>
              </w:rPr>
            </w:pPr>
            <w:r>
              <w:rPr>
                <w:rFonts w:ascii="Arial" w:cs="Arial" w:eastAsia="Arial" w:hAnsi="Arial"/>
                <w:sz w:val="20"/>
                <w:szCs w:val="20"/>
                <w:color w:val="3F3F3F"/>
              </w:rPr>
              <w:t>/s/ Brian Kaufman</w:t>
            </w:r>
          </w:p>
        </w:tc>
        <w:tc>
          <w:tcPr>
            <w:tcW w:w="1340" w:type="dxa"/>
            <w:vAlign w:val="bottom"/>
          </w:tcPr>
          <w:p>
            <w:pPr>
              <w:jc w:val="right"/>
              <w:ind w:right="1079"/>
              <w:spacing w:after="0"/>
              <w:rPr>
                <w:sz w:val="20"/>
                <w:szCs w:val="20"/>
                <w:color w:val="auto"/>
              </w:rPr>
            </w:pPr>
            <w:r>
              <w:rPr>
                <w:rFonts w:ascii="Arial" w:cs="Arial" w:eastAsia="Arial" w:hAnsi="Arial"/>
                <w:sz w:val="16"/>
                <w:szCs w:val="16"/>
                <w:color w:val="3F3F3F"/>
              </w:rPr>
              <w:t>­</w:t>
            </w:r>
          </w:p>
        </w:tc>
      </w:tr>
      <w:tr>
        <w:trPr>
          <w:trHeight w:val="27"/>
        </w:trPr>
        <w:tc>
          <w:tcPr>
            <w:tcW w:w="300" w:type="dxa"/>
            <w:vAlign w:val="bottom"/>
          </w:tcPr>
          <w:p>
            <w:pPr>
              <w:spacing w:after="0"/>
              <w:rPr>
                <w:sz w:val="2"/>
                <w:szCs w:val="2"/>
                <w:color w:val="auto"/>
              </w:rPr>
            </w:pPr>
          </w:p>
        </w:tc>
        <w:tc>
          <w:tcPr>
            <w:tcW w:w="260" w:type="dxa"/>
            <w:vAlign w:val="bottom"/>
            <w:shd w:val="clear" w:color="auto" w:fill="3F3F3F"/>
          </w:tcPr>
          <w:p>
            <w:pPr>
              <w:spacing w:after="0"/>
              <w:rPr>
                <w:sz w:val="2"/>
                <w:szCs w:val="2"/>
                <w:color w:val="auto"/>
              </w:rPr>
            </w:pPr>
          </w:p>
        </w:tc>
        <w:tc>
          <w:tcPr>
            <w:tcW w:w="3100" w:type="dxa"/>
            <w:vAlign w:val="bottom"/>
            <w:shd w:val="clear" w:color="auto" w:fill="3E3E3E"/>
          </w:tcPr>
          <w:p>
            <w:pPr>
              <w:spacing w:after="0"/>
              <w:rPr>
                <w:sz w:val="2"/>
                <w:szCs w:val="2"/>
                <w:color w:val="auto"/>
              </w:rPr>
            </w:pPr>
          </w:p>
        </w:tc>
        <w:tc>
          <w:tcPr>
            <w:tcW w:w="1340" w:type="dxa"/>
            <w:vAlign w:val="bottom"/>
          </w:tcPr>
          <w:p>
            <w:pPr>
              <w:spacing w:after="0"/>
              <w:rPr>
                <w:sz w:val="2"/>
                <w:szCs w:val="2"/>
                <w:color w:val="auto"/>
              </w:rPr>
            </w:pPr>
          </w:p>
        </w:tc>
      </w:tr>
    </w:tbl>
    <w:p>
      <w:pPr>
        <w:ind w:left="3440"/>
        <w:spacing w:after="0"/>
        <w:rPr>
          <w:sz w:val="20"/>
          <w:szCs w:val="20"/>
          <w:color w:val="auto"/>
        </w:rPr>
      </w:pPr>
      <w:r>
        <w:rPr>
          <w:rFonts w:ascii="Arial" w:cs="Arial" w:eastAsia="Arial" w:hAnsi="Arial"/>
          <w:sz w:val="20"/>
          <w:szCs w:val="20"/>
          <w:color w:val="3F3F3F"/>
        </w:rPr>
        <w:t>Name: Brian Kaufman</w:t>
      </w:r>
    </w:p>
    <w:p>
      <w:pPr>
        <w:spacing w:after="0" w:line="17" w:lineRule="exact"/>
        <w:rPr>
          <w:sz w:val="20"/>
          <w:szCs w:val="20"/>
          <w:color w:val="auto"/>
        </w:rPr>
      </w:pPr>
    </w:p>
    <w:p>
      <w:pPr>
        <w:ind w:left="3440"/>
        <w:spacing w:after="0"/>
        <w:rPr>
          <w:sz w:val="20"/>
          <w:szCs w:val="20"/>
          <w:color w:val="auto"/>
        </w:rPr>
      </w:pPr>
      <w:r>
        <w:rPr>
          <w:rFonts w:ascii="Arial" w:cs="Arial" w:eastAsia="Arial" w:hAnsi="Arial"/>
          <w:sz w:val="20"/>
          <w:szCs w:val="20"/>
          <w:color w:val="3F3F3F"/>
        </w:rPr>
        <w:t>Title: Managing Director and Vice President</w:t>
      </w:r>
    </w:p>
    <w:p>
      <w:pPr>
        <w:spacing w:after="0" w:line="200" w:lineRule="exact"/>
        <w:rPr>
          <w:sz w:val="20"/>
          <w:szCs w:val="20"/>
          <w:color w:val="auto"/>
        </w:rPr>
      </w:pPr>
    </w:p>
    <w:p>
      <w:pPr>
        <w:spacing w:after="0" w:line="394"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3F3F3F"/>
        </w:rPr>
        <w:t>BREIT JWM SAN ANTONIO TRS LLC,</w:t>
      </w:r>
    </w:p>
    <w:p>
      <w:pPr>
        <w:spacing w:after="0" w:line="33" w:lineRule="exact"/>
        <w:rPr>
          <w:sz w:val="20"/>
          <w:szCs w:val="20"/>
          <w:color w:val="auto"/>
        </w:rPr>
      </w:pPr>
    </w:p>
    <w:p>
      <w:pPr>
        <w:ind w:left="3440"/>
        <w:spacing w:after="0"/>
        <w:rPr>
          <w:sz w:val="20"/>
          <w:szCs w:val="20"/>
          <w:color w:val="auto"/>
        </w:rPr>
      </w:pPr>
      <w:r>
        <w:rPr>
          <w:rFonts w:ascii="Arial" w:cs="Arial" w:eastAsia="Arial" w:hAnsi="Arial"/>
          <w:sz w:val="20"/>
          <w:szCs w:val="20"/>
          <w:color w:val="3F3F3F"/>
        </w:rPr>
        <w:t>a Delaware limited liability company</w:t>
      </w:r>
    </w:p>
    <w:p>
      <w:pPr>
        <w:spacing w:after="0" w:line="200" w:lineRule="exact"/>
        <w:rPr>
          <w:sz w:val="20"/>
          <w:szCs w:val="20"/>
          <w:color w:val="auto"/>
        </w:rPr>
      </w:pPr>
    </w:p>
    <w:p>
      <w:pPr>
        <w:spacing w:after="0" w:line="232" w:lineRule="exact"/>
        <w:rPr>
          <w:sz w:val="20"/>
          <w:szCs w:val="20"/>
          <w:color w:val="auto"/>
        </w:rPr>
      </w:pPr>
    </w:p>
    <w:p>
      <w:pPr>
        <w:ind w:left="3460"/>
        <w:spacing w:after="0"/>
        <w:tabs>
          <w:tab w:leader="none" w:pos="6960" w:val="left"/>
        </w:tabs>
        <w:rPr>
          <w:sz w:val="20"/>
          <w:szCs w:val="20"/>
          <w:color w:val="auto"/>
        </w:rPr>
      </w:pPr>
      <w:r>
        <w:rPr>
          <w:rFonts w:ascii="Arial" w:cs="Arial" w:eastAsia="Arial" w:hAnsi="Arial"/>
          <w:sz w:val="20"/>
          <w:szCs w:val="20"/>
          <w:color w:val="3F3F3F"/>
        </w:rPr>
        <w:t>By: /s/ Brian Kaufman</w:t>
      </w:r>
      <w:r>
        <w:rPr>
          <w:sz w:val="20"/>
          <w:szCs w:val="20"/>
          <w:color w:val="auto"/>
        </w:rPr>
        <w:tab/>
      </w:r>
      <w:r>
        <w:rPr>
          <w:rFonts w:ascii="Arial" w:cs="Arial" w:eastAsia="Arial" w:hAnsi="Arial"/>
          <w:sz w:val="14"/>
          <w:szCs w:val="14"/>
          <w:color w:val="3F3F3F"/>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-14605</wp:posOffset>
            </wp:positionV>
            <wp:extent cx="2121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spacing w:after="0" w:line="7" w:lineRule="exact"/>
        <w:rPr>
          <w:sz w:val="20"/>
          <w:szCs w:val="20"/>
          <w:color w:val="auto"/>
        </w:rPr>
      </w:pPr>
    </w:p>
    <w:p>
      <w:pPr>
        <w:ind w:left="3460"/>
        <w:spacing w:after="0"/>
        <w:rPr>
          <w:sz w:val="20"/>
          <w:szCs w:val="20"/>
          <w:color w:val="auto"/>
        </w:rPr>
      </w:pPr>
      <w:r>
        <w:rPr>
          <w:rFonts w:ascii="Arial" w:cs="Arial" w:eastAsia="Arial" w:hAnsi="Arial"/>
          <w:sz w:val="20"/>
          <w:szCs w:val="20"/>
          <w:color w:val="3F3F3F"/>
        </w:rPr>
        <w:t>Name: Brian Kaufman</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20"/>
          <w:szCs w:val="20"/>
          <w:color w:val="3F3F3F"/>
        </w:rPr>
        <w:t>Title: Managing Director and Vice President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3F3F3F"/>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3379470</wp:posOffset>
            </wp:positionV>
            <wp:extent cx="55892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82" w:name="page83"/>
    <w:bookmarkEnd w:id="82"/>
    <w:p>
      <w:pPr>
        <w:ind w:left="3480"/>
        <w:spacing w:after="0"/>
        <w:rPr>
          <w:sz w:val="20"/>
          <w:szCs w:val="20"/>
          <w:color w:val="auto"/>
        </w:rPr>
      </w:pPr>
      <w:r>
        <w:rPr>
          <w:rFonts w:ascii="Arial" w:cs="Arial" w:eastAsia="Arial" w:hAnsi="Arial"/>
          <w:sz w:val="22"/>
          <w:szCs w:val="22"/>
          <w:u w:val="single" w:color="auto"/>
          <w:color w:val="auto"/>
        </w:rPr>
        <w:t>BUYER</w:t>
      </w:r>
      <w:r>
        <w:rPr>
          <w:rFonts w:ascii="Arial" w:cs="Arial" w:eastAsia="Arial" w:hAnsi="Arial"/>
          <w:sz w:val="22"/>
          <w:szCs w:val="22"/>
          <w:color w:val="auto"/>
        </w:rPr>
        <w:t>:</w:t>
      </w:r>
    </w:p>
    <w:p>
      <w:pPr>
        <w:spacing w:after="0" w:line="227"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RHP PROPERTY SA, LLC,</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 Delaware limited liability</w:t>
      </w:r>
    </w:p>
    <w:p>
      <w:pPr>
        <w:spacing w:after="0" w:line="4"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company</w:t>
      </w:r>
    </w:p>
    <w:p>
      <w:pPr>
        <w:spacing w:after="0" w:line="364"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Scott J. Lynn</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Name: Scott J. Lynn</w:t>
      </w:r>
    </w:p>
    <w:p>
      <w:pPr>
        <w:ind w:left="3480"/>
        <w:spacing w:after="0"/>
        <w:rPr>
          <w:sz w:val="20"/>
          <w:szCs w:val="20"/>
          <w:color w:val="auto"/>
        </w:rPr>
      </w:pPr>
      <w:r>
        <w:rPr>
          <w:rFonts w:ascii="Arial" w:cs="Arial" w:eastAsia="Arial" w:hAnsi="Arial"/>
          <w:sz w:val="19"/>
          <w:szCs w:val="19"/>
          <w:color w:val="auto"/>
        </w:rPr>
        <w:t>Title:  Executive Vice President</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732790</wp:posOffset>
            </wp:positionV>
            <wp:extent cx="5452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8"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914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4517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Name: Jennifer Hutcheson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June 30, 2023,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80" w:hanging="624"/>
        <w:spacing w:after="0"/>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14605</wp:posOffset>
            </wp:positionV>
            <wp:extent cx="2185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August 4, 2023</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14605</wp:posOffset>
            </wp:positionV>
            <wp:extent cx="21856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Jennifer Hutcheson</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Chief Accounting Officer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August 4, 2023</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2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upperLetter"/>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22"/>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upperLetter"/>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lowerLetter"/>
      <w:start w:val="5"/>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35"/>
    </w:lvl>
    <w:lvl w:ilvl="1">
      <w:lvlJc w:val="left"/>
      <w:lvlText w:val="(%2)"/>
      <w:numFmt w:val="lowerLetter"/>
      <w:start w:val="2"/>
    </w:lvl>
  </w:abstractNum>
  <w:abstractNum w:abstractNumId="30">
    <w:nsid w:val="3855585C"/>
    <w:multiLevelType w:val="hybridMultilevel"/>
    <w:lvl w:ilvl="0">
      <w:lvlJc w:val="left"/>
      <w:lvlText w:val="(%1)"/>
      <w:numFmt w:val="lowerLetter"/>
      <w:start w:val="5"/>
    </w:lvl>
  </w:abstractNum>
  <w:abstractNum w:abstractNumId="31">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32">
    <w:nsid w:val="6A2342E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3">
    <w:nsid w:val="2A487CB0"/>
    <w:multiLevelType w:val="hybridMultilevel"/>
    <w:lvl w:ilvl="0">
      <w:lvlJc w:val="left"/>
      <w:lvlText w:val="%1."/>
      <w:numFmt w:val="decimal"/>
      <w:start w:val="4"/>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upp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2"/>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upperLetter"/>
      <w:start w:val="1"/>
    </w:lvl>
  </w:abstractNum>
  <w:abstractNum w:abstractNumId="45">
    <w:nsid w:val="684A481A"/>
    <w:multiLevelType w:val="hybridMultilevel"/>
    <w:lvl w:ilvl="0">
      <w:lvlJc w:val="left"/>
      <w:lvlText w:val="(%1)"/>
      <w:numFmt w:val="lowerLetter"/>
      <w:start w:val="2"/>
    </w:lvl>
  </w:abstractNum>
  <w:abstractNum w:abstractNumId="46">
    <w:nsid w:val="579478FE"/>
    <w:multiLevelType w:val="hybridMultilevel"/>
    <w:lvl w:ilvl="0">
      <w:lvlJc w:val="left"/>
      <w:lvlText w:val="(%1)"/>
      <w:numFmt w:val="lowerLetter"/>
      <w:start w:val="2"/>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lowerLetter"/>
      <w:start w:val="4"/>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53" Type="http://schemas.openxmlformats.org/officeDocument/2006/relationships/hyperlink" Target="http://www.sec.gov/Archives/edgar/data/1040829/000119312512410191/d419132dex31.htm" TargetMode="External"/><Relationship Id="rId54" Type="http://schemas.openxmlformats.org/officeDocument/2006/relationships/hyperlink" Target="https://www.sec.gov/Archives/edgar/data/1040829/000155837023002012/rhp-20221231xex3d2.htm" TargetMode="External"/><Relationship Id="rId55" Type="http://schemas.openxmlformats.org/officeDocument/2006/relationships/hyperlink" Target="https://www.sec.gov/Archives/edgar/data/1040829/000114036123030947/brhc20054708_ex4-1.htm" TargetMode="External"/><Relationship Id="rId56" Type="http://schemas.openxmlformats.org/officeDocument/2006/relationships/hyperlink" Target="https://www.sec.gov/Archives/edgar/data/1040829/000110465923062700/tm2316305d1_ex10-1.htm" TargetMode="External"/><Relationship Id="rId57" Type="http://schemas.openxmlformats.org/officeDocument/2006/relationships/hyperlink" Target="https://www.sec.gov/Archives/edgar/data/1040829/000114036123028377/ny20009346x4_ex10-1.htm" TargetMode="External"/><Relationship Id="rId58" Type="http://schemas.openxmlformats.org/officeDocument/2006/relationships/hyperlink" Target="https://www.sec.gov/Archives/edgar/data/1040829/000155837023002012/rhp-202212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2023-08-04T12:42:32Z</dcterms:created>
  <dcterms:modified xsi:type="dcterms:W3CDTF">2023-08-04T12:42:32Z</dcterms:modified>
</cp:coreProperties>
</file>