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8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9" w:lineRule="exact"/>
        <w:rPr>
          <w:sz w:val="24"/>
          <w:szCs w:val="24"/>
          <w:color w:val="auto"/>
        </w:rPr>
      </w:pPr>
    </w:p>
    <w:p>
      <w:pPr>
        <w:ind w:left="346" w:right="1520" w:hanging="346"/>
        <w:spacing w:after="0" w:line="302" w:lineRule="auto"/>
        <w:tabs>
          <w:tab w:leader="none" w:pos="3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35"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346"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26"/>
        </w:trPr>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00" w:type="dxa"/>
            <w:vAlign w:val="bottom"/>
            <w:gridSpan w:val="5"/>
          </w:tcPr>
          <w:p>
            <w:pPr>
              <w:jc w:val="center"/>
              <w:ind w:left="777"/>
              <w:spacing w:after="0"/>
              <w:rPr>
                <w:sz w:val="20"/>
                <w:szCs w:val="20"/>
                <w:color w:val="auto"/>
              </w:rPr>
            </w:pPr>
            <w:r>
              <w:rPr>
                <w:rFonts w:ascii="Times New Roman" w:cs="Times New Roman" w:eastAsia="Times New Roman" w:hAnsi="Times New Roman"/>
                <w:sz w:val="17"/>
                <w:szCs w:val="17"/>
                <w:b w:val="1"/>
                <w:bCs w:val="1"/>
                <w:color w:val="auto"/>
              </w:rPr>
              <w:t>Commission File No. 1-13079</w:t>
            </w:r>
          </w:p>
        </w:tc>
        <w:tc>
          <w:tcPr>
            <w:tcW w:w="2440" w:type="dxa"/>
            <w:vAlign w:val="bottom"/>
          </w:tcPr>
          <w:p>
            <w:pPr>
              <w:spacing w:after="0"/>
              <w:rPr>
                <w:sz w:val="19"/>
                <w:szCs w:val="19"/>
                <w:color w:val="auto"/>
              </w:rPr>
            </w:pPr>
          </w:p>
        </w:tc>
      </w:tr>
      <w:tr>
        <w:trPr>
          <w:trHeight w:val="283"/>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7"/>
                <w:szCs w:val="17"/>
                <w:b w:val="1"/>
                <w:bCs w:val="1"/>
                <w:color w:val="auto"/>
                <w:w w:val="99"/>
              </w:rPr>
              <w:t>RYMAN HOSPITALITY PROPERTIES, INC.</w:t>
            </w:r>
          </w:p>
        </w:tc>
      </w:tr>
      <w:tr>
        <w:trPr>
          <w:trHeight w:val="212"/>
        </w:trPr>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r>
      <w:tr>
        <w:trPr>
          <w:trHeight w:val="28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537"/>
              <w:spacing w:after="0"/>
              <w:rPr>
                <w:sz w:val="20"/>
                <w:szCs w:val="20"/>
                <w:color w:val="auto"/>
              </w:rPr>
            </w:pPr>
            <w:r>
              <w:rPr>
                <w:rFonts w:ascii="Times New Roman" w:cs="Times New Roman" w:eastAsia="Times New Roman" w:hAnsi="Times New Roman"/>
                <w:sz w:val="16"/>
                <w:szCs w:val="16"/>
                <w:b w:val="1"/>
                <w:bCs w:val="1"/>
                <w:color w:val="auto"/>
              </w:rPr>
              <w:t>73-0664379</w:t>
            </w:r>
          </w:p>
        </w:tc>
      </w:tr>
      <w:tr>
        <w:trPr>
          <w:trHeight w:val="212"/>
        </w:trPr>
        <w:tc>
          <w:tcPr>
            <w:tcW w:w="4880" w:type="dxa"/>
            <w:vAlign w:val="bottom"/>
            <w:gridSpan w:val="5"/>
          </w:tcPr>
          <w:p>
            <w:pPr>
              <w:jc w:val="center"/>
              <w:ind w:left="477"/>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87"/>
        </w:trPr>
        <w:tc>
          <w:tcPr>
            <w:tcW w:w="720" w:type="dxa"/>
            <w:vAlign w:val="bottom"/>
          </w:tcPr>
          <w:p>
            <w:pPr>
              <w:spacing w:after="0"/>
              <w:rPr>
                <w:sz w:val="24"/>
                <w:szCs w:val="24"/>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One Gaylord Drive, Nashville, Tennessee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717"/>
              <w:spacing w:after="0"/>
              <w:rPr>
                <w:sz w:val="20"/>
                <w:szCs w:val="20"/>
                <w:color w:val="auto"/>
              </w:rPr>
            </w:pPr>
            <w:r>
              <w:rPr>
                <w:rFonts w:ascii="Times New Roman" w:cs="Times New Roman" w:eastAsia="Times New Roman" w:hAnsi="Times New Roman"/>
                <w:sz w:val="16"/>
                <w:szCs w:val="16"/>
                <w:b w:val="1"/>
                <w:bCs w:val="1"/>
                <w:color w:val="auto"/>
              </w:rPr>
              <w:t>37214</w:t>
            </w:r>
          </w:p>
        </w:tc>
      </w:tr>
      <w:tr>
        <w:trPr>
          <w:trHeight w:val="212"/>
        </w:trPr>
        <w:tc>
          <w:tcPr>
            <w:tcW w:w="720" w:type="dxa"/>
            <w:vAlign w:val="bottom"/>
          </w:tcPr>
          <w:p>
            <w:pPr>
              <w:spacing w:after="0"/>
              <w:rPr>
                <w:sz w:val="18"/>
                <w:szCs w:val="18"/>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(615) 316-6000</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08"/>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w:t>
            </w:r>
          </w:p>
        </w:tc>
      </w:tr>
      <w:tr>
        <w:trPr>
          <w:trHeight w:val="222"/>
        </w:trPr>
        <w:tc>
          <w:tcPr>
            <w:tcW w:w="720" w:type="dxa"/>
            <w:vAlign w:val="bottom"/>
          </w:tcPr>
          <w:p>
            <w:pPr>
              <w:spacing w:after="0"/>
              <w:rPr>
                <w:sz w:val="19"/>
                <w:szCs w:val="19"/>
                <w:color w:val="auto"/>
              </w:rPr>
            </w:pPr>
          </w:p>
        </w:tc>
        <w:tc>
          <w:tcPr>
            <w:tcW w:w="36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Title of Each Class</w:t>
            </w:r>
          </w:p>
        </w:tc>
        <w:tc>
          <w:tcPr>
            <w:tcW w:w="20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Which Registered</w:t>
            </w:r>
          </w:p>
        </w:tc>
      </w:tr>
      <w:tr>
        <w:trPr>
          <w:trHeight w:val="218"/>
        </w:trPr>
        <w:tc>
          <w:tcPr>
            <w:tcW w:w="720" w:type="dxa"/>
            <w:vAlign w:val="bottom"/>
          </w:tcPr>
          <w:p>
            <w:pPr>
              <w:spacing w:after="0"/>
              <w:rPr>
                <w:sz w:val="18"/>
                <w:szCs w:val="18"/>
                <w:color w:val="auto"/>
              </w:rPr>
            </w:pPr>
          </w:p>
        </w:tc>
        <w:tc>
          <w:tcPr>
            <w:tcW w:w="3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$.01</w:t>
            </w: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457"/>
              <w:spacing w:after="0"/>
              <w:rPr>
                <w:sz w:val="20"/>
                <w:szCs w:val="20"/>
                <w:color w:val="auto"/>
              </w:rPr>
            </w:pPr>
            <w:r>
              <w:rPr>
                <w:rFonts w:ascii="Times New Roman" w:cs="Times New Roman" w:eastAsia="Times New Roman" w:hAnsi="Times New Roman"/>
                <w:sz w:val="17"/>
                <w:szCs w:val="17"/>
                <w:color w:val="auto"/>
              </w:rPr>
              <w:t>RHP</w:t>
            </w:r>
          </w:p>
        </w:tc>
        <w:tc>
          <w:tcPr>
            <w:tcW w:w="34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bl>
    <w:p>
      <w:pPr>
        <w:spacing w:after="0" w:line="16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75" w:lineRule="exact"/>
        <w:rPr>
          <w:sz w:val="24"/>
          <w:szCs w:val="24"/>
          <w:color w:val="auto"/>
        </w:rPr>
      </w:pPr>
    </w:p>
    <w:p>
      <w:pPr>
        <w:ind w:left="6" w:right="3000"/>
        <w:spacing w:after="0" w:line="23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35" w:lineRule="exact"/>
        <w:rPr>
          <w:sz w:val="24"/>
          <w:szCs w:val="24"/>
          <w:color w:val="auto"/>
        </w:rPr>
      </w:pPr>
    </w:p>
    <w:p>
      <w:pPr>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1"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68"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2">
            <w:col w:w="3466" w:space="720"/>
            <w:col w:w="6040"/>
          </w:cols>
          <w:pgMar w:left="834" w:top="661" w:right="839" w:bottom="1440" w:gutter="0" w:footer="0" w:header="0"/>
          <w:type w:val="continuous"/>
        </w:sect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86" w:lineRule="exact"/>
        <w:rPr>
          <w:sz w:val="24"/>
          <w:szCs w:val="24"/>
          <w:color w:val="auto"/>
        </w:rPr>
      </w:pPr>
    </w:p>
    <w:p>
      <w:pPr>
        <w:jc w:val="both"/>
        <w:ind w:left="6"/>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shares of Common Stock held by non-affiliates of the registrant based on the closing price of the Common Stock on the New York Stock Exchange on June 28, 2024 of $99.86 per share was approximately $5,799,975,051 (assuming for this purpose that shares beneficially owned by persons other than officers or directors of the registrant, and their affiliates, are held by non-affiliates).</w:t>
      </w:r>
    </w:p>
    <w:p>
      <w:pPr>
        <w:spacing w:after="0" w:line="5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January 31, 2025 there were 59,903,401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3" w:lineRule="exact"/>
        <w:rPr>
          <w:sz w:val="24"/>
          <w:szCs w:val="24"/>
          <w:color w:val="auto"/>
        </w:rPr>
      </w:pPr>
    </w:p>
    <w:p>
      <w:pPr>
        <w:jc w:val="both"/>
        <w:ind w:left="6"/>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2025 Annual Meeting of Stockholders to be filed with the Securities and Exchange Commission are incorporated by reference into Part III of this Form 10-K</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40005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ANNUAL REPORT ON FORM 10-K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4"/>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34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tcPr>
          <w:p>
            <w:pPr>
              <w:spacing w:after="0"/>
              <w:rPr>
                <w:sz w:val="24"/>
                <w:szCs w:val="24"/>
                <w:color w:val="auto"/>
              </w:rPr>
            </w:pPr>
          </w:p>
        </w:tc>
        <w:tc>
          <w:tcPr>
            <w:tcW w:w="34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1A.Risk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1B.Unresolved Staff Comments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1C.Cybersecurity</w:t>
            </w:r>
          </w:p>
        </w:tc>
        <w:tc>
          <w:tcPr>
            <w:tcW w:w="538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0" w:type="dxa"/>
            <w:vAlign w:val="bottom"/>
          </w:tcPr>
          <w:p>
            <w:pPr>
              <w:spacing w:after="0"/>
              <w:rPr>
                <w:sz w:val="17"/>
                <w:szCs w:val="17"/>
                <w:color w:val="auto"/>
              </w:rPr>
            </w:pPr>
          </w:p>
        </w:tc>
        <w:tc>
          <w:tcPr>
            <w:tcW w:w="1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40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3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7A.Quantitative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3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0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9A.Controls and Procedures</w:t>
            </w:r>
          </w:p>
        </w:tc>
        <w:tc>
          <w:tcPr>
            <w:tcW w:w="56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2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9B.Other Information</w:t>
            </w:r>
          </w:p>
        </w:tc>
        <w:tc>
          <w:tcPr>
            <w:tcW w:w="608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9C.Disclosure Regarding Foreign Jurisdictions that Prevent Inspections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820" w:type="dxa"/>
            <w:vAlign w:val="bottom"/>
            <w:tcBorders>
              <w:top w:val="single" w:sz="8" w:color="0000EE"/>
            </w:tcBorders>
            <w:gridSpan w:val="3"/>
          </w:tcPr>
          <w:p>
            <w:pPr>
              <w:spacing w:after="0"/>
              <w:rPr>
                <w:sz w:val="24"/>
                <w:szCs w:val="24"/>
                <w:color w:val="auto"/>
              </w:rPr>
            </w:pPr>
          </w:p>
        </w:tc>
        <w:tc>
          <w:tcPr>
            <w:tcW w:w="25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10.</w:t>
            </w:r>
          </w:p>
        </w:tc>
        <w:tc>
          <w:tcPr>
            <w:tcW w:w="40" w:type="dxa"/>
            <w:vAlign w:val="bottom"/>
            <w:gridSpan w:val="2"/>
          </w:tcPr>
          <w:p>
            <w:pPr>
              <w:spacing w:after="0"/>
              <w:rPr>
                <w:sz w:val="24"/>
                <w:szCs w:val="24"/>
                <w:color w:val="auto"/>
              </w:rPr>
            </w:pPr>
          </w:p>
        </w:tc>
        <w:tc>
          <w:tcPr>
            <w:tcW w:w="41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40" w:type="dxa"/>
            <w:vAlign w:val="bottom"/>
            <w:gridSpan w:val="2"/>
          </w:tcPr>
          <w:p>
            <w:pPr>
              <w:spacing w:after="0"/>
              <w:rPr>
                <w:sz w:val="17"/>
                <w:szCs w:val="17"/>
                <w:color w:val="auto"/>
              </w:rPr>
            </w:pPr>
          </w:p>
        </w:tc>
        <w:tc>
          <w:tcPr>
            <w:tcW w:w="7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40" w:type="dxa"/>
            <w:vAlign w:val="bottom"/>
            <w:gridSpan w:val="2"/>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6"/>
          </w:tcPr>
          <w:p>
            <w:pPr>
              <w:jc w:val="center"/>
              <w:ind w:right="334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40" w:type="dxa"/>
            <w:vAlign w:val="bottom"/>
            <w:gridSpan w:val="2"/>
          </w:tcPr>
          <w:p>
            <w:pPr>
              <w:spacing w:after="0"/>
              <w:rPr>
                <w:sz w:val="24"/>
                <w:szCs w:val="24"/>
                <w:color w:val="auto"/>
              </w:rPr>
            </w:pPr>
          </w:p>
        </w:tc>
        <w:tc>
          <w:tcPr>
            <w:tcW w:w="3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5"/>
          </w:tcPr>
          <w:p>
            <w:pPr>
              <w:spacing w:after="0"/>
              <w:rPr>
                <w:sz w:val="24"/>
                <w:szCs w:val="24"/>
                <w:color w:val="auto"/>
              </w:rPr>
            </w:pPr>
          </w:p>
        </w:tc>
        <w:tc>
          <w:tcPr>
            <w:tcW w:w="336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42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24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real estate investment trust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the ability of Marriott International, Inc.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customers at our hotels; and (xii) any other business or operational matters.</w:t>
      </w:r>
    </w:p>
    <w:p>
      <w:pPr>
        <w:spacing w:after="0" w:line="200" w:lineRule="exact"/>
        <w:rPr>
          <w:sz w:val="20"/>
          <w:szCs w:val="20"/>
          <w:color w:val="auto"/>
        </w:rPr>
      </w:pPr>
    </w:p>
    <w:p>
      <w:pPr>
        <w:spacing w:after="0" w:line="203"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Item 1A, “Risk Factors,” Item 7, “Management’s Discussion and Analysis of Financial Condition and Results of Operations,” and elsewhere in this Annual Report on Form 10-K.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3" w:lineRule="exact"/>
        <w:rPr>
          <w:sz w:val="20"/>
          <w:szCs w:val="20"/>
          <w:color w:val="auto"/>
        </w:rPr>
      </w:pPr>
    </w:p>
    <w:p>
      <w:pPr>
        <w:ind w:left="720" w:right="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of our Hospitality segment revenue, is concentrated in Marriott.</w:t>
      </w:r>
    </w:p>
    <w:p>
      <w:pPr>
        <w:spacing w:after="0" w:line="75"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6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the hospitality industry, and in particular the group-oriented meetings sector of the hospitality industry, exposes us to certain risks outside of our and Marriott’s control. In addition, the geographic concentration of our current hotel properties subjects us to a greater degree of risk to certain factors.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TRS lessee structure subjects us to the risk of increased hotel operating expenses and the inability of our TRS lessees to make lease payments to us.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hotel manager rely on information technology in our operations, and any material failure, inadequacy, interruption, or security failure could harm our business. In addition, changes in privacy and data security laws could increase our operating costs and increase our exposure to fines and litigation, and cyber security incidents could have a disruptive effect on our business.</w:t>
      </w:r>
    </w:p>
    <w:p>
      <w:pPr>
        <w:spacing w:after="0" w:line="71" w:lineRule="exact"/>
        <w:rPr>
          <w:rFonts w:ascii="Times New Roman" w:cs="Times New Roman" w:eastAsia="Times New Roman" w:hAnsi="Times New Roman"/>
          <w:sz w:val="18"/>
          <w:szCs w:val="18"/>
          <w:color w:val="auto"/>
        </w:rPr>
      </w:pPr>
    </w:p>
    <w:p>
      <w:pPr>
        <w:jc w:val="both"/>
        <w:ind w:left="720" w:right="5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are subject to numerous risks, including environmental regulations that could impose significant financial liability on us and illiquidity of real estate investments. Moreover, compliance with the Americans with Disabilities Act could require us to incur substantial costs.</w:t>
      </w:r>
    </w:p>
    <w:p>
      <w:pPr>
        <w:spacing w:after="0" w:line="6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of hotel properties and operator of leisure businesses, we are subject to risks relating to acts of God, outbreaks of pandemic disease, terrorist activity and war. Our operating results and ability to service debt and make distributions to stockholders may be adversely affected by operating risks common to the lodging industry.</w:t>
      </w:r>
    </w:p>
    <w:p>
      <w:pPr>
        <w:spacing w:after="0" w:line="67" w:lineRule="exact"/>
        <w:rPr>
          <w:rFonts w:ascii="Times New Roman" w:cs="Times New Roman" w:eastAsia="Times New Roman" w:hAnsi="Times New Roman"/>
          <w:sz w:val="18"/>
          <w:szCs w:val="18"/>
          <w:color w:val="auto"/>
        </w:rPr>
      </w:pPr>
    </w:p>
    <w:p>
      <w:pPr>
        <w:ind w:left="720" w:right="219" w:hanging="319"/>
        <w:spacing w:after="0" w:line="277"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associated with our hotel managers’ employment of hotel personnel, particularly with hotels whose managers employ unionized labor, which could increase our hotels’ operating costs, including, but not limited to, an increase in wages and benefit costs, reduce the flexibility of our third-party hotel managers to adjust the size of the workforce at our hotel properties and impair our ability to make distributions to our stockholders. Our business could suffer if our hotel managers cannot attract and retain qualified hotel personnel.</w:t>
      </w:r>
    </w:p>
    <w:p>
      <w:pPr>
        <w:spacing w:after="0" w:line="59" w:lineRule="exact"/>
        <w:rPr>
          <w:rFonts w:ascii="Times New Roman" w:cs="Times New Roman" w:eastAsia="Times New Roman" w:hAnsi="Times New Roman"/>
          <w:sz w:val="17"/>
          <w:szCs w:val="17"/>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the trademarks and intellectual property used in our business could reduce the value of our brand names and harm our business.</w:t>
      </w:r>
    </w:p>
    <w:p>
      <w:pPr>
        <w:spacing w:after="0" w:line="53"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the operations of our Entertainment segment through OEG, and our ownership is subject to the terms of agreements with A-OEG Holdings, LLC, an affiliate of Atairos (as defined below in Part I, Item 1). Any disagreement with Atairos or its affiliate may adversely affect our interest in OEG.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companies have been the target of class actions and other lawsuits alleging violations of federal and state law and other claims, and we may be subject to legal claims.</w:t>
      </w:r>
    </w:p>
    <w:p>
      <w:pPr>
        <w:spacing w:after="0" w:line="53"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pacing w:after="0" w:line="67"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67" w:lineRule="exact"/>
        <w:rPr>
          <w:rFonts w:ascii="Times New Roman" w:cs="Times New Roman" w:eastAsia="Times New Roman" w:hAnsi="Times New Roman"/>
          <w:sz w:val="18"/>
          <w:szCs w:val="18"/>
          <w:color w:val="auto"/>
        </w:rPr>
      </w:pPr>
    </w:p>
    <w:p>
      <w:pPr>
        <w:ind w:left="720" w:right="3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of dividend income could make our stock less attractive to certain investors and reduce the market price of our stock.</w:t>
      </w:r>
    </w:p>
    <w:p>
      <w:pPr>
        <w:spacing w:after="0" w:line="53"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 or reduce the market price of our stock by making an investment in us less attractive to certain investors.</w:t>
      </w:r>
    </w:p>
    <w:p>
      <w:pPr>
        <w:spacing w:after="0" w:line="7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revoke our REIT qualification, without stockholder approval, may cause adverse consequences to our stockholders.</w:t>
      </w:r>
    </w:p>
    <w:p>
      <w:pPr>
        <w:spacing w:after="0" w:line="53"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TRSs may cause us to fail to qualify as a REIT, and if our leases of our hotel properties to TRS lessees are not true leases for federal income tax purposes, we may fail to qualify as a REIT.</w:t>
      </w:r>
    </w:p>
    <w:p>
      <w:pPr>
        <w:spacing w:after="0" w:line="53"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fails to qualify as an “eligible independent contractor,” or if our hotels are not “qualified lodging facilities” (as each such term is defined in the U.S. Internal Revenue Code), we may fail to qualify as a REIT.</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distributions are not guaranteed and may fluctuate.</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7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67" w:lineRule="exact"/>
        <w:rPr>
          <w:rFonts w:ascii="Times New Roman" w:cs="Times New Roman" w:eastAsia="Times New Roman" w:hAnsi="Times New Roman"/>
          <w:sz w:val="18"/>
          <w:szCs w:val="18"/>
          <w:color w:val="auto"/>
        </w:rPr>
      </w:pPr>
    </w:p>
    <w:p>
      <w:pPr>
        <w:ind w:left="720" w:right="39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our subsidiaries’ cash flow to meet our debt service obligations. To service our debt and pay other obligations, we will require a significant amount of cash, which may not be available to us.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various covenants that may limit our ability to operate our business and impair our ability to make distributions to our stockholders in accordance with our announced intended dividend policy or otherwise.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limitations in our charter may restrict or prevent stockholders from engaging in certain transfers of our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Operating Partnership (as defined below) and its subsidiaries, as well as businesses within our Entertainment segment, continue to be subject, as applicable, to federal and state corporate income taxes.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owned assets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JW Marriott San Antonio Hill Country Resort &amp; Spa (“JW Marriott Hill Country”) (effective June 30, 2023), the Inn at Opryland, an overflow hotel adjacent to Gaylord Opryland, and the AC Hotel at National Harbor, Washington D.C. (“AC Hotel”), an overflow hotel adjacent to Gaylord National.</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that opened in November 2024; as of May 31, 2022, Block 21, a mixed-use entertainment, lodging, office, and retail complex located in Austin, Texas (“Block 21”); and as of January 3, 2025, a majority equity interest in Southern Entertainment, a Charlotte, North Carolina-based national music festival and events production company. Prior to June 16, 2022, we owned 100% of OEG.</w:t>
      </w:r>
    </w:p>
    <w:p>
      <w:pPr>
        <w:spacing w:after="0" w:line="188"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Our operations are organized into three principal business segments: (i) Hospitality, which includes our Gaylord Hotels properties, JW Marriott Hill Country (effective June 30, 2023), the Inn at Opryland and the AC Hotel; (ii) Entertainment, which includes the entertainment and media assets comprising OEG; and (iii) Corporate and Other, which includes corporate expenses. These three business segments — Hospitality, Entertainment, and Corporate and Other — represented approximately 85%, 15% and 0%, respectively, of our total revenues for the fiscal year ended December 31, 2024.</w:t>
      </w:r>
    </w:p>
    <w:p>
      <w:pPr>
        <w:spacing w:after="0" w:line="16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Financial information by business segment and for each of our Gaylord Hotels properties as of December 31, 2024 and for each of the three years then ended appears in Item 7, “Management’s Discussion and Analysis of Financial Condition and Results of Operations,” and in “Note 13 – Financial Reporting by Business Segments” to our consolidated financial statements included in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Long-Term Strategic Plan</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0" w:lineRule="exact"/>
        <w:rPr>
          <w:sz w:val="20"/>
          <w:szCs w:val="20"/>
          <w:color w:val="auto"/>
        </w:rPr>
      </w:pPr>
    </w:p>
    <w:p>
      <w:pPr>
        <w:ind w:left="720" w:right="11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Existing Hotel Property Design. </w:t>
      </w:r>
      <w:r>
        <w:rPr>
          <w:rFonts w:ascii="Times New Roman" w:cs="Times New Roman" w:eastAsia="Times New Roman" w:hAnsi="Times New Roman"/>
          <w:sz w:val="18"/>
          <w:szCs w:val="18"/>
          <w:color w:val="auto"/>
        </w:rPr>
        <w:t>Our Gaylord Hotels properties focus on the large group meetings and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leisure transient markets in the 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82"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Hotel Asset Portfolio. </w:t>
      </w:r>
      <w:r>
        <w:rPr>
          <w:rFonts w:ascii="Times New Roman" w:cs="Times New Roman" w:eastAsia="Times New Roman" w:hAnsi="Times New Roman"/>
          <w:sz w:val="18"/>
          <w:szCs w:val="18"/>
          <w:color w:val="auto"/>
        </w:rPr>
        <w:t>Part of our long-term growth strategy includes acquisitions or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85"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Investment in Our Existing Properties. </w:t>
      </w:r>
      <w:r>
        <w:rPr>
          <w:rFonts w:ascii="Times New Roman" w:cs="Times New Roman" w:eastAsia="Times New Roman" w:hAnsi="Times New Roman"/>
          <w:sz w:val="18"/>
          <w:szCs w:val="18"/>
          <w:color w:val="auto"/>
        </w:rPr>
        <w:t>We continuously evaluate and invest in our current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 enhancements or expansions as part of our long-term strategic plan. In 2022, we completed a re-concepting of the food and beverage options at Gaylord National and began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 and in January 2025, we announced plans for the latest portion of a nearly $225 million multi-phase capital improvement plan at Gaylord Opryland that includes an expansion of approximately 108,000 square feet of premium, carpeted meeting space, which is in addition to the ongoing renovation of multiple ballrooms and pre-function space and a sports bar, event lawn and pavilion currently under construction.</w:t>
      </w:r>
    </w:p>
    <w:p>
      <w:pPr>
        <w:spacing w:after="0" w:line="185"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Brand Name Awareness. </w:t>
      </w:r>
      <w:r>
        <w:rPr>
          <w:rFonts w:ascii="Times New Roman" w:cs="Times New Roman" w:eastAsia="Times New Roman" w:hAnsi="Times New Roman"/>
          <w:sz w:val="18"/>
          <w:szCs w:val="18"/>
          <w:color w:val="auto"/>
        </w:rPr>
        <w:t>We believe the Grand Ole Opry is one of the most recognized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OEG has invested in six Ole Red locations, purchased Block 21, opened Category 10 in November 2024, and purchased a majority interest in Southern Entertainment in January 2025. Further, in 2022, we completed a strategic transaction to sell a minority interest in OEG to an affiliate of Atairos Group, Inc. (“Atairos”) and its strategic partner NBCUniversal, who we believe will continue to help us expand the distribution of our OEG brands.</w:t>
      </w:r>
    </w:p>
    <w:p>
      <w:pPr>
        <w:spacing w:after="0" w:line="189"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Short-Term Capital Allocation</w:t>
      </w:r>
      <w:r>
        <w:rPr>
          <w:rFonts w:ascii="Times New Roman" w:cs="Times New Roman" w:eastAsia="Times New Roman" w:hAnsi="Times New Roman"/>
          <w:sz w:val="17"/>
          <w:szCs w:val="17"/>
          <w:color w:val="auto"/>
        </w:rPr>
        <w:t>. Our short-term capital allocation strategy is focused on returning capital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through the payment of dividends, in addition to investing in our assets and operations. Our dividend policy provides that we will make minimum dividends of 100% of REIT taxable income annually, subject to our board of directors’ future determinations as to the amount of any distributions and the timing thereof.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Hotel Portfolio</w:t>
      </w:r>
    </w:p>
    <w:p>
      <w:pPr>
        <w:spacing w:after="0" w:line="229"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 Our Gaylord Hotels properties are routinely recognized by many industry and commercial publications, including being named the 2023 and 2024 STELLA Award Gold Winner for best hotel chain by Northstar Meetings Group.</w:t>
      </w:r>
    </w:p>
    <w:p>
      <w:pPr>
        <w:spacing w:after="0" w:line="16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Marriott is responsible for the day-to-day management of our Gaylord Hotels properties, the JW Marriott Hill Country, the Inn at Opryland, and the AC Hotel. We believe that our Gaylord Hotels properties have benefitted and will continue to benefit from Marriott’s expansive sales force and popular frequent traveler program, as well as its ability to manage group business.</w:t>
      </w:r>
    </w:p>
    <w:p>
      <w:pPr>
        <w:spacing w:after="0" w:line="18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Based on our information, publicly available information, and information and data obtained from Smith Travel Research, the top 10 non-gaming hotels within the United States with the highest square footage of self-contained exhibit and meeting space as of January 2025 are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Exhibit and</w:t>
            </w: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(1)</w:t>
            </w:r>
          </w:p>
        </w:tc>
        <w:tc>
          <w:tcPr>
            <w:tcW w:w="16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 Space</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(sq. ft.)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Opryland Resort &amp; Convention Center</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Nashville, TN</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National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National Harbor, MD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Texan Resort &amp; Convention Center</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Grapevine,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Palms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Kissimmee,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Rosen Shingle Creek</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Rockies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Aurora, CO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Orlando World Center Marriott</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Hilton Anatole</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Marriott Walt Disney World Dolphin</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Hyatt Regency Orlando</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Bolded facilities are owned by the Company.</w:t>
      </w:r>
    </w:p>
    <w:p>
      <w:pPr>
        <w:spacing w:after="0" w:line="22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Opryland Resort &amp; Convention Center — Nashville, Tennessee. </w:t>
      </w:r>
      <w:r>
        <w:rPr>
          <w:rFonts w:ascii="Times New Roman" w:cs="Times New Roman" w:eastAsia="Times New Roman" w:hAnsi="Times New Roman"/>
          <w:sz w:val="18"/>
          <w:szCs w:val="18"/>
          <w:color w:val="auto"/>
        </w:rPr>
        <w:t>Gaylord Opryland is one of the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Gaylord Springs Golf Links (“Gaylord Springs”) – our 18-hole championship golf course with a 40,000 square-foot antebellum-style clubhouse offering meeting space for up to 500 guests – and other attractions in the Nashville area. Gaylord Opryland has 2,888 signature guest rooms, four ballrooms with approximately 127,000 square feet, 111 banquet/meeting rooms, and total meeting, exhibit and pre-function space of approximately 640,000 square feet. In January 2025, we announced plans for the latest portion of a nearly $225 million multi-phase capital improvement plan at Gaylord Opryland that includes an expansion consisting of approximately 108,000 square feet of premium, carpeted meeting space, which is in addition to the ongoing renovation of multiple ballrooms and pre-function space and a sports bar, event lawn and pavilion currently under construction. Gaylord Opryland was named a 2024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Conventions</w:t>
      </w:r>
      <w:r>
        <w:rPr>
          <w:rFonts w:ascii="Times New Roman" w:cs="Times New Roman" w:eastAsia="Times New Roman" w:hAnsi="Times New Roman"/>
          <w:sz w:val="18"/>
          <w:szCs w:val="18"/>
          <w:color w:val="auto"/>
        </w:rPr>
        <w:t>’ Hall of Fame.</w:t>
      </w:r>
    </w:p>
    <w:p>
      <w:pPr>
        <w:spacing w:after="0" w:line="183"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Palms Resort &amp; Convention Center — Kissimmee, Florida. </w:t>
      </w:r>
      <w:r>
        <w:rPr>
          <w:rFonts w:ascii="Times New Roman" w:cs="Times New Roman" w:eastAsia="Times New Roman" w:hAnsi="Times New Roman"/>
          <w:sz w:val="18"/>
          <w:szCs w:val="18"/>
          <w:color w:val="auto"/>
        </w:rPr>
        <w:t>Gaylord Palms has 1,718 signature guest rooms,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ballrooms with approximately 115,000 square feet, 111 banquet/meeting rooms, and total meeting, exhibit and pre-function space of approximately 467,000 square feet. The resort is situated on a 65-acre site in Osceola County, Florida, which we have leased pursuant to a 75-year ground lease with a 24-year renewal option. The resort is approximately a five-minute drive from the main gate of the Walt Disney World® Resort complex. Gaylord Palms has a number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 xml:space="preserve">themed restaurants, retail outlets, a new resort rapid river, and a full-service spa with 20,000 square feet of dedicated space. Hotel guests also have golf privileges at Celebration Golf Club, located approximately two miles from the property. Gaylord Palms is rated as a AAA Four-Diamond Hotel and has been recognized as a member of </w:t>
      </w:r>
      <w:r>
        <w:rPr>
          <w:rFonts w:ascii="Times New Roman" w:cs="Times New Roman" w:eastAsia="Times New Roman" w:hAnsi="Times New Roman"/>
          <w:sz w:val="18"/>
          <w:szCs w:val="18"/>
          <w:i w:val="1"/>
          <w:iCs w:val="1"/>
          <w:color w:val="auto"/>
        </w:rPr>
        <w:t>Meeting &amp; Conventions</w:t>
      </w:r>
      <w:r>
        <w:rPr>
          <w:rFonts w:ascii="Times New Roman" w:cs="Times New Roman" w:eastAsia="Times New Roman" w:hAnsi="Times New Roman"/>
          <w:sz w:val="18"/>
          <w:szCs w:val="18"/>
          <w:color w:val="auto"/>
        </w:rPr>
        <w:t xml:space="preserve"> Hall of Fame.</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Texan Resort &amp; Convention Center — Grapevine, Texas. </w:t>
      </w:r>
      <w:r>
        <w:rPr>
          <w:rFonts w:ascii="Times New Roman" w:cs="Times New Roman" w:eastAsia="Times New Roman" w:hAnsi="Times New Roman"/>
          <w:sz w:val="18"/>
          <w:szCs w:val="18"/>
          <w:color w:val="auto"/>
        </w:rPr>
        <w:t>Gaylord Texan is situated on approximately 85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w:t>
      </w:r>
    </w:p>
    <w:p>
      <w:pPr>
        <w:spacing w:after="0" w:line="188"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National Resort &amp; Convention Center — National Harbor, Maryland. </w:t>
      </w:r>
      <w:r>
        <w:rPr>
          <w:rFonts w:ascii="Times New Roman" w:cs="Times New Roman" w:eastAsia="Times New Roman" w:hAnsi="Times New Roman"/>
          <w:sz w:val="18"/>
          <w:szCs w:val="18"/>
          <w:color w:val="auto"/>
        </w:rPr>
        <w:t>Gaylord National is situated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501,000 square feet. The hotel complex includes an 18-story glass atrium, a 20,000 square foot spa and fitness center, a freestanding 24,000-square foot ballroom building offering 16,000 square feet of meeting space on the banks of the Potomac River, and entertainment options such as restaurants, shops, and a two-story rooftop nightclub. Gaylord National is rated as a AAA Four-Diamond Hotel.</w:t>
      </w:r>
    </w:p>
    <w:p>
      <w:pPr>
        <w:spacing w:after="0" w:line="18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Rockies Resort &amp; Convention Center — Aurora, Colorado. </w:t>
      </w:r>
      <w:r>
        <w:rPr>
          <w:rFonts w:ascii="Times New Roman" w:cs="Times New Roman" w:eastAsia="Times New Roman" w:hAnsi="Times New Roman"/>
          <w:sz w:val="18"/>
          <w:szCs w:val="18"/>
          <w:color w:val="auto"/>
        </w:rPr>
        <w:t>Gaylord Rockies is situated on approximately 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Gaylord Rockies is rated as a AAA Four-Diamond Hotel. In 2024, we completed a $98 million multi-year interior and exterior enhancement project at Gaylord Rockies to better position the property for our group customers.</w:t>
      </w:r>
    </w:p>
    <w:p>
      <w:pPr>
        <w:spacing w:after="0" w:line="18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JW Marriott San Antonio Hill Country Resort &amp; Spa — San Antonio, Texas. </w:t>
      </w:r>
      <w:r>
        <w:rPr>
          <w:rFonts w:ascii="Times New Roman" w:cs="Times New Roman" w:eastAsia="Times New Roman" w:hAnsi="Times New Roman"/>
          <w:sz w:val="18"/>
          <w:szCs w:val="18"/>
          <w:color w:val="auto"/>
        </w:rPr>
        <w:t>We purchased JW Marriott Hill Country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2023. The property is situated on approximately 600 acres in the Texan Hill Country region outside of San Antonio. The hotel features 1,002 guest rooms and indoor and outdoor meeting and event space of approximately 268,000 square feet. The property also includes eight food and beverage outlets, a full-service spa with 26,000 square feet of dedicated space, a nine-acre water experience, and TPC San Antonio, which features two 18-hole golf courses. JW Marriott Hill Country is rated as a AAA Four-Diamond Hotel and was named a 2024 STELLA Award Bronze Winner for each of best food and beverage, best golf resort and best on-site support staff by Northstar Meetings Group.</w:t>
      </w:r>
    </w:p>
    <w:p>
      <w:pPr>
        <w:spacing w:after="0" w:line="183"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The Inn at Opryland is located across the street from Gaylord Opryland. The hotel has 303 rooms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square feet of meeting space.</w:t>
      </w:r>
    </w:p>
    <w:p>
      <w:pPr>
        <w:spacing w:after="0" w:line="15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The AC Hotel is located near Gaylord National. The hotel has 192 rooms and approximately 3,700 square feet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meeting space.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Entertainment Portfolio</w:t>
      </w:r>
    </w:p>
    <w:p>
      <w:pPr>
        <w:spacing w:after="0" w:line="221" w:lineRule="exact"/>
        <w:rPr>
          <w:sz w:val="20"/>
          <w:szCs w:val="20"/>
          <w:color w:val="auto"/>
        </w:rPr>
      </w:pPr>
    </w:p>
    <w:p>
      <w:pPr>
        <w:ind w:left="60" w:right="29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Grand Ole Opry. </w:t>
      </w:r>
      <w:r>
        <w:rPr>
          <w:rFonts w:ascii="Times New Roman" w:cs="Times New Roman" w:eastAsia="Times New Roman" w:hAnsi="Times New Roman"/>
          <w:sz w:val="17"/>
          <w:szCs w:val="17"/>
          <w:color w:val="auto"/>
        </w:rPr>
        <w:t>The Grand Ole Opry, which will celebrate its 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anniversary in 2025, is one of the most widely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known platforms for country music in the world. The Opry features a live country music show with performances every Friday and Saturday night, as well as additional weekly performances on a seasonal basis. The Grand Ole Opry House, home of the Grand Ole Opry, seats approximately 4,400 and is located in the Opryland complex. The Grand Ole Opry moved to the Opry House in 1974 from its most famous home in the Ryman Auditorium in downtown Nashville. 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w:t>
      </w:r>
    </w:p>
    <w:p>
      <w:pPr>
        <w:spacing w:after="0" w:line="176"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Ryman Auditorium. </w:t>
      </w:r>
      <w:r>
        <w:rPr>
          <w:rFonts w:ascii="Times New Roman" w:cs="Times New Roman" w:eastAsia="Times New Roman" w:hAnsi="Times New Roman"/>
          <w:sz w:val="18"/>
          <w:szCs w:val="18"/>
          <w:color w:val="auto"/>
        </w:rPr>
        <w:t>The Ryman Auditorium, which was built in 1892 and seats approximately 2,300, is designated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Historic Landmark. The former home of the Grand Ole Opry, the Ryman Auditorium was renovated and re-opened in 1994 for concerts and musical productions. The Grand Ole Opry returns to the Ryman Auditorium periodically, most recently in January 2025. Ryman Auditorium has won numerous awards, including “Theatre of the Year” by Pollstar Concert Industry Awards, “Venue of the Year” by the Country Music Association, and “Venue of the Year – Small Capacity” by the Academy of Country Music, winning each on several occasions.</w:t>
      </w:r>
    </w:p>
    <w:p>
      <w:pPr>
        <w:spacing w:after="0" w:line="182" w:lineRule="exact"/>
        <w:rPr>
          <w:sz w:val="20"/>
          <w:szCs w:val="20"/>
          <w:color w:val="auto"/>
        </w:rPr>
      </w:pPr>
    </w:p>
    <w:p>
      <w:pPr>
        <w:ind w:left="60" w:right="5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Block 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May 31, 2022, we purchased Block 21, a mixed-use entertainment, lodging, office, and retail complex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located in Austin, Texas. Block 21 is the home of the Austin City Limits Live at the Moody Theater (“ACL Live”), a</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2,750-seat entertainment venue that serves as the filming location for the Austin City Limits television series. The Block 21 complex also includes the 251-room W Austin, which Marriott manages, the 3TEN at ACL Live club and approximately 53,000 square feet of other Class A commercial space.</w:t>
      </w:r>
    </w:p>
    <w:p>
      <w:pPr>
        <w:spacing w:after="0" w:line="18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 Red. </w:t>
      </w:r>
      <w:r>
        <w:rPr>
          <w:rFonts w:ascii="Times New Roman" w:cs="Times New Roman" w:eastAsia="Times New Roman" w:hAnsi="Times New Roman"/>
          <w:sz w:val="18"/>
          <w:szCs w:val="18"/>
          <w:color w:val="auto"/>
        </w:rPr>
        <w:t>Since 2018, we have opened six Ole Red locations, multi-level entertainment venues with locations in downtown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Nashville, Tennessee; Gatlinburg, Tennessee; Orlando, Florida; Tishomingo, Oklahoma; at the Nashville International Airport; and Las Vegas, Nevada (which opened in January 2024). Each of these restaurant, bar and live music venues showcase curated country music talent alongside concert-quality production and sound capabilities.</w:t>
      </w:r>
    </w:p>
    <w:p>
      <w:pPr>
        <w:spacing w:after="0" w:line="176"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Category 10. </w:t>
      </w:r>
      <w:r>
        <w:rPr>
          <w:rFonts w:ascii="Times New Roman" w:cs="Times New Roman" w:eastAsia="Times New Roman" w:hAnsi="Times New Roman"/>
          <w:sz w:val="18"/>
          <w:szCs w:val="18"/>
          <w:color w:val="auto"/>
        </w:rPr>
        <w:t>In November 2024, we opened Category 10 after renovating and repositioning the Wildhorse Saloon,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country music performance venue in downtown Nashville. This 67,000 square foot, three-story venue includes a concert hall available for ticketed events, a honky-tonk, a sports bar, an upscale lounge, the largest rooftop venue in downtown Nashville (which opened in February 2025), and numerous food and beverage options.</w:t>
      </w:r>
    </w:p>
    <w:p>
      <w:pPr>
        <w:spacing w:after="0" w:line="17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WSM-AM. </w:t>
      </w:r>
      <w:r>
        <w:rPr>
          <w:rFonts w:ascii="Times New Roman" w:cs="Times New Roman" w:eastAsia="Times New Roman" w:hAnsi="Times New Roman"/>
          <w:sz w:val="18"/>
          <w:szCs w:val="18"/>
          <w:color w:val="auto"/>
        </w:rPr>
        <w:t>WSM-AM commenced broadcasting in 1925. The involvement of Ryman’s predecessors with country music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back to the creation of the radio program that became The Grand Ole Opry, which has been broadcast live on WSM-AM since 1925. WSM-AM is broadcast from the Grand Ole Opry House plaza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General Jackson Showboat. </w:t>
      </w:r>
      <w:r>
        <w:rPr>
          <w:rFonts w:ascii="Times New Roman" w:cs="Times New Roman" w:eastAsia="Times New Roman" w:hAnsi="Times New Roman"/>
          <w:sz w:val="18"/>
          <w:szCs w:val="18"/>
          <w:color w:val="auto"/>
        </w:rPr>
        <w:t>We own the General Jackson Showboat, a 300-foot, four-deck paddle wheel showboat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All of our assets are held by, and all of our operations are conducted through, RHP Hotel Properties, LP, a Delaware limited partnership (the “Operating Partnership”), of which we own, directly or indirectly, 99.3% of the partnership interests (collectively, the “OP Units”), including all of the general partnership interests. The Operating Partnership’s limited partnership agreement provides that the OP Units held by other persons may be exchanged on a one-for-one basis for shares of our common stock. Under certain circumstances, we may issue such OP Units as consideration to acquire hotel properties. By offering OP Units, the seller of such hotel property could defer federal income tax on any of the seller’s gains on sale, and this tax advantage may enable us to acquire hotel properties in the future which otherwise may not be available for sale.</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 lessees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94"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 addition, we own our Entertainment businesses in TRSs, and certain of those TRSs have engaged Marriott to manage their assets, as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Status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create unique destination and entertainment experiences for our customers. To serve our customers, we have built a strong, people-centric corporate culture that provides opportunities for growth and improves our local communities. Providing competitive compensation and benefits to our employees is fundamental to the success of our organization. We believe that caring for the people who work in our businesses and communities leads to a more positive experience for our guests and gives us a competitive advantage in the industries in which we operate.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employ a highly engaged, high-performing and satisfied workforce.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of December 31, 2024, we employed 1,929 people, including 1,047 full-time and 882 part-time and on-call employees in our Entertainment and Corporate segments. Fifty-three percent of our population were female and 47% were male. Women held 49% of leadership positions as of December 31, 2024. We do not have any employees in our direct employment represented by collective bargaining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Hotels and Managed Attractions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hotel operator, Marriott, is responsible for hiring and managing the workforce at our Gaylord Hotels properties, as well as JW Marriott Hill Country, the Inn at Opryland, the AC Hotel, Gaylord Springs, the General Jackson and the W Austin. We receive periodic updates from Marriott concerning Marriott’s policies, and we believe they reflect our people-first approach.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Philosophy and Culture</w:t>
      </w:r>
    </w:p>
    <w:p>
      <w:pPr>
        <w:spacing w:after="0" w:line="22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Our people-first philosophy centers around creating a workplace culture where all employees feel respected, valued and inspired. We prioritize communication to ensure our employees feel connected to our company’s goals and engaged in the communities we serve. Our commitment to an inclusive work environment is a top priority. Additionally, our benefits philosophy includes resources to help employees live happier, healthier lives, while rewarding performance and encouraging retention. In the last three years, despite rising healthcare costs, we have kept employee healthcare premium increases at or below 5%, this year capping the premium increase at 2.5%. Our people-first culture and our benefits offerings contribute to our ability to remain an employer of choice in each of our markets.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Programs in place to reinforce our people-centric culture include, among others:</w:t>
      </w:r>
    </w:p>
    <w:p>
      <w:pPr>
        <w:spacing w:after="0" w:line="223" w:lineRule="exact"/>
        <w:rPr>
          <w:sz w:val="20"/>
          <w:szCs w:val="20"/>
          <w:color w:val="auto"/>
        </w:rPr>
      </w:pPr>
    </w:p>
    <w:p>
      <w:pPr>
        <w:ind w:left="720" w:right="119" w:hanging="319"/>
        <w:spacing w:after="0" w:line="25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w:t>
      </w:r>
      <w:r>
        <w:rPr>
          <w:rFonts w:ascii="Times New Roman" w:cs="Times New Roman" w:eastAsia="Times New Roman" w:hAnsi="Times New Roman"/>
          <w:sz w:val="18"/>
          <w:szCs w:val="18"/>
          <w:color w:val="auto"/>
        </w:rPr>
        <w:t>: We are committed to building an inclusive workforce through recruitment initiatives to attract, employ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 candidates from all backgrounds. We continue to focus on engaging our existing workforce through policies and programs promoting workplace inclusion, and we have also implemented online and in-person learning programs that promote the importance of this work within our organization. We have created additional opportunities for employees to be involved in this important work in our communities through our Volunteer Paid Time Off Policy where full-time employees can receive up to 8 hours of paid time off to volunteer outside the organization.</w:t>
      </w:r>
    </w:p>
    <w:p>
      <w:pPr>
        <w:spacing w:after="0" w:line="182" w:lineRule="exact"/>
        <w:rPr>
          <w:rFonts w:ascii="Times New Roman" w:cs="Times New Roman" w:eastAsia="Times New Roman" w:hAnsi="Times New Roman"/>
          <w:sz w:val="18"/>
          <w:szCs w:val="18"/>
          <w:color w:val="auto"/>
        </w:rPr>
      </w:pPr>
    </w:p>
    <w:p>
      <w:pPr>
        <w:jc w:val="both"/>
        <w:ind w:left="720" w:right="9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Equity</w:t>
      </w:r>
      <w:r>
        <w:rPr>
          <w:rFonts w:ascii="Times New Roman" w:cs="Times New Roman" w:eastAsia="Times New Roman" w:hAnsi="Times New Roman"/>
          <w:sz w:val="18"/>
          <w:szCs w:val="18"/>
          <w:color w:val="auto"/>
        </w:rPr>
        <w:t>: We conduct regular compensation studies with a third-party to make our positions competitive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 which we operate and to address such issues as compensation level parity between male and female or minority and non-minority employees.</w:t>
      </w:r>
    </w:p>
    <w:p>
      <w:pPr>
        <w:spacing w:after="0" w:line="173"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Succession Planning and Performance Management</w:t>
      </w:r>
      <w:r>
        <w:rPr>
          <w:rFonts w:ascii="Times New Roman" w:cs="Times New Roman" w:eastAsia="Times New Roman" w:hAnsi="Times New Roman"/>
          <w:sz w:val="18"/>
          <w:szCs w:val="18"/>
          <w:color w:val="auto"/>
        </w:rPr>
        <w:t>: Our employees receive annual performance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full-time, exempt and non-exempt employees set annual goals and are evaluated on these goals and core competencies. We also conduct periodic talent review processes with all departments to identify high-potential individuals and create individualized development plans. Our Performance Management tool allows employees to comment on their progress toward their goals and also allows leaders to track this progress and provide coaching and mentoring in response to their individual needs.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17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 and Development</w:t>
      </w:r>
      <w:r>
        <w:rPr>
          <w:rFonts w:ascii="Times New Roman" w:cs="Times New Roman" w:eastAsia="Times New Roman" w:hAnsi="Times New Roman"/>
          <w:sz w:val="18"/>
          <w:szCs w:val="18"/>
          <w:color w:val="auto"/>
        </w:rPr>
        <w:t>: We conduct robust onboarding, training and development for all levels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our guiding principles (Passion, Respect, Winning Attitude, Integrity, Service, Teamwork, Pride, Creativity and Fun). Through Ryman Hospitality University, we have a physical training space and an online learning portal open to all employees. Courses offered include mandatory annual workplace harassment and safety training for all levels, leadership development programs for various levels of leaders, and numerous professional skills and personal development courses for all employees. Our Spotlight leadership development program provides opportunities for managers to continue developing their skills as they grow their careers with us. We also offer our Perspectives series, which is an opportunity for employees to network with and learn from our leaders about their unique perspectives and expertise.</w:t>
      </w:r>
    </w:p>
    <w:p>
      <w:pPr>
        <w:spacing w:after="0" w:line="188"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Engagement</w:t>
      </w:r>
      <w:r>
        <w:rPr>
          <w:rFonts w:ascii="Times New Roman" w:cs="Times New Roman" w:eastAsia="Times New Roman" w:hAnsi="Times New Roman"/>
          <w:sz w:val="18"/>
          <w:szCs w:val="18"/>
          <w:color w:val="auto"/>
        </w:rPr>
        <w:t>: The Company provides regular opportunities for employee engagement, including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where full-time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employee satisfaction surveys, senior leader-led Think Tanks and focus groups designed to solicit candid feedback from employees. We have also invested in a mobile app that allows our venue employees easier access to quick updates and the ability to interact with one another in a centralized location. In addition to our current peer-to-peer recognition program that is celebrated quarterly, we offer employee appreciation which includes the Chairman’s Award and Leadership Excellence Award. Both awards recognize exemplary performance throughout different levels of the organization. Finalists for both awards are selected by our Executive Chairman and are recognized at an annual reception.</w:t>
      </w:r>
    </w:p>
    <w:p>
      <w:pPr>
        <w:spacing w:after="0" w:line="189"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Wellbeing/Total Rewards</w:t>
      </w:r>
      <w:r>
        <w:rPr>
          <w:rFonts w:ascii="Times New Roman" w:cs="Times New Roman" w:eastAsia="Times New Roman" w:hAnsi="Times New Roman"/>
          <w:sz w:val="18"/>
          <w:szCs w:val="18"/>
          <w:color w:val="auto"/>
        </w:rPr>
        <w:t>: We offer a competitive and comprehensive pay and benefits package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various needs of our employees. We continually review our programs to ensure they are cost-effective and continue to offer our employees high-quality benefit options that support their physical, emotional and financial health and promote a healthy work-life balance. Offerings include health and welfare plans for full-time employees, a competitive 401(k) plan with employer match, and employee assistance programs offering counseling services and financial literacy for our entire employee population. We also offer tuition reimbursement for full-time employees, on-site wellness events, flu shot clinics and wellness fairs and complimentary tickets for our venue offerings. Additionally, part- and full-time employees are also eligible for annual performance-based financial bonuses. In addition, we offer a paid parental leave policy that allows eligible full-time employees who welcome a child four weeks of leave at full pay. We have also expanded our benefits to include adoption assistance and family planning assistance for eligible employees.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made ESG a priority throughout our organization and the communities in which we operate. As our portfolio evolves over time, sustainability will continue to increase in significance as we adapt and develop existing assets. We seek to execute any future changes to our portfolio, including with respect to new development, major renovation and ongoing operations, in a socially and environmentally responsible manner. Our asset management team works directly with Marriott for the Marriott-managed properties to develop a short-term and long-term ESG strategy. In addition, we have made firm commitments to strengthening the local communities in which we operate. The RHP Foundation was established in 2005 to formalize our charitable commitments and to help elevate our impact in these communities.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September 2024, we published our Sustainability Report, which highlights the environmental and social performance of the Company and includes ongoing initiatives and historical performance in alignment with the Global Reporting Initiative Index and the Sustainability Accounting Standards Board Real Estate Infrastructure Segment Standard. This report is available on our website at https://ir.rymanhp.com/sustainability/sustainability-reports. The information included in, referenced to, or otherwise accessible through our website, is not incorporated by reference in, or considered to be part of, this Report on Form 10-K or any document unless expressly incorporated by reference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those in Orlando, Las Vegas, Chicago, Atlanta, Dallas, Nashville, Washington, D.C., Denver and San Antonio. We believe that our hotels’ expansive spaces and quality meeting and convention facilities and services provide a competitive advantage over other hotels and convention centers.</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OEG and its entertainment and media assets compete with all other forms of entertainment and recreational activities. The success of the Entertainment group is dependent upon certain factors beyond our control, including economic conditions, the amount of available leisure time, transportation cost, public taste, customer demand for live music and entertainment, and weather conditions.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Hotels. </w:t>
      </w:r>
      <w:r>
        <w:rPr>
          <w:rFonts w:ascii="Times New Roman" w:cs="Times New Roman" w:eastAsia="Times New Roman" w:hAnsi="Times New Roman"/>
          <w:sz w:val="18"/>
          <w:szCs w:val="18"/>
          <w:color w:val="auto"/>
        </w:rPr>
        <w:t>We are a party to a management agreement with Marriott for each of our Gaylord Hotels properties,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a pooling agreement with Marriott with respect to our Gaylord Hotels properties other than Gaylord Rockies, on an aggregate basis. Each of the management agreements other than Gaylord Rockies has a term expiring in 2047, with three automatic 10-year renewal periods (provided the applicable hotel has met certain performance thresholds). Each of these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other than Gaylord Rockies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other than Gaylord Rockies on an individual or aggregate basis. The management agreements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terminated earlier than the stated term if certain events occur, including the failure of Marriott to satisfy certain performance standards. The management agreements prohibit us from selling the Gaylord Hotels properties other than Gaylord Rockies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other than Gaylord Rockies if we are then in breach of the applicable management agreement.</w:t>
      </w:r>
    </w:p>
    <w:p>
      <w:pPr>
        <w:spacing w:after="0" w:line="188"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Gaylord Rockies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Gaylord Rockies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3% of gross revenues of Gaylord Rockies for each fiscal year or portion thereof. This management agreement expires in 2053, with two automatic 20-year renewal periods (provided the hotel has met certain performance thresholds). Additionally, this management agreement requires us to pay Marriott an incentive fee of 20% of available cash flow (as defined in the management agreement). The owner’s priority is $81.4 million, plus certain additional amounts, including 10.75% of certain non-routine capital expenditures.</w:t>
      </w:r>
    </w:p>
    <w:p>
      <w:pPr>
        <w:spacing w:after="0" w:line="182"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JW Marriott Hill Country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JW Marriott Hill Country pursuant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agreement that requires us to pay Marriott a base management fee of approximately 3.5% of gross revenues for each fiscal year or portion thereof. This management agreement expires in 2060, with three automatic 10-year renewal periods (provided the hotel has met certain performance thresholds). Additionally, this management agreement requires us to pay Marriott an incentive fee of 20% of available cash flow (as defined in the management agreement). The owner’s priority is $52.9 million, plus certain additional amounts, including 10.5% of certain non-routine capital expenditures.</w:t>
      </w:r>
    </w:p>
    <w:p>
      <w:pPr>
        <w:spacing w:after="0" w:line="182" w:lineRule="exact"/>
        <w:rPr>
          <w:sz w:val="20"/>
          <w:szCs w:val="20"/>
          <w:color w:val="auto"/>
        </w:rPr>
      </w:pPr>
    </w:p>
    <w:p>
      <w:pPr>
        <w:ind w:left="60" w:right="13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Inn at Opryland. </w:t>
      </w:r>
      <w:r>
        <w:rPr>
          <w:rFonts w:ascii="Times New Roman" w:cs="Times New Roman" w:eastAsia="Times New Roman" w:hAnsi="Times New Roman"/>
          <w:sz w:val="17"/>
          <w:szCs w:val="17"/>
          <w:color w:val="auto"/>
        </w:rPr>
        <w:t>Marriott manages the day-to-day operations of the Inn at Opryland pursuant to a management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requires us to pay Marriott a base management fee of approximately 2% of gross revenues for each fiscal year or portion thereof. This management agreement expires in 2034,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64"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Marriott manages the day-to-day operations of the AC Hotel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7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Nashville Attractions. </w:t>
      </w:r>
      <w:r>
        <w:rPr>
          <w:rFonts w:ascii="Times New Roman" w:cs="Times New Roman" w:eastAsia="Times New Roman" w:hAnsi="Times New Roman"/>
          <w:sz w:val="18"/>
          <w:szCs w:val="18"/>
          <w:color w:val="auto"/>
        </w:rPr>
        <w:t>Marriott manages the General Jackson and Gaylord Springs pursuant to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Each of these management agreements requires us to pay Marriott a base management fee of approximately 2% of total revenues. Additionally, the management agreements require us to pay to Marriott an incentive fee of 20% of the excess of available cash flow (as defined in the management agreements) over a certain threshold. The original term of the management agreement for the General Jackson concluded during 2023 but the management agreement includes indefinite one-year renewal options so long as neither party terminates the agreement. The management agreement for Gaylord Springs expires in 2028.</w:t>
      </w:r>
    </w:p>
    <w:p>
      <w:pPr>
        <w:spacing w:after="0" w:line="183"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Austin. </w:t>
      </w:r>
      <w:r>
        <w:rPr>
          <w:rFonts w:ascii="Times New Roman" w:cs="Times New Roman" w:eastAsia="Times New Roman" w:hAnsi="Times New Roman"/>
          <w:sz w:val="18"/>
          <w:szCs w:val="18"/>
          <w:color w:val="auto"/>
        </w:rPr>
        <w:t>Marriott manages the day-to-day operations of the W Austin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3.5% of gross revenues for the first year post-sale, 3.75% of gross revenues for the second year post-sale, and 4.0% of gross revenues thereafter. This management agreement expires in 2030, with two five-year renewal options so long as neither party terminates the agreement. Additionally, this management agreement requires us to pay to Marriott an incentive fee of 15% of incentive income (as defined in the management agreement) over a certain threshold.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Total Marriott base management fees incurred for our applicable assets during 2024, 2023 and 2022 were $48.0 million, $42.8 million and $35.1 million, respectively. Total incentive fees incurred during 2024, 2023 and 2022 were $30.0 million, $28.5 million, and $13.5 million, respectively. Management fees are presented in the accompanying financial information net of the amortization of the deferred management rights proceeds discussed further in “Note 5 – Deferred Management Rights Proceeds” to our consolidated financial statements included in this Annual Report on Form 10-K.</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Portions of our business are seasonal in nature. The group convention business at our Gaylord Hotels properties is subject to reduced levels of demand during the year-end holiday periods.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Additionally, various federal and state laws, payment card industry security standards, and other information privacy and security standards are applicable to our hotel business.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WSM-AM is subject to regulation under the Communications Act of 1934, as amended. Under the Communications Act, the Federal Communications Commission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entertainment attractions are also subject to the requirements of the Americans with Disabilities Act and similar state laws, as well as the laws and regulatory activities and standards associated with information privacy and security and the sale of alcoholic beverages, in each case as described above. Pursuant to management agreements with Marriott, we do not control many of these activities with respect to the W Austin and the General Jackson,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Our website address is www.rymanhp.com. We make available free of charge through our website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website is not part of this report, and is therefore not incorporated by reference unless such information is otherwise specifically referenced elsewhere in this report. The public may also read and copy any materials that we file with the SEC on its website at www.sec.gov.</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Company at January 1, 2025. All officers serve at the discretion of the Board of Directors (subject to, in the case of officers who have entered into employment agreements with the Company, the terms of such employment agreements).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220" w:type="dxa"/>
            <w:vAlign w:val="bottom"/>
          </w:tcPr>
          <w:p>
            <w:pPr>
              <w:spacing w:after="0"/>
              <w:rPr>
                <w:sz w:val="15"/>
                <w:szCs w:val="15"/>
                <w:color w:val="auto"/>
              </w:rPr>
            </w:pPr>
          </w:p>
        </w:tc>
        <w:tc>
          <w:tcPr>
            <w:tcW w:w="62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Operating Officer – Hotels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Lynn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Hutcheson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additional information with respect to the above-named executive officers.</w:t>
      </w:r>
    </w:p>
    <w:p>
      <w:pPr>
        <w:spacing w:after="0" w:line="22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Colin V. Reed </w:t>
      </w:r>
      <w:r>
        <w:rPr>
          <w:rFonts w:ascii="Times New Roman" w:cs="Times New Roman" w:eastAsia="Times New Roman" w:hAnsi="Times New Roman"/>
          <w:sz w:val="18"/>
          <w:szCs w:val="18"/>
          <w:color w:val="auto"/>
        </w:rPr>
        <w:t>has served as Executive Chairman of the Board of Directors since January 1, 2023 and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April 2001. Mr. Reed previously served as the Company’s Chief Executive Officer from April 2001 through December 2022, and was first elected Chairman of the Board of Directors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8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 Fioravanti </w:t>
      </w:r>
      <w:r>
        <w:rPr>
          <w:rFonts w:ascii="Times New Roman" w:cs="Times New Roman" w:eastAsia="Times New Roman" w:hAnsi="Times New Roman"/>
          <w:sz w:val="18"/>
          <w:szCs w:val="18"/>
          <w:color w:val="auto"/>
        </w:rPr>
        <w:t>is President and Chief Executive Officer of the Company. Mr. Fioravanti has served as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2015, was appointed Chief Executive Officer as of January 1, 2023, and has served as a director of the Company since February 2022. Mr. Fioravanti previously served as Executive Vice President and Chief Financial Officer of the Company from August 2011 to March 2015 and as Senior Vice President and Chief Financial Officer from June 2009 to August 2011.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9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Patrick Chaffin </w:t>
      </w:r>
      <w:r>
        <w:rPr>
          <w:rFonts w:ascii="Times New Roman" w:cs="Times New Roman" w:eastAsia="Times New Roman" w:hAnsi="Times New Roman"/>
          <w:sz w:val="18"/>
          <w:szCs w:val="18"/>
          <w:color w:val="auto"/>
        </w:rPr>
        <w:t>is Executive Vice President and Chief Operating Officer – Hotels of the Company, a position he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the Company. Prior to its sale in June 2007, Mr. Chaffin served as the head of finance for ResortQuest International, formerly a division of the Company. Prior to joining the Company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74"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Scott J. Lynn </w:t>
      </w:r>
      <w:r>
        <w:rPr>
          <w:rFonts w:ascii="Times New Roman" w:cs="Times New Roman" w:eastAsia="Times New Roman" w:hAnsi="Times New Roman"/>
          <w:sz w:val="18"/>
          <w:szCs w:val="18"/>
          <w:color w:val="auto"/>
        </w:rPr>
        <w:t>is Executive Vice President, General Counsel and Secretary of the Company, a position he has held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From January 2013 to April 2018, he was the Company’s Senior Vice President, General Counsel and Secretary. From August 2003 to January 2013, he served as the Company’s Associate General Counsel. From May 2002 to</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84"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Jennifer Hutcheson </w:t>
      </w:r>
      <w:r>
        <w:rPr>
          <w:rFonts w:ascii="Times New Roman" w:cs="Times New Roman" w:eastAsia="Times New Roman" w:hAnsi="Times New Roman"/>
          <w:sz w:val="18"/>
          <w:szCs w:val="18"/>
          <w:color w:val="auto"/>
        </w:rPr>
        <w:t>is Executive Vice President, Chief Financial Officer and Chief Accounting Officer. Ms. Hutcheson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Chief Financial Officer since March 2022. Prior to such time, she served as Executive Vice President, Corporate Controller and Chief Accounting Officer of the Company, a position she held since March 2020. From May 2018 to February 2020, she was Senior Vice President, Corporate Controller and Chief Accounting Officer. From January 2013 to April 2018, she was the Senior Vice President and Corporate Controller of the Company. From</w:t>
      </w:r>
    </w:p>
    <w:p>
      <w:pPr>
        <w:spacing w:after="0" w:line="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70"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139"/>
        <w:spacing w:after="0" w:line="272" w:lineRule="auto"/>
        <w:rPr>
          <w:sz w:val="20"/>
          <w:szCs w:val="20"/>
          <w:color w:val="auto"/>
        </w:rPr>
      </w:pPr>
      <w:r>
        <w:rPr>
          <w:rFonts w:ascii="Times New Roman" w:cs="Times New Roman" w:eastAsia="Times New Roman" w:hAnsi="Times New Roman"/>
          <w:sz w:val="17"/>
          <w:szCs w:val="17"/>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7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Due to federal income tax laws that restrict REITs from operating and managing hotels, we do not operate or manage the day-to-day functions of any of our hotel properties as a REIT. We lease or sublease our hotel properties to our TRS lessees, and such TRS lessees have engaged Marriott as a third-party hotel manager pursuant to hotel management agreements. Marriott manages the day-to-day operations of our Gaylord Hotels properties and JW Marriott Hill Country, as well as the Inn at Opryland, the AC Hotel, Gaylord Springs, the W Austin and the General Jackson.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40"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9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5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If market recognition or the positive perception of Marriott is reduced or compromised, the goodwill associated with the Gaylord Hotels and JW Marriott hotel in our portfolio may be adversely affected, which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owns the Gaylord Hotels and JW Marriott brands and trademarks, and a failure on their part to maintain quality standards, including at any future projects that we do not own an interest in, could harm the brands and damage our business.</w:t>
      </w:r>
    </w:p>
    <w:p>
      <w:pPr>
        <w:spacing w:after="0" w:line="18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Revenue growth, cost synergies and containment strategies for our hotel operations are largely dependent on the efforts of Marriott. Historically,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such improvements in revenue or cost savings achieved by Marriott will continue in future periods.</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5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our ability to sell or lease our hotel properties could negatively affect the marketability of our hotel properties and restrict our ability to refinance our existing debt secured by our hotel properties.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Marriott and any future third-party hotel manager may own or operate hotels that compete with our hotel properties.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the Washington Marriott Marquis, which competes with Gaylord National, and the Gaylord Pacific Resort &amp; Convention Center (“Gaylord Pacific”), which we do not own, but is scheduled to open in Spring 2025.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84"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 Additionally, our group room rates may be contracted several years in advance, and we are subject to increases in operating costs over time that may not be offset by these group room rates, which may result in reduced margins and lower financial results.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group-oriented meetings sector has suffered, and may in the future suffer, as a result of pandemic or epidemic disease outbreaks, and while we believe meeting planners would, in the case of widespread or severe outbreaks of pandemic or epidemic disease, rebook large group meetings to future periods, there can be no assurance as to the timing and pace of any recovery.</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76" w:lineRule="exact"/>
        <w:rPr>
          <w:sz w:val="20"/>
          <w:szCs w:val="20"/>
          <w:color w:val="auto"/>
        </w:rPr>
      </w:pPr>
    </w:p>
    <w:p>
      <w:pPr>
        <w:ind w:left="720" w:right="3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desirability and perceived attractiveness of the Nashville, Tennessee; Orlando, Florida; Dallas, Texas; San Antonio, Texas; Washington D.C. and Denver, Colorado areas as tourist and convention destinations;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national economy, its effects on us and our customers and in the levels of tourism and convention business that affect our current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attract group convention business;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contract for and collect attrition and cancellation fees from groups that do not fulfill minimum stay or spending requirements;</w:t>
      </w:r>
    </w:p>
    <w:p>
      <w:pPr>
        <w:spacing w:after="0" w:line="161"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other new hotels could impact the group convention business at our current hotel properties, including the Spring 2025 opening of Gaylord Pacific, which we do not own;</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group business, which has decreased at times in the past due to uncertainty surrounding the U.S. government budget;</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airline and other transportation-related industries and the resulting impact on travel; and</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due to labor costs associated with labor shortages, wage increases, any increases in the federal, or any state or local, minimum wage rate, workers’ compensation, healthcare-related costs, and organized labor activities, the last of which, in addition to increasing labor costs, could cause a diversion of business from our hotels involved in labor negotiations and loss of group business.</w:t>
      </w:r>
    </w:p>
    <w:p>
      <w:pPr>
        <w:spacing w:after="0" w:line="18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geographic concentration of our current hotel properties subjects us to a greater degree of risk to certain factors.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Due to the geographic concentration of our current hotel properties, we are subject to a greater degree of risk to factors including:</w:t>
      </w:r>
    </w:p>
    <w:p>
      <w:pPr>
        <w:spacing w:after="0" w:line="162"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passenger travel due to higher ticket costs or fears concerning air travel;</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attractiveness of the areas in which our hotels are located as a convention and tourism destination;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Any of these could negatively affect our financial condition, results of operations and our ability to service debt and make distributions to our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from operations.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Inflation, which has risen to levels not experienced in recent decades, has caused, and could continue to cause, broad price increases. A prolonged inflationary environment, and any fiscal, monetary or other policy interventions by the U.S. government or the Federal Reserve in reaction to such an environment, including increases in federal interest rates, could adversely affect our operating costs, customer spending and bookings, and ability to access the debt markets on favorable terms. If the cost to operate and maintain our hotels and other properties increases faster or at a rate greater than our ability to pass on costs by increasing amounts charged to guests and customers, our financial condition, results of operations and cash flows could be materially and adversely affected.</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159"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properties that involve significant capital expenditures, such as our recently announced Gaylord Opryland expansion.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environmental problems;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 including those associated with the availability of material and labor;</w:t>
      </w:r>
    </w:p>
    <w:p>
      <w:pPr>
        <w:spacing w:after="0" w:line="22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revenues will be reduced while rooms, restaurants or other facilities are out of service due to capital improvement projects;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attractive terms;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market demand or a loss of market demand after capital improvements have begun.</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58"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TRS lessee structure subjects us to the risk of increased hotel operating expenses and the inability of our TRS lessees to make lease payments to us.</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leases with our TRS lessees require our TRS lessees to make lease payments to us based in part on gross revenues from our hotel properties. Our operating risks include decreases in revenues at our hotel properties and increases in operating expenses at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59" w:lineRule="exact"/>
        <w:rPr>
          <w:sz w:val="20"/>
          <w:szCs w:val="20"/>
          <w:color w:val="auto"/>
        </w:rPr>
      </w:pPr>
    </w:p>
    <w:p>
      <w:pPr>
        <w:ind w:left="60" w:right="419"/>
        <w:spacing w:after="0" w:line="281" w:lineRule="auto"/>
        <w:rPr>
          <w:sz w:val="20"/>
          <w:szCs w:val="20"/>
          <w:color w:val="auto"/>
        </w:rPr>
      </w:pPr>
      <w:r>
        <w:rPr>
          <w:rFonts w:ascii="Times New Roman" w:cs="Times New Roman" w:eastAsia="Times New Roman" w:hAnsi="Times New Roman"/>
          <w:sz w:val="17"/>
          <w:szCs w:val="17"/>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employee misuse, and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California Consumer Privacy Act (“CCPA”), or with Payment Card Industry (PCI) data security standards, could divert our attention, adversely impact our reputation, result in remedial and other fines or litigation, cause us to incur substantial liabilities or costs, or result in a loss of valuable data or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19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and data security laws could increase our operating costs and increase our exposure to fines and litigation.</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are subject to numerous, complex, and frequently changing laws, regulations, and contractual obligations designed to protect personal information. Various U.S. federal and state laws, payment card industry security standards, and other information privacy and security standards are all applicable to us. Many states have passed laws regulating how businesses collect and use consumer personal data, and other states are considering enacting similar laws. Significant legislative, judicial or regulatory changes have been and could be issued in the future. These legal requirements are rapidly changing and are not consistent across jurisdictions. Violations of these new laws may subject us to civil monetary penalties, and the CCPA, as amended by the California Privacy Rights Act, provides for a private cause of action for data breaches. Compliance with changes in applicable data security and privacy laws and regulations and contractual obligations has increased, and may in the future increase, our operating costs and may restrict our business operations, increase our exposure to fines and litigation in the event of alleged noncompliance, and adversely affect our reputation. Moreover, many jurisdictions are considering and adopting regulations governing the use of artificial intelligence and machine learning applications and tools. Compliance with these regulations may be difficult or costly to implement and result in a burden on our operations that use artificial intelligence or machine learning applications and tools. Any failure or perceived failure to comply with these regulations could subject us to enforcement actions, fines, and penalties, or may adversely affect our reputation.</w:t>
      </w:r>
    </w:p>
    <w:p>
      <w:pPr>
        <w:spacing w:after="0" w:line="19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the failure to protect the integrity or availability of IT systems or the security of confidential information, or the introduction of malware or ransomware, could harm our business.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to safeguard our systems and data, our measures or the measures of our service providers or hotel manager may not be sufficient to maintain the confidentiality, integrity, or availability of the data collected, stored, and used to manage our businesses. Efforts to hack or circumvent security measures, efforts to gain unauthorized access to data, failure of systems or software to operate as designed or intended, viruses, “ransomware” or other malware, “supply chain” attacks, “phishing” or other types of business email compromises, operator error, or inadvertent releases of data may materially impact our information systems and records of those of our owners, licensees, service providers, or others on which we rely.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 attacks, and attempts to disrupt access to their systems and data or those of properties our hotel manager manages and the frequency and sophistication of such efforts could continue to increase. The rapid evolution and increased adoption of artificial intelligence technologies, by us and our third-party service providers, may also heighten our cybersecurity risks by making cyber attacks more difficult to detect, contain and mitigate. We and our third-party service providers, including our third-party hotel manager, have increasingly relied on cloud-based services and on remote access to information systems in recent years, which has increased our exposure to potential cybersecurity incidents. Any theft, loss, loss of access to, or fraudulent use of guest, associate, owner, licensee,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or company data could adversely impact our reputation or the reputation of our hotel manager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These events may also cause us to incur substantial costs, including but not limited to, costs associated with remediation for or recovery of stolen assets or information, including ransom costs paid to cyber attackers, costs for sending legally required notifications to customers or other affected individuals, and increased cyber protection costs to guard against opportunities for re-occurrence of a breach. Although we or our manager carry cyber/privacy liability insurance that is designed to protect us against certain losses related to cyber risks, that insurance coverage may not be sufficient to cover all losses or all types of claims that may arise in connection with cyber attacks, security compromises, and other related incidents. Furthermore, in the future such insurance may not be available on commercially reasonable terms, or at all.</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are subject to numerous risks.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properties are subject to environmental regulations that could impose significant financial liability on us.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properties and certain attractions, we have limited control over ensuring compliance at those locations with applicable environmental laws or regulations or approving certain remediation action taken by the manager to resolve such issues.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could require us to incur substantial costs.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or litigation brought against, one or more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9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We have completed enhancements to the levees that protect the hotel to increase the height of the levees, and we also maintain a prudent level of flood insurance in an amount which we believe is sufficient to respond to any potential flood losses at Gaylord Opryland. While we believe these steps are reasonable given the likelihood of flood damage at Gaylord Opryland, there can be no assurances that flooding will not occur at Gaylord Opryland in the future and that actual flood losses will not be in excess of insurance limits. Some types of losses, such as from flood, earthquake, hurricane, tornado, terrorism and environmental hazards, may be either uninsurable, subject to sublimit, or too expensive to justify fully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or armed conflicts (including the potential for war or armed conflicts), terrorist activity (including threats of terrorist activity), political unrest and other forms of civil strife as well as geopolitical uncertainty, may cause our future results to differ materially from anticipated results.</w:t>
      </w:r>
    </w:p>
    <w:p>
      <w:pPr>
        <w:spacing w:after="0" w:line="191"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because collective bargaining agreements are negotiated between the third-party hotel managers and labor unions. We do not have the ability to control the outcome of these negotiations.</w:t>
      </w:r>
    </w:p>
    <w:p>
      <w:pPr>
        <w:spacing w:after="0" w:line="15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costs could increase if we and our hotel managers cannot attract and retain talented personnel or as the result of the loss of the services of our senior executives.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and our third-party hotel managers compete with other companies both within and outside of the hospitality and entertainment industries for personnel. We and our hotel managers have experienced challenges hiring qualified personnel due to various factors, such as increasing wage expectations and competition for labor from other industries, including and continuing after the COVID-19 pandemic and in the current inflationary environment, and these circumstances could continue or worsen in the future to an extent and for durations that we are not able to predict. If we and our hotel managers cannot recruit, train, develop and retain sufficient numbers of associates, we could experience significant negative impacts to our operations, including low employee morale, high employee turnover and low guest satisfaction. Insufficient numbers of personnel could also limit our ability to grow and expand our businesses. Labor shortages have resulted in and could continue to result in higher wages and initial hiring costs, increasing our labor costs and those of our third-party hotel managers, which could reduce our profits and ultimately impair our ability to make distributions to our stockholders. In addition, the efforts and ability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8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trademarks and intellectual property used in our business could reduce the value of our brand names and harm our business.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Third-party infringement of the Gaylord Hotels or JW Marriott marks owned by Marriott or the marks we own and use in our entertainment business, or the failure to enforce rights to the marks, could be damaging to our business.</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and JW Marriott operations and uses the brands at properties that we do not own, including Gaylord Pacific, and accordingly, we are reliant on Marriott to enforce the rights to these marks and to protect the value of those brands.</w:t>
      </w:r>
    </w:p>
    <w:p>
      <w:pPr>
        <w:spacing w:after="0" w:line="19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result in adverse publicity to us or otherwise harm our business. Any failure to maintain and protect trademarks and other intellectual property used in our business could reduce the value of our brands and harm our business.</w:t>
      </w:r>
    </w:p>
    <w:p>
      <w:pPr>
        <w:spacing w:after="0" w:line="179"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5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capital improvements, particularly in older structures;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God, including earthquakes, tornadoes, floods and other natural disasters, which may result in uninsured losses, and acts of war or terrorism, including the consequences of the terrorist acts.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9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our hotel properties are subject to various operating risks common to the lodging industry, many of which are beyond our or a manager’s control, including the following:</w:t>
      </w:r>
    </w:p>
    <w:p>
      <w:pPr>
        <w:spacing w:after="0" w:line="162"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 properties and publicly-financed civic convention centers in our markets;</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 of hotels in our markets, which could adversely affect occupancy and revenues at our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and commercial travelers, including the market for large group meetings, and tourism;</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costs and other expenses affecting travel, which may affect travel patterns and reduce the number of business and commercial travelers and tourists;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but not limited to, wages and food and beverage costs, due to inflation and other factors that may not be offset by increased room rates;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use of Internet travel intermediaries by consumers;</w:t>
      </w:r>
    </w:p>
    <w:p>
      <w:pPr>
        <w:spacing w:after="0" w:line="225"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travel-related health concerns including pandemics and epidemics, political instability, regional hostilities, imposition of taxes or surcharges by regulatory authorities, travel-related accidents and unusual weather patterns, including natural disasters, such as hurricanes, earthquakes and tornadoes;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a downturn in the lodging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associated with the ownership of hotels and real estate.</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group room rates may be contracted several years in advance, and we are subject to increases in operating costs over time that may not be offset by these group room rates, which may result in reduced margins. Further, our disclosed future hotel bookings may not be fulfilled. These factors could reduce the net operating profits of our TRS lessees, which in turn could adversely affect the amount and frequency of distributions we make to our stockholders and our ability to service our debt.</w:t>
      </w:r>
    </w:p>
    <w:p>
      <w:pPr>
        <w:spacing w:after="0" w:line="179"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17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limited liability company agreement for OEG gives A-OEG Holdings, LLC, an affiliate of Atairos (the “OEG Investor”), certain rights, including consent rights regarding certain major decisions, which may limit our flexibility with respect to OEG. The OEG Investor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Status as a REIT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5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Internal Revenue Code of 1986, as amended (the “Code”):</w:t>
      </w:r>
    </w:p>
    <w:p>
      <w:pPr>
        <w:spacing w:after="0" w:line="16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0"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4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when appropriate, cash dividends, the amount of which will be determined, and will be subject to adjustment, by our board of directors. Our board of directors has approved an dividend policy pursuant to which we will make minimum dividends of 100% of REIT taxable income annually, subject to the board of directors’ future determinations as to the amount of any distributions and the timing thereof. Our dividend policy may be altered at any time by our board of directors, and certain provisions of our debt agreements may prohibit us from paying dividends in accordance with any policy we may adopt. To qualify as a REIT, we are generally required to distribute at least 90% of our REIT taxable income (determined without regard to the dividends paid deduction and excluding net capital gains)</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8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76"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75"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in amount, to utilize one or more relief provisions under the Code to maintain qualification for taxation as a REIT.</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 or our stockholders.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8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Taxation of dividend income could make our stock less attractive to certain investors and reduce the market price of our stock.</w:t>
      </w:r>
    </w:p>
    <w:p>
      <w:pPr>
        <w:spacing w:after="0" w:line="15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The maximum tax rate applicable to “qualified dividend income”, which includes income from dividends paid by domestic C corporations to non-corporate stockholders, is 20.0% plus a 3.8% “Medicare tax” applicable to individuals, trusts and estates whose income exceeds certain thresholds. Dividends payable by REITs generally do not qualify for the reduced tax rate applicable to qualified dividend income. Under the Tax Cuts and Jobs Act of 2017 (the “TCJA”), however, a non-corporate taxpayer may deduct 20% of the ordinary dividends (e.g. dividends that are not “capital gain dividends” or “qualified dividend income”) received from a REIT for taxable years beginning before January 1, 2026. Although this deduction reduces the effective U.S. federal income tax rate applicable to certain dividends paid by REITs (generally</w:t>
      </w:r>
    </w:p>
    <w:p>
      <w:pPr>
        <w:spacing w:after="0" w:line="2"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29.6% based on the current maximum U.S. federal income tax rate for individuals of 37%), such tax rate is still higher than the tax rate applicable to corporate dividends that constitute qualified dividend income. Moreover, there can be no assurance that Congress will extend the availability of the 20% deduction described above to subsequent tax years, and if Congress does not act, the difference in effective tax rates applicable to ordinary dividends paid by REITs and the tax rates applicable to qualified dividend income will become even greater for tax years beginning on or after January 1, 2026. The more favorable tax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our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 or reduce the market price of our stock by making an investment in us less attractive to certain investors.</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 New legislation, regulations, administrative interpretations, or court decisions could significantly and negatively affect the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8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revoke our REIT qualification, without stockholder approval, may cause adverse consequences to our stockholders.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borrow funds, sell assets, or issue equity to satisfy our REIT distribution requirements or maintain the asset ownership tests.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 In addition, we may distribute taxable dividends that are payable in cash and common stock at the election of each stockholder, subject to certain limitations, including that the cash portion be at least 20% of the total distribution. If we make such a taxable dividend payable in cash and common stock, taxable stockholders receiving such dividends generally will be required to include the full amount of the dividend as ordinary income. As a result, taxable stockholders may be required to pay income taxes with respect to such dividends in excess of the cash dividends received. Moreover, if a significant number of our stockholders sold shares of our common stock in order to pay taxes owed on dividends, it may put downward pressure on the trading price of our common stock. We do not currently intend to pay taxable dividends of our common stock, although we may choose to do so in the future.</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certain REIT requirements prior to closing. In addition, as a REIT, we may face investor pressures to forego growth opportunities that are not immediately accretive.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20% of the value of the assets of a REIT may be represented by securities of one or more TRSs, and no more than 5% of the value of the assets of a REIT may be represented by other non-qualifying assets.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planned use of TRSs may cause us to fail to qualify as a REIT.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by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leases of our hotel properties to TRS lessees are not true leases for federal income tax purposes, we may fail to qualify as a REIT.</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5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whether to pay a cash dividend and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 Consequently, our distribution levels may be minimal and may fluctuate.</w:t>
      </w:r>
    </w:p>
    <w:p>
      <w:pPr>
        <w:spacing w:after="0" w:line="18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17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and any such investments may be second liens and lower in priority than any first lien lender. Any of the foregoing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debt could reduce our cash flow and limit our business activities.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have a significant amount of debt. At December 31, 2024, we had approximately $3.4 billion of total debt. We may incur additional debt in connection with acquisitions of properties or businesses, development, investment in new projects, renovations, or capital improvement.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various projects, including possible expansions of our existing properties and acquisitions of additional properties.</w:t>
      </w:r>
    </w:p>
    <w:p>
      <w:pPr>
        <w:spacing w:after="0" w:line="162" w:lineRule="exact"/>
        <w:rPr>
          <w:sz w:val="20"/>
          <w:szCs w:val="20"/>
          <w:color w:val="auto"/>
        </w:rPr>
      </w:pPr>
    </w:p>
    <w:p>
      <w:pPr>
        <w:ind w:left="60" w:right="399"/>
        <w:spacing w:after="0" w:line="281" w:lineRule="auto"/>
        <w:rPr>
          <w:sz w:val="20"/>
          <w:szCs w:val="20"/>
          <w:color w:val="auto"/>
        </w:rPr>
      </w:pPr>
      <w:r>
        <w:rPr>
          <w:rFonts w:ascii="Times New Roman" w:cs="Times New Roman" w:eastAsia="Times New Roman" w:hAnsi="Times New Roman"/>
          <w:sz w:val="17"/>
          <w:szCs w:val="17"/>
          <w:color w:val="auto"/>
        </w:rPr>
        <w:t>In addition, the terms of our credit agreements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6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59"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Rising interest rates may make future refinancing more difficult to obtain on favorable terms. In addition, although we have previously been successful in negotiating amendments to our credit agreement, we may be unsuccessful in negotiating any further amendments or modifications to the agreements governing our indebtedness as we may deem necessary. To the extent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debt and pay other obligations, we will require a significant amount of cash, which may not be available to us.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ability to make payments on,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8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existing financial agreements, including our revolving and term loan B credit facilities and the indentures governing our senior unsecured notes,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 service coverage ratio and maximum funded debt to asset value ratio, and we expect will require us to comply with these tests in the future. Our financial agreements may prohibit or limit our ability to, among other things, in certain circumstances:</w:t>
      </w:r>
    </w:p>
    <w:p>
      <w:pPr>
        <w:spacing w:after="0" w:line="189"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issue guarantees of debt and issue preferred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equity interests in our restricted subsidiaries;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to our stockholders or repurchase our stock or other equity interests;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lines of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and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40" w:lineRule="exact"/>
        <w:rPr>
          <w:sz w:val="20"/>
          <w:szCs w:val="20"/>
          <w:color w:val="auto"/>
        </w:rPr>
      </w:pPr>
    </w:p>
    <w:p>
      <w:pPr>
        <w:ind w:left="60" w:right="499"/>
        <w:spacing w:after="0" w:line="289" w:lineRule="auto"/>
        <w:rPr>
          <w:sz w:val="20"/>
          <w:szCs w:val="20"/>
          <w:color w:val="auto"/>
        </w:rPr>
      </w:pPr>
      <w:r>
        <w:rPr>
          <w:rFonts w:ascii="Times New Roman" w:cs="Times New Roman" w:eastAsia="Times New Roman" w:hAnsi="Times New Roman"/>
          <w:sz w:val="17"/>
          <w:szCs w:val="17"/>
          <w:color w:val="auto"/>
        </w:rPr>
        <w:t>Various risks, uncertainties and events beyond our control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default provisions. A default would permit lenders to accelerate the maturity for the debt under these agreements and to foreclose upon any collateral securing the debt, including, in the case of our existing credit facility, our subsidiaries that are the fee owners of Gaylord Opryland and Gaylord Texan, their respective direct and indirect parent entities, and the equity of Ryman Hotel Operations Holdco, LLC, a wholly-owned indirect subsidiary of the Company; in the case of the OEG term loan, the OEG assets; and in the case of the Block 21 loan, Block 21 assets.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revolving credit facility and term loan B are secured by equity pledges of our subsidiaries that are the fee owners of Gaylord Opryland and Gaylord Texan, their respective direct and indirect parent entities, and the equity of Ryman Hotel Operations Holdco, LLC, a wholly-owned indirect subsidiary of the Company. The OEG term loan and OEG revolver are secured by substantially all of the assets of OEG Finance, other than Block 21 and Southern Entertainment. The Block 21 loan is secured by all of the assets of Block 21.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upon our subsidiaries’ cash flow to meet our debt service obligations.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Certain of our indebtedness bears interest at variable interest rates that use Adjusted Term Secured Overnight Financing Rate (“SOFR”). SOFR is calculated based on short-term repurchase agreements, backed by U.S. Treasury securities, and Adjusted Term SOFR is a forward-looking term rate currently published by CME Group Benchmark Administration Limited. As a result of such variable interest rates, our interest expense may increase, our ability to refinance some or all of our existing indebtedness may be affected, and our available cash flow may be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could make it difficult for a third party to acquire control of us.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Charter and our Second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76" w:lineRule="exact"/>
        <w:rPr>
          <w:sz w:val="20"/>
          <w:szCs w:val="20"/>
          <w:color w:val="auto"/>
        </w:rPr>
      </w:pPr>
    </w:p>
    <w:p>
      <w:pPr>
        <w:ind w:left="720" w:right="25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transfer and ownership of our common stock that are designed to assist us in maintaining our status as a REIT;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our board of directors and for proposing matters that can be acted upon by stockholders at meetings;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only by our chairman or by a majority of the members of our board of directors;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actions taken on written consent;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of common stock by certain persons (including non-United States persons) due to our ownership of a radio station.</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are subject to anti-takeover provisions under Delaware law, which could also delay or prevent a change of control. Together, our Charter, Second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limitations in our Charter may restrict or prevent stockholders from engaging in certain transfers of our common stock.</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86"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 based on changes in market interest rates and other factors.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including in recent quarters, by changes in market interest rates and other factors. One of the factors that may influence 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 Further, rising interest rates may reduce our available cash flow and diminish our ability to reinvest in our assets, which may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hotel or real estate industries;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security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or other securities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hotel managers;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alliances;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earthquakes and tornadoes.</w:t>
      </w:r>
    </w:p>
    <w:p>
      <w:pPr>
        <w:spacing w:after="0" w:line="176"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enterprise risk management function to promote a company-wide culture of cybersecurity risk management. Our board of directors has general oversight responsibility for our enterprise risk management function, which includes specific areas of focus including competitive, economic, operational, financial (accounting, credit, liquidity and tax), legal, compliance, information technology security programs (including cybersecurity), ESG/corporate social responsibility, political and reputational risks. Our board of directors has delegated oversight of certain of these areas to the committees of our board of directors, including delegating the oversight of our information technology security programs (including cybersecurity) to the risk committee of our board of directors (the “Risk Committee”). We believe this division of risk management-related roles to the committees of our board of directors fosters an atmosphere of significant involvement in the oversight of risk at the board level and complements our risk management policies. The oversight responsibility of our board of directors is facilitated by a management report process that is designed to provide both visibility and transparency to our board of directors about the identification, assessment and management of critical risks and management’s risk mitigation strategies.</w:t>
      </w:r>
    </w:p>
    <w:p>
      <w:pPr>
        <w:spacing w:after="0" w:line="19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Our risk management team, which includes members of senior management, including our Chief Financial Officer (“CFO”), Chief Information Officer (“CIO”) and General Counsel, as well as external consultants, works closely with our information technology department (“IT Department”) to continuously evaluate and address cybersecurity risks relevant to our business and operations. In addition, we have set company-wide policies and procedures that directly or indirectly relate to cybersecurity matters, such as policies related to encryption standards, antivirus protection, access removal, multifactor authentication, confidential information or use of the internet, social media, email and wireless devices. These policies go through an annual internal management review and approval process.</w:t>
      </w:r>
    </w:p>
    <w:p>
      <w:pPr>
        <w:spacing w:after="0" w:line="18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Our CIO and our Vice President of IT (“VP of IT”) are primarily responsible for our overall information security, strategy, policy, security engineering, operations and cybersecurity threat detection and the management of cybersecurity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risks. Our CIO and VP of IT, collectively, have over fifty years of experience working in the information technology and cybersecurity field and have extensive experience assessing and managing cybersecurity and information technology programs and cybersecurity risk. Our CIO and VP of IT hold degrees in the information technology and cybersecurity fields, as well as hold certain cybersecurity and other relevant technology certifications. The CIO meets with our Chief Executive Officer (“CEO”), on a weekly basis, and the CFO, on a monthly basis, to discuss all relevant business risks, including cybersecurity risks and threats. In addition to regular reports from our CIO and vice president of internal audit regarding our program for managing our information security risks, including data privacy and protection risks we face, the CIO and VP of IT also meet quarterly with the Risk Committee to inform them of current cybersecurity risks and threats, as well as cybersecurity enhancement projects. Our full board of directors receives an annual update regarding the current cybersecurity environment from our CIO, which may include presentations from external consultants. Our Enterprise Risk Management (“ERM”) committee, which includes several members of senior management, including our CFO, our CIO, and a Certified Information Systems Auditor, also presents all of our top organizational and operational risks, including information security-related risks, focus areas and accomplishments throughout our various businesses, to the Risk Committee on a quarterly basis.</w:t>
      </w:r>
    </w:p>
    <w:p>
      <w:pPr>
        <w:spacing w:after="0" w:line="197"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Our IT Department management team meets monthly to assess and review cybersecurity status, which includes dashboard reviews, operational risks and company compliance. Annually, our internal audit group and third-party consultants meet with our IT Department to perform risk assessment walkthrough meetings, discuss potential enhancements, materiality of risks and alignment with the Center for Internet Security Critical Security Controls framework. In addition, we engage third-party consultants to perform annual red team exercises and external penetration tests.</w:t>
      </w:r>
    </w:p>
    <w:p>
      <w:pPr>
        <w:spacing w:after="0" w:line="16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promote a culture of cybersecurity compliance throughout our organization, including required monthly cybersecurity training for all employees with company accounts and annual training for service-related employees on cybersecurity related topics, including social engineering (e.g., phishing, vishing and smishing), ransomware, denial of service or information, and other security breach tactics. We conduct quarterly ERM discussions where top risk owners discuss how risks have changed and how such risks are being addressed with approaches designed to mitigate such risks.</w:t>
      </w:r>
    </w:p>
    <w:p>
      <w:pPr>
        <w:spacing w:after="0" w:line="183"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In addition to assessing our own cybersecurity preparedness and as part of our overall cybersecurity risk management framework, we also consider and evaluate cybersecurity risks associated with our use of third-party service providers. We perform a formal System and Organization Controls (“SOC”) review process annually on our financially significant third-party service providers, which includes our internal assessment of complementary user entity controls. All other material third-party service providers undergo assessment as a contract is entered into or renewed to ensure cybersecurity alignment. Our internal audit group meets regularly with management team members of Marriott, our third-party hotel manager, to assess security applications compliance. We also regularly meet with management team members of Marriott to understand system upgrades, changes and associated risks with third-party managed applications. In addition, we generally require our third-party service providers to promptly notify us of any actual or suspected breach impacting our data or operations.</w:t>
      </w:r>
    </w:p>
    <w:p>
      <w:pPr>
        <w:spacing w:after="0" w:line="17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assessing cybersecurity threats, our IT Department has established controls and procedures for responding to cybersecurity incidents, including a process to evaluate the significance of a cybersecurity incident. Members of senior management, including our General Counsel and CFO, are tasked with performing a materiality assessment in the event of a cybersecurity incident, which includes the consideration of relevant quantitative and qualitative factors, as well as SEC guidance. Based on the results of this evaluation, further escalation of the cybersecurity event may occur, which may include our CEO, our board of directors and/or law enforcement. In addition, members of senior management will determine, based on the assessment described above, whether the cybersecurity incident requires disclosure with the SEC.</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currently maintain a cybersecurity insurance policy that provides coverage for security incidents and periodically meet with our insurer to discuss emerging trends in cybersecurity. We do not believe that any risks we have identified to date from cybersecurity threats, including as a result of any previous cybersecurity incidents, have materially affected or are reasonably likely to materially affect us, including our business strategy, results of operations or financial condition. However, notwithstanding the programs, policies and procedures described above, there can be no assurance that we or businesses with which we interact will not experience a cybersecurity incident that materially affects us in the future.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Times New Roman" w:cs="Times New Roman" w:eastAsia="Times New Roman" w:hAnsi="Times New Roman"/>
          <w:sz w:val="17"/>
          <w:szCs w:val="17"/>
          <w:color w:val="auto"/>
        </w:rPr>
        <w:t>more information about the cybersecurity risks we face, see the risk factor entitled “Cybersecurity incidents, including the failure to protect the integrity or availability of IT systems or the security of confidential information, or the introduction of malware or ransomware, could harm our business.” in Item 1A. Risk Factors of Part I of this Annual Report on Form 10-K.</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Meeting, Exhibit and</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w:t>
            </w: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4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Pre-Function Space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42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0" w:type="dxa"/>
            <w:vAlign w:val="bottom"/>
          </w:tcPr>
          <w:p>
            <w:pPr>
              <w:spacing w:after="0"/>
              <w:rPr>
                <w:sz w:val="1"/>
                <w:szCs w:val="1"/>
                <w:color w:val="auto"/>
              </w:rPr>
            </w:pPr>
          </w:p>
        </w:tc>
      </w:tr>
      <w:tr>
        <w:trPr>
          <w:trHeight w:val="43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4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 TX (Dallas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40" w:type="dxa"/>
            <w:vAlign w:val="bottom"/>
          </w:tcPr>
          <w:p>
            <w:pPr>
              <w:spacing w:after="0"/>
              <w:rPr>
                <w:sz w:val="24"/>
                <w:szCs w:val="24"/>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Kissimmee, FL (Orlando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467,000</w:t>
            </w:r>
          </w:p>
        </w:tc>
        <w:tc>
          <w:tcPr>
            <w:tcW w:w="0" w:type="dxa"/>
            <w:vAlign w:val="bottom"/>
          </w:tcPr>
          <w:p>
            <w:pPr>
              <w:spacing w:after="0"/>
              <w:rPr>
                <w:sz w:val="1"/>
                <w:szCs w:val="1"/>
                <w:color w:val="auto"/>
              </w:rPr>
            </w:pPr>
          </w:p>
        </w:tc>
      </w:tr>
      <w:tr>
        <w:trPr>
          <w:trHeight w:val="43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Aurora, CO (Denver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San Antonio, TX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Inn at Opryland</w:t>
            </w:r>
          </w:p>
        </w:tc>
        <w:tc>
          <w:tcPr>
            <w:tcW w:w="214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2140" w:type="dxa"/>
            <w:vAlign w:val="bottom"/>
          </w:tcPr>
          <w:p>
            <w:pPr>
              <w:spacing w:after="0"/>
              <w:rPr>
                <w:sz w:val="20"/>
                <w:szCs w:val="20"/>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We own our Opryland complex in Nashville, Tennessee, which includes the site of Gaylord Opryland (approximately 172 acres) and Gaylord Springs (over 200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We own approximately 85 acres on which Gaylord Rockies is located and approximately 130 acres of undeveloped land adjacent to Gaylord Rockies. On June 30, 2023, we purchased approximately 600 acres in San Antonio, Texas, on which JW Marriott Hill Country is located, and in November 2023, we purchased approximately 38 additional adjacent acres. Each of our hotel properties in the Hospitality segment is leased or subleased to one of our TRSs, and each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own the General Jackson’s docking facility and the Grand Ole Opry House, each of which is located adjacent to the Gaylord Opryland complex. In downtown Nashville, we own the Ryman Auditorium, Ole Red Nashville, Category 10, and an adjacent 17,000 square foot building. In Austin, we own Block 21, which includes the Moody Theater, the 3TEN at ACL Live Club, the W Austin, and approximately 53,000 square feet of other Class A commercial space. Our TRSs have engaged Marriott to manage the day-to-day operations of the General Jackson Showboat and the W Austin. For a description of the management agreements with Marriott, see “Management Agreements” in Item 1,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99"/>
        <w:spacing w:after="0" w:line="274" w:lineRule="auto"/>
        <w:rPr>
          <w:sz w:val="20"/>
          <w:szCs w:val="20"/>
          <w:color w:val="auto"/>
        </w:rPr>
      </w:pPr>
      <w:r>
        <w:rPr>
          <w:rFonts w:ascii="Times New Roman" w:cs="Times New Roman" w:eastAsia="Times New Roman" w:hAnsi="Times New Roman"/>
          <w:sz w:val="17"/>
          <w:szCs w:val="17"/>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7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further discussion of legal proceedings, see “Note 11 – Commitments and Contingencies” to our consolidated financial statements included herein.</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approximately 750 record holders of our common stock at January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months ended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did not sell any of its securities during the fiscal year ended December 31, 2024 that were not registered under the Securities Act of 1933, as amended (the “Securities 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To maintain our qualification as a REIT for federal income tax purposes, we must distribute at least 90% of our REIT taxable income each year. Our board of directors has approved a dividend policy pursuant to which we will pay minimum dividends to stockholders of 100% of REIT taxable income annually. Any future dividend is subject to our board of directors’ determinations as to the amount of distributions and the timing thereof.</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terms of our credit facility restrict our ability to pay dividends. We are restricted in our ability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common stock is authorized for issuance is set forth in Part III, Item 12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This section of this Annual Report on Form 10-K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of Operations” in Part II, Item 7 of the Company’s Annual Report on Form 10-K for the fiscal year ended December 31,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five upscale, meetings-focused resorts totaling 9,917 rooms that are managed by Marriott International, Inc.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JW Marriott San Antonio Hill Country Resort &amp; Spa (“JW Marriott Hill Country”) (effective June 30, 2023), the Inn at Opryland, an overflow hotel adjacent to Gaylord Opryland, and the AC Hotel at National Harbor, Washington D.C. (“AC Hotel”), an overflow hotel adjacent to Gaylord National.</w:t>
      </w:r>
    </w:p>
    <w:p>
      <w:pPr>
        <w:spacing w:after="0" w:line="19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Each of our award-winning Gaylord Hotels properties, as well as the JW Marriott Hill Country, incorporates not only high-quality lodging, but also at least 400,000 square feet (268,000 in the case of JW Marriott Hill Country) of meeting, convention and exhibition space, superb food and beverage options and retail and spa facilities within a single self-contained property. As a result, our Gaylord Hotels properties and JW Marriott Hill Country provide a convenient and entertaining environment for convention guests. Our Gaylord Hotels properties and JW Marriott Hill Country focus on the large group meetings market in the United States.</w:t>
      </w:r>
    </w:p>
    <w:p>
      <w:pPr>
        <w:spacing w:after="0" w:line="18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that opened in November 2024; as of May 31, 2022, Block 21, a mixed-use entertainment, lodging, office, and retail complex located in Austin, Texas (“Block 21”); and as of January 3, 2025, a majority equity interest in Southern Entertainment, a Charlotte, North Carolina-based national music festival and events production company. Prior to June 16, 2022, we owned 100% of OEG.</w:t>
      </w:r>
    </w:p>
    <w:p>
      <w:pPr>
        <w:spacing w:after="0" w:line="18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See “Forward-Looking Statements” and “Risk Factors” under Part I of this Annual Report on Form 10-K for important information regarding forward-looking statements made in this report and risks and uncertainties we face.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2024 and 2023 Activities</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2024 and 2023 include (as well as where you can find more information herein or in the accompanying consolidated financial statements):</w:t>
      </w:r>
    </w:p>
    <w:p>
      <w:pPr>
        <w:spacing w:after="0" w:line="162" w:lineRule="exact"/>
        <w:rPr>
          <w:sz w:val="20"/>
          <w:szCs w:val="20"/>
          <w:color w:val="auto"/>
        </w:rPr>
      </w:pPr>
    </w:p>
    <w:p>
      <w:pPr>
        <w:jc w:val="both"/>
        <w:ind w:left="720" w:right="23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and April 2024, issued $1 billion in 6.50% senior notes due 2032, repaid previously outstanding $800 million Gaylord Rockies term loan, and repaid $200.0 million under our term loan B and reduced the applicable interest rate margins – Note 4, “Debt”</w:t>
      </w:r>
    </w:p>
    <w:p>
      <w:pPr>
        <w:spacing w:after="0" w:line="175"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refinanced our existing OEG credit facility, including reducing the applicable interest rate margins under each of the $65 million OEG revolver and $300 million OEG term loan B, as well as upsized the OEG revolver to $80 million of potential capacity – Note 4, “Debt”</w:t>
      </w:r>
    </w:p>
    <w:p>
      <w:pPr>
        <w:spacing w:after="0" w:line="17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refinanced our previous credit facility by entering into a new credit agreement, which extended the maturity dates and increased the principal balance of the term loan B – Note 4, “Debt”</w:t>
      </w:r>
    </w:p>
    <w:p>
      <w:pPr>
        <w:spacing w:after="0" w:line="161" w:lineRule="exact"/>
        <w:rPr>
          <w:rFonts w:ascii="Times New Roman" w:cs="Times New Roman" w:eastAsia="Times New Roman" w:hAnsi="Times New Roman"/>
          <w:sz w:val="18"/>
          <w:szCs w:val="18"/>
          <w:color w:val="auto"/>
        </w:rPr>
      </w:pPr>
    </w:p>
    <w:p>
      <w:pPr>
        <w:jc w:val="both"/>
        <w:ind w:left="720" w:right="9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issued $400 million in 7.25% senior notes due 2028 – Note 4, “Debt”, completed an equity offering of 4.4 million shares of our common stock for net proceeds of $395 million – Note 9, “Equity” and purchased JW Marriott Hill Country – Note 1, “Description of the Business and Summary of Significant Accounting Policies”</w:t>
      </w:r>
    </w:p>
    <w:p>
      <w:pPr>
        <w:spacing w:after="0" w:line="17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investment in our existing properties through $407.9 million and $206.8 million in capital expenditures in 2024 and 2023, respectively – “Liquidity and Capital Resources”</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$266.1 million and $176.0 million in cash distributions in 2024 and 2023, respectively – Note 9, “Equity”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indebtedness may prohibit us from paying dividends in accordance with any policy we may adopt.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225" w:lineRule="exact"/>
        <w:rPr>
          <w:sz w:val="20"/>
          <w:szCs w:val="20"/>
          <w:color w:val="auto"/>
        </w:rPr>
      </w:pPr>
    </w:p>
    <w:p>
      <w:pPr>
        <w:ind w:left="720" w:right="1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(effective June 30, 2023), the Inn at Opryland, and the AC Hotel.</w:t>
      </w:r>
    </w:p>
    <w:p>
      <w:pPr>
        <w:spacing w:after="0" w:line="16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(effective May 31, 2022), Category 10, and our other Nashville-based attractions.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our total revenues were divided among these business segments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3"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rooms revenue by the number of rooms sold;</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rooms revenue by room nights available to guests for the period;</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7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to GAAP measures such as revenues, net income and operating income, we also use certain “non-GAAP financial measures,” which are measures of our historical performance that are not calculated and presented in accordance with GAAP within the meaning of applicable SEC rules. These measures include:</w:t>
      </w:r>
    </w:p>
    <w:p>
      <w:pPr>
        <w:spacing w:after="0" w:line="174" w:lineRule="exact"/>
        <w:rPr>
          <w:sz w:val="20"/>
          <w:szCs w:val="20"/>
          <w:color w:val="auto"/>
        </w:rPr>
      </w:pPr>
    </w:p>
    <w:p>
      <w:pPr>
        <w:jc w:val="both"/>
        <w:ind w:left="720" w:right="159" w:hanging="319"/>
        <w:spacing w:after="0" w:line="267"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7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unitholders.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Increases in costs, including labor costs, insurance costs, costs of food and other supplies, and energy costs have affected our operations in recent years and in the future could negatively affect our results, particularly during an inflationary economic environment. We rely on Marriott, as the manager of our hotels, to manage these factors and to offset any identified shortfalls in occupancy.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years ended December 31, 2024, 2023 and 2022 (in thousands, except percentages and per share data):</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$ 2,339,226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$ 2,158,136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$ 1,805,969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1,848,392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1,704,452</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1,478,819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280,190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153.3 %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 stockholders per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share - diluted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130.0 %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2024 Results as Compared to 2023 Results</w:t>
      </w:r>
    </w:p>
    <w:p>
      <w:pPr>
        <w:spacing w:after="0" w:line="227"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The increase in our total revenues during 2024, as compared to 2023, is attributable to increases in Hospitality segment and Entertainment segment revenues of $163.6 million and $17.5 million, respectively, as presented in the tables below.</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during 2024, as compared to 2023, is primarily the result of increases in Hospitality segment and Entertainment segment expenses of $99.3 million and $18.2 million, respectively, and an increase in depreciation expense of $24.4 million, as presented in the tables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factors resulted in a $37.2 million improvement in operating income for 2024, as compared to 2023.</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$61.6 million decrease in net income in 2024, as compared to 2023, was due primarily to the following factors, each as described more fully below:</w:t>
      </w:r>
    </w:p>
    <w:p>
      <w:pPr>
        <w:spacing w:after="0" w:line="162" w:lineRule="exact"/>
        <w:rPr>
          <w:sz w:val="20"/>
          <w:szCs w:val="20"/>
          <w:color w:val="auto"/>
        </w:rPr>
      </w:pPr>
    </w:p>
    <w:p>
      <w:pPr>
        <w:ind w:left="720" w:right="2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$13.8 million provision for income taxes in 2024, as compared to a $93.7 million benefit for income taxes in 2023, primarily related to the release of $112.5 million in valuation allowance in 2023.</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increase in interest expense, net in 2024, as compared to 2023.</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$17.6 million decrease in loss from unconsolidated joint ventures in 2024, as compared to 2023.</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Important factors and trends contributing to our performance during 2024, as compared to 2023, were:</w:t>
      </w:r>
    </w:p>
    <w:p>
      <w:pPr>
        <w:spacing w:after="0" w:line="225" w:lineRule="exact"/>
        <w:rPr>
          <w:sz w:val="20"/>
          <w:szCs w:val="20"/>
          <w:color w:val="auto"/>
        </w:rPr>
      </w:pPr>
    </w:p>
    <w:p>
      <w:pPr>
        <w:ind w:left="720" w:right="4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resulted in an increase of $127.7 million in revenues; the property averaged $219.58 in RevPAR and $601.32 in Total RevPAR.</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Hill Country) ADR of 3.7% in 2024 over 2023, reflective of our continued pricing strategy.</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3.4% in outside-the-room spend in our Hospitality segment in 2024, as compared to 2023, primarily as a result of increased banquet and technology spending by groups.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decreased 41.3% in 2024, as compared to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2024 of 11.2%, as compared to 2023, due to softness in transient demand at Gaylord Palms, Gaylord Opryland and Gaylord Texan. In addition, the rooms renovation at Gaylord Palms also impacted demand during 2024.</w:t>
      </w:r>
    </w:p>
    <w:p>
      <w:pPr>
        <w:spacing w:after="0" w:line="175"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December 31, 2024 is approximately 4.8% higher than the number on the books at December 31, 2023. In addition, the estimated ADR on those group room nights on the books at December 31, 2024 is 5.8% higher than the estimated ADR on the books at December 31, 2023.</w:t>
      </w:r>
    </w:p>
    <w:p>
      <w:pPr>
        <w:spacing w:after="0" w:line="179"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segment revenue of 5.4% in 2024, as compared to 2023, related to Ole Red Las Vegas, which opened January 2024, partially offset by a decrease related to the Wildhorse Saloon as it was closed and being rebranded as Category 10 and a decrease at the W Austin, primarily as a result of the disruption caused by the construction of enhancements at the property.</w:t>
      </w:r>
    </w:p>
    <w:p>
      <w:pPr>
        <w:spacing w:after="0" w:line="179"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2024 were reduced by a $9.1 million refund of Tennessee franchise tax for prior years caused by a change in tax law, comprised of $5.6 million, $3.4 million and $0.1 million in our Hospitality segment, Entertainment segment and Corporate and Other segment, respectively.</w:t>
      </w:r>
    </w:p>
    <w:p>
      <w:pPr>
        <w:spacing w:after="0" w:line="175" w:lineRule="exact"/>
        <w:rPr>
          <w:rFonts w:ascii="Times New Roman" w:cs="Times New Roman" w:eastAsia="Times New Roman" w:hAnsi="Times New Roman"/>
          <w:sz w:val="18"/>
          <w:szCs w:val="18"/>
          <w:color w:val="auto"/>
        </w:rPr>
      </w:pPr>
    </w:p>
    <w:p>
      <w:pPr>
        <w:ind w:left="720" w:right="239" w:hanging="319"/>
        <w:spacing w:after="0" w:line="289" w:lineRule="auto"/>
        <w:tabs>
          <w:tab w:leader="none" w:pos="7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strong revenues have partially mitigated increasing costs in the current inflationary environment, which include increased interest rates, which drove higher interest expense on our debt, as well as increased insurance, utilities and other costs. The current inflationary environment is expected to continue in at least the near future.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years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2023 and 2022 (in thousands, except percentages and performance metrics):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744,587</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701,138</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17.7 %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940,827</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831,796</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311,636</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300,544</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9.1 %</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1,997,050</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1,833,478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19.2 %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1,537,974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179,358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173,749</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516,309</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465,963</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22.3 %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381,142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555,554</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519,328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73,531</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66,425</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53.0 %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205,189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9.9 %</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186,749</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1,529,941</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8.3 %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1,412,214</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15.1 %</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1,227,050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467,109</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10.9 %</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421,264</w:t>
            </w:r>
          </w:p>
        </w:tc>
        <w:tc>
          <w:tcPr>
            <w:tcW w:w="1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35.5 %</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310,924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2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69.1 %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71.6 %</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 pts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257.81</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245.74</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178.24</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175.96</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12.3 %</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478.05</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460.12</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13.7 %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2,469,881</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2,369,060</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31.2 %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1,805,598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69.1 %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71.9 %</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 pts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252.08</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243.19</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174.26</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174.92</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11.6 %</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466.18</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458.02</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2,292,558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2,302,717</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27.5 %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1,805,598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79" w:hanging="330"/>
        <w:spacing w:after="0" w:line="257"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RevPAR by dividing rooms revenue by room nights available to guests for the period. Room nights available to guests include nights that rooms are out of service. Hospitality segment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that rooms are out of service. Hospitality segment Total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Hill Country, which we purchased June 30, 2023.</w:t>
      </w:r>
    </w:p>
    <w:p>
      <w:pPr>
        <w:spacing w:after="0" w:line="20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Total Hospitality revenues in 2024 include $43.0 million in attrition and cancellation fee collections, a $0.8 million decrease from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was approximately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3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3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type of group based on rooms sold for our Hospitality segment for the years ended December 31 was approximately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Associations</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Groups</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following years ended December 31 included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$ 196,189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$ 176,112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top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$ 153,882</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267,365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261,210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232,639</w:t>
            </w:r>
          </w:p>
        </w:tc>
      </w:tr>
      <w:tr>
        <w:trPr>
          <w:trHeight w:val="209"/>
        </w:trPr>
        <w:tc>
          <w:tcPr>
            <w:tcW w:w="2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$ 555,554</w:t>
            </w:r>
          </w:p>
        </w:tc>
        <w:tc>
          <w:tcPr>
            <w:tcW w:w="10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$ 519,328</w:t>
            </w:r>
          </w:p>
        </w:tc>
        <w:tc>
          <w:tcPr>
            <w:tcW w:w="10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$ 457,291</w:t>
            </w:r>
          </w:p>
        </w:tc>
      </w:tr>
      <w:tr>
        <w:trPr>
          <w:trHeight w:val="20"/>
        </w:trPr>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Each of the other hotel expense categories above increased in 2024, as compared to 2023, due to the addition of JW Marriott Hill Country. Administrative employment costs include salaries and benefits for hotel administrative functions, including, among others, senior management, accounting, human resources, sales, conference services, engineering and security. The increase in administrative employment costs during 2024, as compared to 2023, also includes an increase at Gaylord Opryland related to increased employment costs within the marketing and engineering departments. The increase in utility costs during 2024, as compared to 2023, also includes an increase at Gaylord Texan due to increased rates. The increase in other expenses, which include supplies, advertising, maintenance costs and consulting costs, during 2024, as compared to 2023, was partially offset by a decrease at Gaylord Opryland due to a refund of Tennessee franchise tax for prior years caused by a change in tax law, as well as decreases at Gaylord Palms and Gaylord National primarily due to decreased occupancy levels.</w:t>
      </w:r>
    </w:p>
    <w:p>
      <w:pPr>
        <w:spacing w:after="0" w:line="19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We incurred $46.7 million, $41.3 million and $33.7 million in total base management fees to Marriott related to our Hospitality segment during 2024, 2023 and 2022, respectively. We also incurred $29.9 million, $28.3 million and $12.8 million in incentive management fees for our Hospitality segment during 2024, 2023 and 2022, respectively. Management fees are presented throughout this Annual Report on Form 10-K net of the amortization of the deferred management rights proceeds discussed in Note 5, “Deferred Management Rights Proceeds,” to the consolidated financial statements included herein.</w:t>
      </w:r>
    </w:p>
    <w:p>
      <w:pPr>
        <w:spacing w:after="0" w:line="19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Hospitality segment depreciation and amortization expense increased in 2024, as compared to 2023, primarily due to the depreciable assets associated with JW Marriott Hill Country, which we purchased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2023 and 2022.</w:t>
      </w:r>
    </w:p>
    <w:p>
      <w:pPr>
        <w:spacing w:after="0" w:line="158"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years ended December 31, 2024,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2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00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193,803</w:t>
            </w:r>
          </w:p>
        </w:tc>
        <w:tc>
          <w:tcPr>
            <w:tcW w:w="16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193,140</w:t>
            </w: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177,860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213,973</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190,992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159,359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87,776</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495,552</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474,884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424,188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41,774</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112,958</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102,213</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 (1)</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131,852</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138,828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126,360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23,484</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21,667</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32,588</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342,656</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339,330</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305,293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152,896</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135,554</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118,895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70.9 %</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(2.1)pts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73.0 %</w:t>
            </w:r>
          </w:p>
        </w:tc>
        <w:tc>
          <w:tcPr>
            <w:tcW w:w="10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3.5 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69.5 %</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258.62</w:t>
            </w:r>
          </w:p>
        </w:tc>
        <w:tc>
          <w:tcPr>
            <w:tcW w:w="16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183.35</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183.22</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w:t>
            </w:r>
          </w:p>
        </w:tc>
        <w:tc>
          <w:tcPr>
            <w:tcW w:w="1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450.50</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720" w:right="1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2024 were reduced by a refund of $5.4 million of Tennessee franchise tax for prior years caused by a change in tax law.</w:t>
      </w:r>
    </w:p>
    <w:p>
      <w:pPr>
        <w:spacing w:after="0" w:line="160" w:lineRule="exact"/>
        <w:rPr>
          <w:sz w:val="20"/>
          <w:szCs w:val="20"/>
          <w:color w:val="auto"/>
        </w:rPr>
      </w:pPr>
    </w:p>
    <w:p>
      <w:pPr>
        <w:ind w:left="60" w:right="6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years ended December 31, 2024,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101,519</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113,235</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150,109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145,919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50,743</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50,462</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302,371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309,616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81,432</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79,504</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239,143</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238,217</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215,377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63,228</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71,399</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64.6 %</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(9.1)pts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73.7 %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 pts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68.4 %</w:t>
            </w: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2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245.04</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480.88</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years ended December 31, 2024, 2023 and 2022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125,205</w:t>
            </w:r>
          </w:p>
        </w:tc>
        <w:tc>
          <w:tcPr>
            <w:tcW w:w="18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121,178</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169,401</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171,932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56,545</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65,289</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351,151</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358,399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26,473</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89,248</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91,015</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16,067</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84.8 %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244,735</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246,696</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219,164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106,416</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111,703</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74.6 %</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(0.3)pts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74.9 %</w:t>
            </w:r>
          </w:p>
        </w:tc>
        <w:tc>
          <w:tcPr>
            <w:tcW w:w="9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 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252.65</w:t>
            </w:r>
          </w:p>
        </w:tc>
        <w:tc>
          <w:tcPr>
            <w:tcW w:w="18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244.21</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188.58</w:t>
            </w:r>
          </w:p>
        </w:tc>
        <w:tc>
          <w:tcPr>
            <w:tcW w:w="18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183.02</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528.90</w:t>
            </w: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years ended December 31, 2024,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119,191</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119,700</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22.2 %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155,836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147,346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311,330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307,139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41,045</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88,389</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265,024</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264,462</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230,240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46,306</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42,677</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64.8 %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(3.6)pts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68.4 %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 pts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251.80</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240.30</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426.17</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421.58</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22.9 %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Rockies Results. </w:t>
      </w:r>
      <w:r>
        <w:rPr>
          <w:rFonts w:ascii="Times New Roman" w:cs="Times New Roman" w:eastAsia="Times New Roman" w:hAnsi="Times New Roman"/>
          <w:sz w:val="18"/>
          <w:szCs w:val="18"/>
          <w:color w:val="auto"/>
        </w:rPr>
        <w:t>The results of Gaylord Rockies for the years ended December 31, 2024,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103,329</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97,530</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149,890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132,254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124,463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36,922</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290,141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266,737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253,326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87,070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78,079</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233,908</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221,883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236,148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56,233</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44,854</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161.1 %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74.3 %</w:t>
            </w:r>
          </w:p>
        </w:tc>
        <w:tc>
          <w:tcPr>
            <w:tcW w:w="10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10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68.3 %</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253.11</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242.39</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188.09</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528.14</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486.87</w:t>
            </w: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JW Marriott Hill Country Results. </w:t>
      </w:r>
      <w:r>
        <w:rPr>
          <w:rFonts w:ascii="Times New Roman" w:cs="Times New Roman" w:eastAsia="Times New Roman" w:hAnsi="Times New Roman"/>
          <w:sz w:val="18"/>
          <w:szCs w:val="18"/>
          <w:color w:val="auto"/>
        </w:rPr>
        <w:t>The results of JW Marriott Hill Country for the years ended December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are as follows (in thousands, except percentages and performance metrics):</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 (1)</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80,526</w:t>
            </w:r>
          </w:p>
        </w:tc>
        <w:tc>
          <w:tcPr>
            <w:tcW w:w="160" w:type="dxa"/>
            <w:vAlign w:val="bottom"/>
          </w:tcPr>
          <w:p>
            <w:pPr>
              <w:spacing w:after="0"/>
              <w:rPr>
                <w:sz w:val="17"/>
                <w:szCs w:val="17"/>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121.4 %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97,610</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144.6 %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42,388</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156.5 %</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220,524</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137.6 %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118.8 %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51,898</w:t>
            </w:r>
          </w:p>
        </w:tc>
        <w:tc>
          <w:tcPr>
            <w:tcW w:w="16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126.5 %</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75,710</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130.8 %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16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315.4 %</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30,193</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105.1 %</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182,116</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128.7 %</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79,630</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38,408</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191.3 %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69.2 %</w:t>
            </w:r>
          </w:p>
        </w:tc>
        <w:tc>
          <w:tcPr>
            <w:tcW w:w="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 pts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64.9 %</w:t>
            </w:r>
          </w:p>
        </w:tc>
        <w:tc>
          <w:tcPr>
            <w:tcW w:w="0" w:type="dxa"/>
            <w:vAlign w:val="bottom"/>
          </w:tcPr>
          <w:p>
            <w:pPr>
              <w:spacing w:after="0"/>
              <w:rPr>
                <w:sz w:val="1"/>
                <w:szCs w:val="1"/>
                <w:color w:val="auto"/>
              </w:rPr>
            </w:pPr>
          </w:p>
        </w:tc>
      </w:tr>
      <w:tr>
        <w:trPr>
          <w:trHeight w:val="20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160" w:type="dxa"/>
            <w:vAlign w:val="bottom"/>
          </w:tcPr>
          <w:p>
            <w:pPr>
              <w:spacing w:after="0"/>
              <w:rPr>
                <w:sz w:val="17"/>
                <w:szCs w:val="17"/>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4.4 %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219.58</w:t>
            </w:r>
          </w:p>
        </w:tc>
        <w:tc>
          <w:tcPr>
            <w:tcW w:w="1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1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19.4 %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4420" w:right="4079" w:hanging="4019"/>
        <w:spacing w:after="0" w:line="843" w:lineRule="auto"/>
        <w:tabs>
          <w:tab w:leader="none" w:pos="73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purchased JW Marriott Hill Country on June 30, 2023.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Entertainment segment financial results for 2022 include Block 21 beginning May 31, 2022. The following presents the financial results of our Entertainment segment for the years ended December 31, 2024, 2023 and 2022 (in thousands, except percentages):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40" w:type="dxa"/>
            <w:vAlign w:val="bottom"/>
          </w:tcPr>
          <w:p>
            <w:pPr>
              <w:spacing w:after="0"/>
              <w:rPr>
                <w:sz w:val="18"/>
                <w:szCs w:val="18"/>
                <w:color w:val="auto"/>
              </w:rPr>
            </w:pPr>
          </w:p>
        </w:tc>
        <w:tc>
          <w:tcPr>
            <w:tcW w:w="3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r>
      <w:tr>
        <w:trPr>
          <w:trHeight w:val="216"/>
        </w:trPr>
        <w:tc>
          <w:tcPr>
            <w:tcW w:w="3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(241,847)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(223,663)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r>
      <w:tr>
        <w:trPr>
          <w:trHeight w:val="216"/>
        </w:trPr>
        <w:tc>
          <w:tcPr>
            <w:tcW w:w="3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340" w:type="dxa"/>
            <w:vAlign w:val="bottom"/>
          </w:tcPr>
          <w:p>
            <w:pPr>
              <w:spacing w:after="0"/>
              <w:rPr>
                <w:sz w:val="18"/>
                <w:szCs w:val="18"/>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w:t>
            </w:r>
          </w:p>
        </w:tc>
      </w:tr>
      <w:tr>
        <w:trPr>
          <w:trHeight w:val="209"/>
        </w:trPr>
        <w:tc>
          <w:tcPr>
            <w:tcW w:w="340" w:type="dxa"/>
            <w:vAlign w:val="bottom"/>
          </w:tcPr>
          <w:p>
            <w:pPr>
              <w:spacing w:after="0"/>
              <w:rPr>
                <w:sz w:val="18"/>
                <w:szCs w:val="18"/>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6"/>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Block 21 on May 31, 2022.</w:t>
      </w:r>
    </w:p>
    <w:p>
      <w:pPr>
        <w:spacing w:after="0" w:line="27" w:lineRule="exact"/>
        <w:rPr>
          <w:rFonts w:ascii="Times New Roman" w:cs="Times New Roman" w:eastAsia="Times New Roman" w:hAnsi="Times New Roman"/>
          <w:sz w:val="18"/>
          <w:szCs w:val="18"/>
          <w:color w:val="auto"/>
        </w:rPr>
      </w:pPr>
    </w:p>
    <w:p>
      <w:pPr>
        <w:ind w:left="720" w:right="199" w:hanging="319"/>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2024 were reduced by a refund of $3.4 million of Tennessee franchise tax for prior years caused by a change in tax law.</w:t>
      </w:r>
    </w:p>
    <w:p>
      <w:pPr>
        <w:spacing w:after="0" w:line="18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Revenues increased in our Entertainment segment in 2024, as compared to 2023, as incremental revenue from Ole Red Las Vegas, which opened in January 2024, was partially offset by the Wildhorse Saloon as it was closed and being rebranded as Category 10 and a decrease at W Austin, primarily as a result of the disruption caused by the construction of enhancements at the property.</w:t>
      </w:r>
    </w:p>
    <w:p>
      <w:pPr>
        <w:spacing w:after="0" w:line="180"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Entertainment segment operating expenses increased in 2024, as compared to 2023, primarily due to the opening of Ole Red Las Vegas, partially offset by the temporary closure of the Wildhorse Saloon, as well as a refund of Tennessee franchise tax for prior years caused by a change in tax law.</w:t>
      </w:r>
    </w:p>
    <w:p>
      <w:pPr>
        <w:spacing w:after="0" w:line="1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in 2024, as compared to 2023, primarily due to the addition of depreciable assets associated with Ole Red Las Vegas.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Corporate and Other segment for the years ended December 31, 2024, 2023 and 2022 (in thousands, except percentages):</w:t>
      </w:r>
    </w:p>
    <w:p>
      <w:pPr>
        <w:spacing w:after="0" w:line="169"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14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6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Corporate and Other operating expenses, which consist primarily of costs associated with senior management salaries and benefits, legal, human resources, accounting, pension and other administrative costs, decreased in 2024, as compared to 2023, primarily as a result of a decrease in employment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Preopening costs for 2024 primarily include costs associated with Category 10, which opened in November 2024 and Ole Red Las Vegas, which opened in January 2024. Preopening costs for 2023 primarily include costs associated with Ole Red Las Vegas.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 on sale of assets for 2024 and loss on sale of assets for 2022 includes the sale of miscellaneous corporate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years ended December 31, 2024, 2023 and 2022 (in thousands, except percentages):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$ 225,395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$ 211,370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$ 148,406</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272.6 %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(2,252)</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(17,308)</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(13,836)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6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341.7 %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(38,775)</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1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16"/>
        </w:trPr>
        <w:tc>
          <w:tcPr>
            <w:tcW w:w="1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RHP Term Loan A</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16"/>
        </w:trPr>
        <w:tc>
          <w:tcPr>
            <w:tcW w:w="1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RHP Term Loan B</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r>
      <w:tr>
        <w:trPr>
          <w:trHeight w:val="432"/>
        </w:trPr>
        <w:tc>
          <w:tcPr>
            <w:tcW w:w="18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RHP Senior Notes</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143,592</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1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62,532</w:t>
            </w:r>
          </w:p>
        </w:tc>
      </w:tr>
      <w:tr>
        <w:trPr>
          <w:trHeight w:val="216"/>
        </w:trPr>
        <w:tc>
          <w:tcPr>
            <w:tcW w:w="1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41,891</w:t>
            </w:r>
          </w:p>
        </w:tc>
      </w:tr>
      <w:tr>
        <w:trPr>
          <w:trHeight w:val="216"/>
        </w:trPr>
        <w:tc>
          <w:tcPr>
            <w:tcW w:w="1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OEG Revolver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1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OEG Term Loan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w:t>
            </w:r>
          </w:p>
        </w:tc>
      </w:tr>
      <w:tr>
        <w:trPr>
          <w:trHeight w:val="216"/>
        </w:trPr>
        <w:tc>
          <w:tcPr>
            <w:tcW w:w="1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432"/>
        </w:trPr>
        <w:tc>
          <w:tcPr>
            <w:tcW w:w="180" w:type="dxa"/>
            <w:vAlign w:val="bottom"/>
          </w:tcPr>
          <w:p>
            <w:pPr>
              <w:spacing w:after="0"/>
              <w:rPr>
                <w:sz w:val="24"/>
                <w:szCs w:val="24"/>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25"/>
        </w:trPr>
        <w:tc>
          <w:tcPr>
            <w:tcW w:w="180" w:type="dxa"/>
            <w:vAlign w:val="bottom"/>
          </w:tcPr>
          <w:p>
            <w:pPr>
              <w:spacing w:after="0"/>
              <w:rPr>
                <w:sz w:val="24"/>
                <w:szCs w:val="24"/>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225,395</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211,370</w:t>
            </w:r>
          </w:p>
        </w:tc>
        <w:tc>
          <w:tcPr>
            <w:tcW w:w="1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148,406</w:t>
            </w:r>
          </w:p>
        </w:tc>
      </w:tr>
      <w:tr>
        <w:trPr>
          <w:trHeight w:val="20"/>
        </w:trPr>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1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Interest expense increased in 2024, as compared to 2023, due primarily to higher interest rates and higher levels of indebtedness attributable to the $1 billion in 6.50% senior notes, partially offset by the prepayment of the Gaylord Rockies $800 million term loan.</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6.7% and 6.6% in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Interest income includes amounts earned on our cash balances, as well as the bonds that were received in connection with the development of Gaylord National, which we hold as notes receivable. See Note 3, “Notes Receivable,” to the accompanying consolidated financial statements included herein for additional discussion of interest income on these bonds.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As a result of the March 2024 repayment of the Gaylord Rockies $800 million term loan, the April 2024 repricing of the RHP term loan B, the June 2024 refinancing of the OEG credit agreement, and the December 2024 repricing of the RHP term loan B, we recognized a loss on extinguishment of debt of $2.5 million in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a result of the May 2023 refinancing of our credit facility and the extension of the Gaylord Rockies $800 million term loan, we recognized a loss on extinguishment of debt of $2.3 million in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Unconsolidated Joint Ventures</w:t>
      </w:r>
    </w:p>
    <w:p>
      <w:pPr>
        <w:spacing w:after="0" w:line="227"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2023 represents our equity method share of losses associated with our previous investment in Circle.</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In September 2023, we and our joint venture partner agreed to wind down Circle, and operations ceased on December 31, 2023. As a result, we incurred a loss related to Circle of approximately $10.5 million, which is included in loss from unconsolidated joint ventures in the accompanying consolidated statement of operations for 2023.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27"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Other gains and (losses), net for 2024 and 2023 primarily includes a gain of $3.2 million and $6.1 million, respectively, from a fund associated with the Gaylord National bonds to reimburse us for certain marketing and maintenance expenses.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2024 and 2023, we recorded an income tax (provision) benefit of $(13.8) million and $93.7 million, respectively. These results differ from the statutory rate primarily due to the REIT dividends paid deduction for both years and a change in valuation allowance at the TRSs in 2023.</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evaluate our deferred tax assets each reporting period to determine if it is more likely than not that those assets will be realized or if a valuation allowance is needed. In the fourth quarter of 2023, due to continued improvement in our financial results coming out of the COVID-19 pandemic and the projected future taxable income of our TRSs, we determined that the release of a significant portion of our federal and state valuation allowance was appropriate. This release of valuation allowance of $112.5 million was the primary factor in the large income tax benefit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we believe are useful to investors as key measures of our operating performance:</w:t>
      </w:r>
    </w:p>
    <w:p>
      <w:pPr>
        <w:spacing w:after="0" w:line="15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EBITDAre, Adjusted EBITDAre and Adjusted EBITDAre, Excluding Noncontrolling Interest in Consolidated Joint Venture Definition</w:t>
      </w:r>
    </w:p>
    <w:p>
      <w:pPr>
        <w:spacing w:after="0" w:line="15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FFO, Adjusted FFO, and Adjusted FFO available to common stockholders and unit holders Definition</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years ended December 31, 2024, 2023 and 2022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134,948</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189,947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142,656</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(93,702)</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38,775</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235,626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208,616</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03"/>
        </w:trPr>
        <w:tc>
          <w:tcPr>
            <w:tcW w:w="6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19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726,805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649,297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525,411</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r>
      <w:tr>
        <w:trPr>
          <w:trHeight w:val="202"/>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14,985</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5,306</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 (1)</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757,705</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690,745</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555,854</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(31,746)</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(29,884)</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(15,309)</w:t>
            </w:r>
          </w:p>
        </w:tc>
      </w:tr>
      <w:tr>
        <w:trPr>
          <w:trHeight w:val="19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725,959</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660,861</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540,545</w:t>
            </w:r>
          </w:p>
        </w:tc>
      </w:tr>
      <w:tr>
        <w:trPr>
          <w:trHeight w:val="20"/>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3" w:lineRule="exact"/>
        <w:rPr>
          <w:sz w:val="20"/>
          <w:szCs w:val="20"/>
          <w:color w:val="auto"/>
        </w:rPr>
      </w:pPr>
    </w:p>
    <w:p>
      <w:pPr>
        <w:ind w:left="720" w:right="2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and our joint venture partner agreed to wind down the Circle joint venture, with operations ceasing December 31, 2023. As a result, we incurred a loss related to Circle of approximately $10.5 million in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2023 and 2022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134,948</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10"/>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129,916</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208,494</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(8,856)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16"/>
        </w:trPr>
        <w:tc>
          <w:tcPr>
            <w:tcW w:w="5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335,156</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 (1)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(95,825)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10"/>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363,501</w:t>
            </w:r>
          </w:p>
        </w:tc>
      </w:tr>
      <w:tr>
        <w:trPr>
          <w:trHeight w:val="20"/>
        </w:trPr>
        <w:tc>
          <w:tcPr>
            <w:tcW w:w="2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3" w:lineRule="exact"/>
        <w:rPr>
          <w:sz w:val="20"/>
          <w:szCs w:val="20"/>
          <w:color w:val="auto"/>
        </w:rPr>
      </w:pPr>
    </w:p>
    <w:p>
      <w:pPr>
        <w:ind w:left="720" w:right="2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and our joint venture partner agreed to wind down the Circle joint venture, with operations ceasing December 31, 2023. As a result, we incurred a loss related to Circle of approximately $10.5 million in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2024, our net cash flows provided by operating activities were $576.5 million, primarily reflecting our net income before depreciation expense, amortization expense and other non-cash charges of approximately $550.3 million and favorable changes in working capital of approximately $26.2 million. The favorable changes in working capital primarily resulted from an increase in deferred revenues associated with increased advanced room deposits on future hotel room stays and a decrease in accounts receivable associated with a difference in timing of credit card settlements.</w:t>
      </w:r>
    </w:p>
    <w:p>
      <w:pPr>
        <w:spacing w:after="0" w:line="18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2023, our net cash flows provided by operating activities were $557.1 million, primarily reflecting our net income before depreciation expense, amortization expense and other non-cash charges of approximately $500.6 million and favorable changes in working capital of approximately $56.5 million. The favorable changes in working capital primarily resulted from an increase in deferred revenues associated with increased advanced room deposits on future hotel room stays.</w:t>
      </w:r>
    </w:p>
    <w:p>
      <w:pPr>
        <w:spacing w:after="0" w:line="181"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During 2024, our primary use of funds for investing activities was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which totaled $407.9 million, and consisted primarily of enhancements at Gaylord Rockies to construct a new events pavilion, enhance the grand lodge and reposition its food and beverage outlets; enhancements to meeting spaces at Gaylord Opryland; the conversion of the Wildhorse Saloon to Category 10; a rooms renovation at the W Austin and common area enhancements at Block 21; the completion of Ole Red Las Vegas; a rooms and lobby renovation at Gaylord Palms; and ongoing maintenance capital expenditures for each of our existing properties.</w:t>
      </w:r>
    </w:p>
    <w:p>
      <w:pPr>
        <w:spacing w:after="0" w:line="184"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During 2023, our primary use of funds for investing activities was the use of $791.5 million in net cash to purchase JW Marriott Hill Country and purchases of property and equipment, which totaled $206.8 million. Purchases of property and equipment consisted primarily of the construction of Ole Red Las Vegas; enhancements at Gaylord Rockies to better position the property for our group customers; a rooms, restaurant and meeting space renovation at Gaylord Palms; enhancements to the offerings at Block 21; and ongoing maintenance capital expenditures for each of our existing properties.</w:t>
      </w:r>
    </w:p>
    <w:p>
      <w:pPr>
        <w:spacing w:after="0" w:line="18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(Used In) Financing Activities. </w:t>
      </w:r>
      <w:r>
        <w:rPr>
          <w:rFonts w:ascii="Times New Roman" w:cs="Times New Roman" w:eastAsia="Times New Roman" w:hAnsi="Times New Roman"/>
          <w:sz w:val="18"/>
          <w:szCs w:val="18"/>
          <w:color w:val="auto"/>
        </w:rPr>
        <w:t>Our cash flows from financing activities primarily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and repayment of long-term debt and the payment of cash dividends. During 2024, net cash flows used in financing activities were $290.3 million, primarily reflecting the issuance of $1 billion in 6.50% senior notes, offset by the prepayment of the Gaylord Rockies $800.0 million term loan, the net repayment of $203.5 million under our term loan B, the payment of $266.1 million in cash distributions, and the payment of $23.7 million in deferred financing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2023, net cash flows provided by financing activities were $711.9 million, primarily reflecting the issuance of</w:t>
      </w:r>
    </w:p>
    <w:p>
      <w:pPr>
        <w:spacing w:after="0" w:line="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$400.0 million in 7.25% senior notes, $395.4 million in net proceeds from the issuance of approximately 4.4 million shares of our common stock, and the net borrowing of $121.3 million under our refinanced credit facility, partially offset by the payment of $176.0 million in cash distributions, and the payment of $23.4 million in deferred financing costs.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339"/>
        <w:spacing w:after="0" w:line="276" w:lineRule="auto"/>
        <w:rPr>
          <w:sz w:val="20"/>
          <w:szCs w:val="20"/>
          <w:color w:val="auto"/>
        </w:rPr>
      </w:pPr>
      <w:r>
        <w:rPr>
          <w:rFonts w:ascii="Times New Roman" w:cs="Times New Roman" w:eastAsia="Times New Roman" w:hAnsi="Times New Roman"/>
          <w:sz w:val="17"/>
          <w:szCs w:val="17"/>
          <w:color w:val="auto"/>
        </w:rPr>
        <w:t>At December 31, 2024, we had $477.7 million in unrestricted cash and $754.7 million available for borrowing in the aggregate under our revolving credit facility and the OEG revolving credit facility. During 2024, we issued $1 billion in</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6.50% senior notes, repaid the $800.0 million Gaylord Rockies term loan, incurred capital expenditures of $407.9 million, paid $266.1 million in cash distributions, and repaid $203.5 million under our term loan B. These changes, partially offset by the cash flows provided by operations discussed above, were the primary factors in the decrease in our cash balance from 2023 to 2024.</w:t>
      </w:r>
    </w:p>
    <w:p>
      <w:pPr>
        <w:spacing w:after="0" w:line="18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anticipate investing in our operations during 2025 by spending between approximately $400 million and $500 million in capital expenditures, which includes projects at Gaylord Opryland for the renovation of a ballroom and pre-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function space, the development of a sports bar, pavilion and event lawn, and a meeting space expansion; a rooms renovation at Gaylord Texan; and ongoing maintenance capital for each of our current facilities. Further, our dividend policy provides that we will make minimum dividends of 100% of REIT taxable income annually. We currently have no debt maturities until January 2026. We believe we will be able to refinance our debt agreements prior to their maturities.</w:t>
      </w:r>
    </w:p>
    <w:p>
      <w:pPr>
        <w:spacing w:after="0" w:line="16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December 31, 2024, there were no defaults under the covenants related to our outstanding debt.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22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Second Incremental Agreement (each as hereinafter defined) and as further supplemented,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 The Credit Agreement provides for a $700.0 million revolving credit facility (the “Revolver”) and a senior secured term loan B (the “Term Loan B”) (in the original principal amount of $500.0 million, which was reduced to $295.0 million on March 28, 2024), as well as an accordion feature that will allow us to increase the facilities by an aggregate of up to $475 million, which may be allocated between the Revolver and the Term Loan B at our option.</w:t>
      </w:r>
    </w:p>
    <w:p>
      <w:pPr>
        <w:spacing w:after="0" w:line="19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80"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225"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The maturity date of the Revolver is May 18, 2027, with the option to extend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maximum of one additional year through either (i) a single 12-month extension option or (ii) two individual six-month extensions. Borrowings under the Revolver bear interest at an annual rate equal to, at our option, either (i) Adjusted Term SOFR plus the applicable margin ranging from 1.40% to 2.00%, (ii) Adjusted Daily Simply SOFR plus the applicable margin ranging from 1.40% to 2.00% or (iii) a base rate as set in the Credit Agreement plus the applicable margin ranging from 0.40% to 1.00%, with each option dependent upon our consolidated net leverage ratio (as defined in the Credit Agreement). Principal is payable in full at maturity, and the Revolver was undrawn at closing.</w:t>
      </w:r>
    </w:p>
    <w:p>
      <w:pPr>
        <w:spacing w:after="0" w:line="185"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8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December 31, 2024, no amounts were outstanding under the Revolver, and the lending banks had issued $4.3 million of letters of credit under the Credit Agreement, which left $695.7 million of availability under the Revolver (subject to the satisfaction of debt incurrence tests under the indentures governing our $1 billion in aggregate principal amount of senior notes due 2032 (the $1 Billion 6.50% Senior Notes”), our $700 million in aggregate principal amount of senior notes due 2027 (the “$700 Million 4.75% Senior Notes”), our $600 million in aggregate principal amount of senior notes due 2029 (the “$600 Million 4.50% Senior Notes”) and our $400 million in aggregate principal amount of senior notes due 2028 (“$400 Million 7.25% Senior Notes”), which we met at December 31, 2024).</w:t>
      </w:r>
    </w:p>
    <w:p>
      <w:pPr>
        <w:spacing w:after="0" w:line="187" w:lineRule="exact"/>
        <w:rPr>
          <w:sz w:val="20"/>
          <w:szCs w:val="20"/>
          <w:color w:val="auto"/>
        </w:rPr>
      </w:pPr>
    </w:p>
    <w:p>
      <w:pPr>
        <w:ind w:left="60" w:right="39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 Loan B. </w:t>
      </w:r>
      <w:r>
        <w:rPr>
          <w:rFonts w:ascii="Times New Roman" w:cs="Times New Roman" w:eastAsia="Times New Roman" w:hAnsi="Times New Roman"/>
          <w:sz w:val="17"/>
          <w:szCs w:val="17"/>
          <w:color w:val="auto"/>
        </w:rPr>
        <w:t>The Term Loan B has a maturity date of May 18, 2030. Prior to the effectiveness of the First Incremental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Second Incremental Agreement (as hereinafter defined), the applicable interest rate margins for borrowings under the Term Loan B were, at our option, either (i) Term SOFR plus 2.75%, (ii) Daily Simple SOFR plus</w:t>
      </w:r>
    </w:p>
    <w:p>
      <w:pPr>
        <w:spacing w:after="0" w:line="1" w:lineRule="exact"/>
        <w:rPr>
          <w:sz w:val="20"/>
          <w:szCs w:val="20"/>
          <w:color w:val="auto"/>
        </w:rPr>
      </w:pPr>
    </w:p>
    <w:p>
      <w:pPr>
        <w:jc w:val="both"/>
        <w:ind w:left="60" w:right="159"/>
        <w:spacing w:after="0" w:line="255" w:lineRule="auto"/>
        <w:rPr>
          <w:sz w:val="20"/>
          <w:szCs w:val="20"/>
          <w:color w:val="auto"/>
        </w:rPr>
      </w:pPr>
      <w:r>
        <w:rPr>
          <w:rFonts w:ascii="Times New Roman" w:cs="Times New Roman" w:eastAsia="Times New Roman" w:hAnsi="Times New Roman"/>
          <w:sz w:val="18"/>
          <w:szCs w:val="18"/>
          <w:color w:val="auto"/>
        </w:rPr>
        <w:t>2.75% or (iii) a base rate as set in the Credit Agreement plus 1.75%. In addition, if for any fiscal year there is Excess Cash Flow (as defined in the Credit Agreement), an additional principal amount is required. Amounts borrowed under the Term Loan B that are repaid or prepaid may not be reborrowed.</w:t>
      </w:r>
    </w:p>
    <w:p>
      <w:pPr>
        <w:spacing w:after="0" w:line="18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“First Incremental Agreement”), which supplemented the Credit Agreement and included the addition of certain new lenders and the removal of certain other lenders. The First Incremental Agreement reduced the applicable interest rate margins for the loans advanced under the refinanced Term Loan B. The applicable interest rate margins for the refinanced Term Loan B under the First Incremental Agreement were (i) 2.25% for SOFR Loans (as defined in the Credit Agreement) and (ii) 1.25% for base rate loans.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December 19, 2024, we entered into an additional Incremental Tranche B Term Loan Agreement (the “Second Incremental Agreement”), which supplements the Credit Agreement. The Second Incremental Agreement reduces the applicable interest rate margins for the loans advanced under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our meeting certain criteria as set forth in the Second Incremental Agreement.</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December 31, 2024, the interest rate on the Term Loan B was Term SOFR plus 2.00%. Neither the First Incremental Agreement nor the Second Incremental Agreement changed the maturity dates under the Credit Agreement or resulted in any increase in principal indebtedness. In addition, the Second Incremental Agreement confirms that the annual amortization under the Term Loan B is 1% of the refinanced $293.5 million outstanding principal amount, with the balance due at maturity. At December 31, 2024, $292.8 million in borrowings were outstanding under the Term Loan B.</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Simply SOFR are subject to a floor of 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i w:val="1"/>
          <w:iCs w:val="1"/>
          <w:color w:val="auto"/>
        </w:rPr>
        <w:t>$1 Billion 6.50% Senior Notes</w:t>
      </w:r>
      <w:r>
        <w:rPr>
          <w:rFonts w:ascii="Times New Roman" w:cs="Times New Roman" w:eastAsia="Times New Roman" w:hAnsi="Times New Roman"/>
          <w:sz w:val="18"/>
          <w:szCs w:val="18"/>
          <w:color w:val="auto"/>
        </w:rPr>
        <w:t>. On March 28, 2024, the Operating Partnership and RHP Finance Corporation (“Finco”)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“issuing subsidiaries”) completed the private placement of $1.0 billion in aggregate principal amount of 6.50% senior notes due 2032,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9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8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w:t>
      </w:r>
    </w:p>
    <w:p>
      <w:pPr>
        <w:spacing w:after="0" w:line="2"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4.75% Senior Notes are general unsecured and unsubordinated obligations of the issuing subsidiaries and rank equal in right of payment with such subsidiaries’ existing and future senior unsecured indebtedness, including the $1 Billion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6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 redemption price expressed as a percentage of the principal amount thereof, which percentage is 101.188% and 100.00% beginning on October 15 of 2024, and 2025, respectively, plus accrued and unpaid interest thereon to, but not including, the redemption date.</w:t>
      </w:r>
    </w:p>
    <w:p>
      <w:pPr>
        <w:spacing w:after="0" w:line="14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$600 Million 4.50% Senior Notes</w:t>
      </w:r>
      <w:r>
        <w:rPr>
          <w:rFonts w:ascii="Times New Roman" w:cs="Times New Roman" w:eastAsia="Times New Roman" w:hAnsi="Times New Roman"/>
          <w:sz w:val="18"/>
          <w:szCs w:val="18"/>
          <w:color w:val="auto"/>
        </w:rPr>
        <w:t>. In February 2021,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9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The $600 Million 4.50% Senior Notes are redeemable, in whole or in part, at a redemption price expressed as a percentage of the principal amount thereof, which percentage is 101.500%, 100.750%, and 100.000% beginning on February 15 of 2025, 2026, and 2027, respectively, plus accrued and unpaid interest thereon to, but not including, the redemption date.</w:t>
      </w:r>
    </w:p>
    <w:p>
      <w:pPr>
        <w:spacing w:after="0" w:line="156" w:lineRule="exact"/>
        <w:rPr>
          <w:sz w:val="20"/>
          <w:szCs w:val="20"/>
          <w:color w:val="auto"/>
        </w:rPr>
      </w:pPr>
    </w:p>
    <w:p>
      <w:pPr>
        <w:ind w:left="60" w:right="21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In June 2023, the Operating Partnership and Finco completed the private placement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92"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$1 Billion 6.50% Senior Notes,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assets sales, acquisitions, mergers and consolidations, liens and encumbrances and other matters customarily restricted in such agreements. In addition, if the Company experiences certain kinds of changes of control, the Company must offer to repurchase some or all of the senior notes at 101% of their principal amount, plus accrued and unpaid interest, if any, up to, but excluding, the repurchase date.</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r>
        <w:rPr>
          <w:rFonts w:ascii="Times New Roman" w:cs="Times New Roman" w:eastAsia="Times New Roman" w:hAnsi="Times New Roman"/>
          <w:sz w:val="18"/>
          <w:szCs w:val="18"/>
          <w:color w:val="auto"/>
        </w:rPr>
        <w:t>. In July 2019, Aurora Convention Center Hotel, LLC and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 Center Hotel Lessee, LLC, the entities that comprise Gaylord Rockies, entered into a Second Amended and Restated Loan Agreement (the “Gaylord Rockies Loan”) with Wells Fargo Bank, National Association, as administrative agent. The Gaylord Rockies Loan consisted of an $800.0 million secured term loan facility, with a maturity date of July 2, 2024 with two, one-year extension options remaining, subject to certain requirements in the Gaylord Rockies Loan, and bore interest at Adjusted Daily Simple SOFR plus 2.50%. We previously entered into an interest rate swap to fix the SOFR portion of the interest rate at 5.2105% for the fifth year of the loan. We designated this interest rate swap as an effective cash flow hedge.</w:t>
      </w:r>
    </w:p>
    <w:p>
      <w:pPr>
        <w:spacing w:after="0" w:line="187"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On March 28, 2024, we paid off the Gaylord Rockies Loan with the proceeds from the $1 Billion 6.50% Senior Notes discussed above and terminated the interest rate swap.</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(the “Original OEG Credit Agreement”). As amended, the credit facility (the “Amended OEG Credit Agreement”) includes certain amended terms including lower interest rates, extended maturities and modifications to various covenants.</w:t>
      </w:r>
    </w:p>
    <w:p>
      <w:pPr>
        <w:spacing w:after="0" w:line="18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principal amount of $300.0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replaces the former senior secured revolving credit facility in an aggregate principal amount not to exceed $65.0 million. At December 31, 2024, $299.3 million was outstanding under the OEG Term Loan and $21.0 million was outstanding under the OEG Revolver.</w:t>
      </w:r>
    </w:p>
    <w:p>
      <w:pPr>
        <w:spacing w:after="0" w:line="189"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7"/>
          <w:szCs w:val="17"/>
          <w:color w:val="auto"/>
        </w:rPr>
        <w:t>The OEG Term Loan and OEG Revolver are each secured by substantially all of the assets of OEG Finance and each of its wholly owned subsidiaries (other than Block 21-related subsidiaries, as more specifically described in the Amended OEG Credit Agreement). The OEG Term Loan bears interest at a rate equal to either, at OEG Borrower’s election, as of the closing contemplated by the Amended OEG Credit Agreement, (a) the Alternate Base Rate plus 2.50% or (b) Adjusted Term SOFR plus 3.50% (all as more specifically described in the Amended OEG Credit Agreement). In November 2022, OEG entered into an interest rate swap to fix the SOFR portion of the interest rate on $100.0 million of borrowings at 4.533% through December 2025. Borrowings under the OEG Revolver bear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 2.25% and (ii) the Applicable Rate for Adjusted Term SOFR loans will be between 3.75% and</w:t>
      </w:r>
    </w:p>
    <w:p>
      <w:pPr>
        <w:spacing w:after="0" w:line="2" w:lineRule="exact"/>
        <w:rPr>
          <w:sz w:val="20"/>
          <w:szCs w:val="20"/>
          <w:color w:val="auto"/>
        </w:rPr>
      </w:pPr>
    </w:p>
    <w:p>
      <w:pPr>
        <w:jc w:val="both"/>
        <w:ind w:left="60" w:right="299"/>
        <w:spacing w:after="0" w:line="253" w:lineRule="auto"/>
        <w:rPr>
          <w:sz w:val="20"/>
          <w:szCs w:val="20"/>
          <w:color w:val="auto"/>
        </w:rPr>
      </w:pPr>
      <w:r>
        <w:rPr>
          <w:rFonts w:ascii="Times New Roman" w:cs="Times New Roman" w:eastAsia="Times New Roman" w:hAnsi="Times New Roman"/>
          <w:sz w:val="18"/>
          <w:szCs w:val="18"/>
          <w:color w:val="auto"/>
        </w:rPr>
        <w:t>3.25%, in each of (i) and (ii) based upon the First Lien Leverage Ratio of OEG Finance and its consolidated subsidiaries (as more specifically described in the Amended OEG Credit Agreement). The Applicable Rate for borrowings under the OEG Revolver as of December 31, 2024 is 2.50% for Alternative Base Rate Loans and 3.50% for Adjusted Term SOFR loans.</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used the proceeds from the OEG Term Loan to refinance the original term loan under the Original OEG Credit Agreement.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$136 million, ten-year, non-recourse term loan secured by a mortgage on Block 21 (the “Block 21 CMBS Loan”). The Block 21 CMBS Loan has a fixed interest rate of 5.58% per annum, payable monthly, matures January 5, 2026, and provides for payments due monthly based on a 30-year amortization. At December 31, 2024, $129.0 million was outstanding under the Block 21 CMBS Loan.</w:t>
      </w:r>
    </w:p>
    <w:p>
      <w:pPr>
        <w:spacing w:after="0" w:line="185"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The disruption caused by a significant renovation of the rooms and public spaces at the W Austin negatively impacted the results of Block 21 and resulted in the Trigger Period being effective starting September 30, 2024. During the Trigger Period, cash in excess of operating expenses, debt service and certain reserves is deposited in a reserve account and held until Block 21 exits the Trigger Period by achieving a specified minimum debt service coverage ratio on a trailing twelve-month basis, at which time the reserved cash will be released to Block 21 and its owner.</w:t>
      </w:r>
    </w:p>
    <w:p>
      <w:pPr>
        <w:spacing w:after="0" w:line="19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December 31, 2024 for our variable-rate debt after considering interest rate swaps, our estimated interest obligations over the next five years are $837.9 million. These estimated obligations are $205.2 million in 2025, $198.2 million in 2026, $189.4 million in 2027, $148.6 million in 2028, and $96.6 million in 2029.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2024, 2023 and 2022.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Inflation has had a more meaningful impact on our business during recent periods than in historical periods. However, favorable ADR and outside-the-room spend in our Hospitality segment and business levels in our Entertainment segment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in recent years have reduced the impact of increased operating costs, including increased insurance, utilities and other costs, on our financial position and results of operations.</w:t>
      </w:r>
    </w:p>
    <w:p>
      <w:pPr>
        <w:spacing w:after="0" w:line="162"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In an effort to mitigate the impact of increased interest rates, at December 31, 2024, 85% of our outstanding debt is fixed-rate debt, after considering the impact of interest rate swaps.</w:t>
      </w:r>
    </w:p>
    <w:p>
      <w:pPr>
        <w:spacing w:after="0" w:line="1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the $700 Million 4.75% Senior Notes, $600 Million 4.50% Senior Notes and $400 Million 7.25% Senior Notes were each issued by the Issuers and are guaranteed on a senior unsecured basis by the Company (as the parent company), each of the Operating Partnership’s subsidiaries that own the Gaylord Hotels properties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94"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3,318,192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7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3,204,169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3,443,326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760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585,855</w:t>
            </w:r>
          </w:p>
        </w:tc>
        <w:tc>
          <w:tcPr>
            <w:tcW w:w="20" w:type="dxa"/>
            <w:vAlign w:val="bottom"/>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168,004</w:t>
            </w: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21,724</w:t>
            </w:r>
          </w:p>
        </w:tc>
        <w:tc>
          <w:tcPr>
            <w:tcW w:w="20" w:type="dxa"/>
            <w:vAlign w:val="bottom"/>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396,127</w:t>
            </w: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224,218</w:t>
            </w: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215,666</w:t>
            </w:r>
          </w:p>
        </w:tc>
        <w:tc>
          <w:tcPr>
            <w:tcW w:w="20" w:type="dxa"/>
            <w:vAlign w:val="bottom"/>
          </w:tcPr>
          <w:p>
            <w:pPr>
              <w:spacing w:after="0"/>
              <w:rPr>
                <w:sz w:val="18"/>
                <w:szCs w:val="18"/>
                <w:color w:val="auto"/>
              </w:rPr>
            </w:pPr>
          </w:p>
        </w:tc>
      </w:tr>
      <w:tr>
        <w:trPr>
          <w:trHeight w:val="648"/>
        </w:trPr>
        <w:tc>
          <w:tcPr>
            <w:tcW w:w="760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7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involve a higher degree of judgment and complexity.</w:t>
      </w:r>
    </w:p>
    <w:p>
      <w:pPr>
        <w:spacing w:after="0" w:line="179" w:lineRule="exact"/>
        <w:rPr>
          <w:sz w:val="20"/>
          <w:szCs w:val="20"/>
          <w:color w:val="auto"/>
        </w:rPr>
      </w:pPr>
    </w:p>
    <w:p>
      <w:pPr>
        <w:ind w:left="6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and other assets. </w:t>
      </w:r>
      <w:r>
        <w:rPr>
          <w:rFonts w:ascii="Times New Roman" w:cs="Times New Roman" w:eastAsia="Times New Roman" w:hAnsi="Times New Roman"/>
          <w:sz w:val="17"/>
          <w:szCs w:val="17"/>
          <w:color w:val="auto"/>
        </w:rPr>
        <w:t>In accounting for our long-lived and other assets, we assess our long-lived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for impairment whenever events or changes in circumstances indicate that the carrying value of the assets or asset groups may not be recoverable. Factors we consider when assessing whether impairment indicators exist include (i) significant under-performance relative to historical or projected future operating results, (ii) significant changes in the manner of our use of assets or the strategy for our overall business, or (iii) significant negative industry or economic trends.</w:t>
      </w:r>
    </w:p>
    <w:p>
      <w:pPr>
        <w:spacing w:after="0" w:line="16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 Estimating the total future undiscounted net cash flows, as well as the fair value of assets or asset groups, if necessary, requires management to make assumptions and projections of future cash flows, long-term growth rates, asset holding periods, and other factors. The assumptions used to assess impairment consider historical trends, macroeconomic conditions, and projections consistent with our operating strategy. Changes in these estimates and assumptions can have a significant impact on the assessment, which could result in material impairment losses.</w:t>
      </w:r>
    </w:p>
    <w:p>
      <w:pPr>
        <w:spacing w:after="0" w:line="190"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losses on financial assets. </w:t>
      </w:r>
      <w:r>
        <w:rPr>
          <w:rFonts w:ascii="Times New Roman" w:cs="Times New Roman" w:eastAsia="Times New Roman" w:hAnsi="Times New Roman"/>
          <w:sz w:val="18"/>
          <w:szCs w:val="18"/>
          <w:color w:val="auto"/>
        </w:rPr>
        <w:t>We assess our financial assets, including the bonds we received in 2008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Gaylord National construction (“Gaylord National Bonds”), and our accounts receivable for credit losses utilizing the expected loss model prescribed by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and record a reserve, in the form of an allowance for credit losses, against the amortized cost basis for the portion of the financial asset that will not be recovered due to credit losses.</w:t>
      </w:r>
    </w:p>
    <w:p>
      <w:pPr>
        <w:spacing w:after="0" w:line="183"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We provide credit loss reserves for the Gaylord National Bonds by comparing the amortized cost basis to their present value. If the amortized cost basis exceeds the present value, an expected credit loss exists and the allowance for credit losses is measured as the difference between the bonds’ amortized cost basis and present value, which is estimated using discounted cash flow analyses that utilize comprehensive cash flow projections over the contractual life of the bonds, as well as observable market data to the extent available. Our estimate of the present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require significant judgment as the Gaylord National Bonds and related projected cash flows continue for an extended period of time through 2037.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As a REIT, generally we will not be subject to federal corporate income taxes on ordinary taxable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2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2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2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2024 and 2023, we had no accruals for unrecognized tax benefits. We recognize interest and penalties related to uncertain tax positions, if any, in income tax expense. At December 31, 2024 and 2023, we have accrued no interest or penalties related to uncertain tax positions.</w:t>
      </w:r>
    </w:p>
    <w:p>
      <w:pPr>
        <w:spacing w:after="0" w:line="16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Purchase Price Allocations. </w:t>
      </w:r>
      <w:r>
        <w:rPr>
          <w:rFonts w:ascii="Times New Roman" w:cs="Times New Roman" w:eastAsia="Times New Roman" w:hAnsi="Times New Roman"/>
          <w:sz w:val="18"/>
          <w:szCs w:val="18"/>
          <w:color w:val="auto"/>
        </w:rPr>
        <w:t>Accounting for the acquisition of an entity as a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becoming the primary beneficiary of a previously unconsolidated variable interest entity, or a significant asset acquisition requires an allocation of the purchase price to the assets acquired and the liabilities assumed in the transaction based on their respective estimated fair values, which requires us to make significant estimates and assumptions regarding the fair value of the acquired assets and liabilities assumed. We may engage third parties to provide valuation services to assist in the fair value determinations of the long-lived assets acquired and the liabilities assumed. The most difficult estimations of individual fair values are those involving long-lived assets, such as property, equipment, and intangible assets, that are assumed as part of the transaction, as well as any noncontrolling interests. When making fair value determinations, we consider market data for similar assets, expected cash flows discounted at risk-adjusted rates, and replacement cost for assets, among other information. Management judgment is required when making the significant assumptions used to value long-lived and identifiable intangible assets, which include projected revenue growth, estimated cash flows, discount rates, and other factors.</w:t>
      </w:r>
    </w:p>
    <w:p>
      <w:pPr>
        <w:spacing w:after="0" w:line="190"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Contingencies. </w:t>
      </w:r>
      <w:r>
        <w:rPr>
          <w:rFonts w:ascii="Times New Roman" w:cs="Times New Roman" w:eastAsia="Times New Roman" w:hAnsi="Times New Roman"/>
          <w:sz w:val="18"/>
          <w:szCs w:val="18"/>
          <w:color w:val="auto"/>
        </w:rPr>
        <w:t>We are subject to various legal proceedings and claims, the outcomes of which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uncertainty. We record an accrual for loss contingencies when a loss is probable and the amount of the loss can be reasonably estimated, the determination of which requires significant judgment. We review these accruals each reporting period and make revisions based on changes in facts and circumstances, but resolution of legal matters in a manner inconsistent with our expectations could have a material impact on our financial condition and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1 to our consolidated financial statements included herein.</w:t>
      </w:r>
    </w:p>
    <w:p>
      <w:pPr>
        <w:spacing w:after="0" w:line="158"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including the rising interest rates experienced in recent years,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Interest Rates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At December 31, 2024, borrowings outstanding under the Term Loan B bore interest at an annual rate of SOFR plus 2.0%. If SOFR were to increase by 100 basis points, our annual interest cost on the $292.8 million in borrowings outstanding at December 31, 2024 would increase by approximately $2.9 million.</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At December 31, 2024, borrowings outstanding under the OEG Term Loan bore interest at an annual rate of SOFR plus 3.5%. We have hedged our interest rate exposure on $100.0 million of borrowings under the OEG Term Loan with an interest rate swap that fixes the SOFR portion of interest payments through December 2025. If Adjusted Term SOFR were to increase by 100 basis points, our annual interest cost on the $199.3 million in borrowings outstanding under the OEG Term Loan that are not hedged at December 31, 2024 would increase by approximately $2.0 million.</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December 31, 2024. As a result, the interest rate market risk implicit in these investments at December 31, 2024, if any, is 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Asset Values that Fund our Pension Plans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2024, the value of the investments in the pension fund was $51.0 million, and an immediate ten percent decrease in the value of the investments in the fund would have reduced the value of the fund by approximately $5.1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Based upon our overall market risk exposures at December 31, 2024, we believe that the effects of changes in interest rates related to our borrowings and asset values of investments that fund our pension plan could be material to our consolidated financial position, results of operations or cash flows.</w:t>
      </w:r>
    </w:p>
    <w:p>
      <w:pPr>
        <w:spacing w:after="0" w:line="17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in the Index beginning on page 76 of this Annual Report on Form 10-K and incorporated by reference herein.</w:t>
      </w:r>
    </w:p>
    <w:p>
      <w:pPr>
        <w:spacing w:after="0" w:line="15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83" w:lineRule="exact"/>
        <w:rPr>
          <w:sz w:val="20"/>
          <w:szCs w:val="20"/>
          <w:color w:val="auto"/>
        </w:rPr>
      </w:pPr>
    </w:p>
    <w:p>
      <w:pPr>
        <w:ind w:left="720" w:right="2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In making this assessment, management used the criteria set forth by the Committee of Sponsoring Organizations of the Treadway Commission (2013 framework) in Internal Control - Integrated Framework.</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those criteria, management believes that, as of December 31, 2024, the Company’s internal control over financial reporting was effective.</w:t>
      </w:r>
    </w:p>
    <w:p>
      <w:pPr>
        <w:spacing w:after="0" w:line="16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(as defined in Rule 16a-1(f) of the Exchange Act) adopted or terminated a “Rule 10b5-1 trading arrangement” or “non-Rule 10b5-1 trading arrangement” (in each case, as defined in Item 408 of Regulation S-K).</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Information about our Board of Directors required by Item 401 of Regulation S-K is incorporated herein by reference to the discussion under the heading “Proposal 1: Election of the Ten (10) Nominees for Director Identified in this Proxy Statement” in our Proxy Statement for the 2025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2026 Annual Meeting” in our Proxy Statement for the 2025 Annual Meeting of Stockholders, to be filed with the SEC.</w:t>
      </w:r>
    </w:p>
    <w:p>
      <w:pPr>
        <w:spacing w:after="0" w:line="173"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Information required by Item 405 of Regulation S-K is incorporated herein by reference to the discussion under the heading “Delinquent Section 16(a) Reports” in our Proxy Statement for the 2025 Annual Meeting of Stockholders, to be filed with the SEC.</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Information required by Item 408(b) of Regulation S-K is incorporated herein by reference to the discussion under the heading “Company Information – Insider Trading Policy” in our Proxy Statement for the 2025 Annual Meeting of Stockholders, to be filed with the SEC. A copy of the insider trading policy is filed as an exhibit to this Annual Report on Form 10-K.</w:t>
      </w:r>
    </w:p>
    <w:p>
      <w:pPr>
        <w:spacing w:after="0" w:line="180"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of the Board of Directors established in accordance with the Exchange Act. Erin Helgren, Fazal Merchant, Christine Pantoya and Robert Prather currently serve as members of the Audit Committee, and Mr. Merchant serves as its chairman. Our Board of Directors has determined that Mr. Merchant is an “audit committee financial expert” as defined by the SEC and is independent, as that term is defined in the Exchange Act and the listing standards of the New York Stock Exchange.</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Risk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We will make any legally required disclosures regarding amendments to, or waivers of, provisions of the Code of Business Conduct and Ethics, Corporate Governance Guidelines or current committee charters on our website. In accordance with the corporate governance listing standards of the New York Stock Exchange, the Company has designated Mr. Michael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183"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discussions under the headings “Director Compensation,” “Compensation Discussion and Analysis,” “Executive Compensation – 2024 Summary Compensation Table,” “2024 Grants of Plan-Based Awards,” “Outstanding Equity Awards at 2024 Fiscal Year End,” “2024 Option Exercises and Stock Vested,” “Company Information – CEO Pay Ratio,” “2024 Pay Versus Performance,” “Other Compensation Information – Pension Benefits,” “Other Compensation Information – Nonqualified Deferred Compensation,” “Other Compensation Information – 2024 Nonqualified Deferred Compensation Table,” “Potential Payments on Termination or Change of Control,” “Company Information – Committees of the Board – Compensation</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Committee Interlocks and Insider Participation,” and “Human Resources Committee Report” in our Proxy Statement for the 2025 Annual Meeting of Stockholders, to be filed with the SEC.</w:t>
      </w:r>
    </w:p>
    <w:p>
      <w:pPr>
        <w:spacing w:after="0" w:line="15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“Stock Ownership” and “Equity Compensation Plan Information” in our Proxy Statement for the 2025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2025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 under the heading “Our Independent Registered Public Accounting Firm” in our Proxy Statement for the 2025 Annual Meeting of Stockholders, to be filed with the SEC.</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7"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accompanying index to financial statements on page 76 of this Annual Report on Form 10-K is provided in response to this Item.</w:t>
      </w:r>
    </w:p>
    <w:p>
      <w:pPr>
        <w:spacing w:after="0" w:line="160"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and are included herein beginning on page 118 of this Annual Report on Form 10-K:</w:t>
      </w:r>
    </w:p>
    <w:p>
      <w:pPr>
        <w:spacing w:after="0" w:line="162"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 – Real Estate and Accumulated Depreciation</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180" w:type="dxa"/>
            <w:vAlign w:val="bottom"/>
            <w:gridSpan w:val="26"/>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8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80" w:type="dxa"/>
            <w:vAlign w:val="bottom"/>
            <w:tcBorders>
              <w:top w:val="single" w:sz="8" w:color="auto"/>
              <w:bottom w:val="single" w:sz="8" w:color="0000EE"/>
            </w:tcBorders>
            <w:gridSpan w:val="21"/>
          </w:tcPr>
          <w:p>
            <w:pPr>
              <w:spacing w:after="0" w:line="169"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Amended and Restated Certificate of Incorporation of the Company (incorporated by reference to Exhibit</w:t>
              </w:r>
            </w:hyperlink>
          </w:p>
        </w:tc>
        <w:tc>
          <w:tcPr>
            <w:tcW w:w="200" w:type="dxa"/>
            <w:vAlign w:val="bottom"/>
            <w:tcBorders>
              <w:top w:val="single" w:sz="8" w:color="auto"/>
            </w:tcBorders>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October 1,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7"/>
                <w:szCs w:val="17"/>
                <w:color w:val="auto"/>
              </w:rPr>
            </w:pPr>
          </w:p>
        </w:tc>
        <w:tc>
          <w:tcPr>
            <w:tcW w:w="7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Second Amended and Restated Bylaws of the Company (incorporated by reference to Exhibit 3.2 to the</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Company’s Annual Report on Form 10-K filed February 24, 2023).</w:t>
              </w:r>
            </w:hyperlink>
          </w:p>
        </w:tc>
        <w:tc>
          <w:tcPr>
            <w:tcW w:w="2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Specimen of Common Stock certificate of the Company (incorporated by reference to Exhibit 4.1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Company’s Current Report on Form 8-K filed September 24, 2012).</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78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Reference is made to Exhibits 3.1 and 3.2 hereof for instruments defining the rights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stockholders of the Company.</w:t>
            </w:r>
          </w:p>
        </w:tc>
        <w:tc>
          <w:tcPr>
            <w:tcW w:w="0" w:type="dxa"/>
            <w:vAlign w:val="bottom"/>
          </w:tcPr>
          <w:p>
            <w:pPr>
              <w:spacing w:after="0"/>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6"/>
                <w:szCs w:val="16"/>
                <w:color w:val="auto"/>
              </w:rPr>
            </w:pPr>
          </w:p>
        </w:tc>
        <w:tc>
          <w:tcPr>
            <w:tcW w:w="7820" w:type="dxa"/>
            <w:vAlign w:val="bottom"/>
            <w:gridSpan w:val="30"/>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Description of Securities (incorporated by reference to Exhibit 4.3 to the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10-K filed February 25, 2020).</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Indenture, dated as of September 19, 2019, among RHP Hotel Properties, LP and RHP Finance Corporation,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as the issuers, Ryman Hospitality Properties, Inc., as a guarantor, each of the subsidiary guarantors named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therein and U.S. Bank National Association, as trustee, relating to the 4.750% Senior Notes due 2027</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Exhibit 4.1 to the Company’s Current Report on Form 8-K filed September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87">
              <w:r>
                <w:rPr>
                  <w:rFonts w:ascii="Times New Roman" w:cs="Times New Roman" w:eastAsia="Times New Roman" w:hAnsi="Times New Roman"/>
                  <w:sz w:val="18"/>
                  <w:szCs w:val="18"/>
                  <w:color w:val="0000EE"/>
                  <w:w w:val="95"/>
                </w:rPr>
                <w:t>19, 2019).</w:t>
              </w:r>
            </w:hyperlink>
          </w:p>
        </w:tc>
        <w:tc>
          <w:tcPr>
            <w:tcW w:w="1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7"/>
                <w:szCs w:val="17"/>
                <w:color w:val="auto"/>
              </w:rPr>
            </w:pPr>
          </w:p>
        </w:tc>
        <w:tc>
          <w:tcPr>
            <w:tcW w:w="7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4.750% Senior Note due 2027 (incorporated by reference to Exhibit 4.2 to the Company’s Current</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Report on Form 8-K filed September 19, 2019).</w:t>
              </w:r>
            </w:hyperlink>
          </w:p>
        </w:tc>
        <w:tc>
          <w:tcPr>
            <w:tcW w:w="43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Supplemental Indenture No. 1, dated as of October 8, 2019, by and among RHP Hotel Properties, LP,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RHP Finance Corporation, as the issuers, Ryman Hospitality Properties, Inc., as a guarantor, each of the</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subsidiary guarantors named therein and U.S. Bank National Association, as trustee, relating to the 4.750%</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Senior Notes due 2027 (incorporated by reference to Exhibit 4.3 to the Company’s Current Report on Form</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8-K filed October 8, 2019).</w:t>
              </w:r>
            </w:hyperlink>
          </w:p>
        </w:tc>
        <w:tc>
          <w:tcPr>
            <w:tcW w:w="5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77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Indenture, dated as of February 17, 2021, among RHP Hotel Properties, LP, and RHP Finance Corporation,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as the issuers, Ryman Hospitality Properties, Inc., as a guarantor, each of the guarantors named therein and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U.S. Bank National Association, as trustee, relating to the 4.500% Senior Notes due 2029 (incorporated by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4.1 to the Company’s Current Report on Form 8-K filed February 17, 2021).</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4.500% Senior Note due 2029 (incorporated by reference to Exhibit A to Exhibit 4.1 to the</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Company’s Current Report on Form 8-K filed February 17, 2021).</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Indenture, dated as of June 22, 2023, among RHP Hotel Properties, LP, RHP Finance Corporation, Ryman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 National Association, as trustee (incorporated by reference to Exhibit 4.1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Current Report on Form 8-K filed June 22, 2023).</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7.250% Senior Note due 2028 (incorporated by reference to Exhibit A to Exhibit 4.1 to the</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Company’s Current Report on Form 8-K filed June 22, 2023).</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Indenture, dated as of March 28, 2024, among RHP Hotel Properties, LP, RHP Finance Corporation, Ryman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8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 National Association, as trustee (incorporated by reference to Exhibit 4.1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Current Report on Form 8-K filed March 28, 2024).</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3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6.500% Senior Note due 2032 (incorporated by reference to Exhibit A of Exhibit 4.1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Company’s Current Report on Form 8-K filed March 28, 2024).</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Borders>
              <w:top w:val="single" w:sz="8" w:color="0000EE"/>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7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Credit Agreement, dated as of May 18, 2023, among Ryman Hospitality Properties, Inc., as parent and as a</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guarantor, RHP Hotel Properties, LP, as borrower, certain other subsidiaries of Ryman Hospitality</w:t>
              </w:r>
            </w:hyperlink>
          </w:p>
        </w:tc>
        <w:tc>
          <w:tcPr>
            <w:tcW w:w="780" w:type="dxa"/>
            <w:vAlign w:val="bottom"/>
            <w:gridSpan w:val="2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Properties, Inc. party thereto, as guarantors, certain subsidiaries of Ryman Hospitality Properties, Inc. party</w:t>
              </w:r>
            </w:hyperlink>
          </w:p>
        </w:tc>
        <w:tc>
          <w:tcPr>
            <w:tcW w:w="1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thereto, as pledgors, the lenders party thereto and Wells Fargo Bank National Association, as administrative</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agent (incorporated by reference to Exhibit 10.1 to the Company’s Current Report on Form 8-K filed May</w:t>
              </w:r>
            </w:hyperlink>
          </w:p>
        </w:tc>
      </w:tr>
      <w:tr>
        <w:trPr>
          <w:trHeight w:val="196"/>
        </w:trPr>
        <w:tc>
          <w:tcPr>
            <w:tcW w:w="10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19, 2023).</w:t>
              </w:r>
            </w:hyperlink>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Incremental Tranche B Term Loan Agreement, dated April 12, 2024, among Ryman Hospitality Properties,</w:t>
              </w:r>
            </w:hyperlink>
          </w:p>
        </w:tc>
      </w:tr>
      <w:tr>
        <w:trPr>
          <w:trHeight w:val="196"/>
        </w:trPr>
        <w:tc>
          <w:tcPr>
            <w:tcW w:w="10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 as parent and as a guarantor, RHP Hotel Properties, LP, as borrower, certain other subsidiaries of</w:t>
              </w:r>
            </w:hyperlink>
          </w:p>
        </w:tc>
        <w:tc>
          <w:tcPr>
            <w:tcW w:w="380" w:type="dxa"/>
            <w:vAlign w:val="bottom"/>
            <w:tcBorders>
              <w:top w:val="single" w:sz="8" w:color="0000EE"/>
            </w:tcBorders>
            <w:gridSpan w:val="1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Ryman Hospitality Properties, Inc. party thereto, as guarantors, certain subsidiaries of Ryman Hospitality</w:t>
              </w:r>
            </w:hyperlink>
          </w:p>
        </w:tc>
        <w:tc>
          <w:tcPr>
            <w:tcW w:w="24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Properties, Inc. party thereto, as pledgors, the lenders party thereto and Wells Fargo Bank National</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Association, as administrative agent (incorporated by reference to Exhibit 10.1 to the Company’s Current</w:t>
              </w:r>
            </w:hyperlink>
          </w:p>
        </w:tc>
        <w:tc>
          <w:tcPr>
            <w:tcW w:w="24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Report on Form 8-K filed April 12, 2024).</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Second Incremental Tranche B Term Loan Agreement, dated December 19, 2024, among Ryman</w:t>
              </w:r>
            </w:hyperlink>
          </w:p>
        </w:tc>
        <w:tc>
          <w:tcPr>
            <w:tcW w:w="840" w:type="dxa"/>
            <w:vAlign w:val="bottom"/>
            <w:gridSpan w:val="2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Hospitality Properties, Inc., as parent and as a guarantor, RHP Hotel Properties, LP, as borrower, certain</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other subsidiaries of Ryman Hospitality Properties, Inc. party thereto, as guarantors, certain subsidiaries of</w:t>
              </w:r>
            </w:hyperlink>
          </w:p>
        </w:tc>
        <w:tc>
          <w:tcPr>
            <w:tcW w:w="16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Ryman Hospitality Properties, Inc. party thereto, as pledgors, the lenders party thereto and Wells Fargo</w:t>
              </w:r>
            </w:hyperlink>
          </w:p>
        </w:tc>
        <w:tc>
          <w:tcPr>
            <w:tcW w:w="36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2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Bank National Association, as administrative agent (incorporated by reference to Exhibit 10.1 to the</w:t>
              </w:r>
            </w:hyperlink>
          </w:p>
        </w:tc>
        <w:tc>
          <w:tcPr>
            <w:tcW w:w="62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Company’s Current Report on Form 8-K filed December 19, 2024).</w:t>
              </w:r>
            </w:hyperlink>
          </w:p>
        </w:tc>
        <w:tc>
          <w:tcPr>
            <w:tcW w:w="2960" w:type="dxa"/>
            <w:vAlign w:val="bottom"/>
            <w:gridSpan w:val="3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Opryland Hotel-Florida Ground Lease, dated as of March 3, 1999, by and between Xentury City</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Development Company, L.L.C., and Opryland Hotel-Florida Limited Partnership (incorporated by reference</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to Exhibit 10.11 to the Company’s Annual Report on Form 10-K for the year ended December 31, 1999).</w:t>
              </w:r>
            </w:hyperlink>
          </w:p>
        </w:tc>
        <w:tc>
          <w:tcPr>
            <w:tcW w:w="260" w:type="dxa"/>
            <w:vAlign w:val="bottom"/>
            <w:gridSpan w:val="1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Grapevine, Texas and Opryland Hotel-Texas Limited Partnership (incorporated by reference to Exhibit</w:t>
              </w:r>
            </w:hyperlink>
          </w:p>
        </w:tc>
        <w:tc>
          <w:tcPr>
            <w:tcW w:w="42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0000EE"/>
                </w:rPr>
                <w:t xml:space="preserve"> to the Company’s Annual Report on Form 10-K for the year ended December 31, 2002).</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4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Sublease Addendum Number 1, dated July 28, 2000, by and between the City of Grapevine, Texas and</w:t>
              </w:r>
            </w:hyperlink>
          </w:p>
        </w:tc>
        <w:tc>
          <w:tcPr>
            <w:tcW w:w="44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Opryland Hotel-Texas Limited Partnership (incorporated by reference to Exhibit 10.22 to the Company’s</w:t>
              </w:r>
            </w:hyperlink>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Annual Report on Form 10-K for the year ended December 31, 2002).</w:t>
              </w:r>
            </w:hyperlink>
          </w:p>
        </w:tc>
        <w:tc>
          <w:tcPr>
            <w:tcW w:w="2500" w:type="dxa"/>
            <w:vAlign w:val="bottom"/>
            <w:tcBorders>
              <w:top w:val="single" w:sz="8" w:color="0000EE"/>
            </w:tcBorders>
            <w:gridSpan w:val="16"/>
          </w:tcPr>
          <w:p>
            <w:pPr>
              <w:spacing w:after="0"/>
              <w:rPr>
                <w:sz w:val="17"/>
                <w:szCs w:val="17"/>
                <w:color w:val="auto"/>
              </w:rPr>
            </w:pPr>
          </w:p>
        </w:tc>
        <w:tc>
          <w:tcPr>
            <w:tcW w:w="280" w:type="dxa"/>
            <w:vAlign w:val="bottom"/>
            <w:gridSpan w:val="1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First Amended and Restated Agreement of Limited Partnership of RHP Hotel Properties, LP, dated</w:t>
              </w:r>
            </w:hyperlink>
          </w:p>
        </w:tc>
        <w:tc>
          <w:tcPr>
            <w:tcW w:w="700" w:type="dxa"/>
            <w:vAlign w:val="bottom"/>
            <w:gridSpan w:val="2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December 31, 2018 (incorporated by reference to Exhibit 10.1 to the Company’s Current Report on Form 8-</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K filed January 7, 2019).</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7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Investment Agreement, dated as of April 4, 2022, by and among the Company, OEG Attractions Holdings,</w:t>
              </w:r>
            </w:hyperlink>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LLC, RHP Hotels, LLC, RHP Hotel Properties, LP, A-OEG Holdings, LLC and Atairos Group, Inc.,</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by reference to Exhibit 10.1 to the Company’s Current Report on Form 8-K filed April 5,</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2022).</w:t>
              </w:r>
            </w:hyperlink>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First Amendment to Investment Agreement, dated as of May 26, 2022, by and among the Company, OEG</w:t>
              </w:r>
            </w:hyperlink>
          </w:p>
        </w:tc>
        <w:tc>
          <w:tcPr>
            <w:tcW w:w="20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Attractions Holdings, LLC, RHP Hotels, LLC, RHP Hotel Properties, LP, A-OEG Holdings, LLC and</w:t>
              </w:r>
            </w:hyperlink>
          </w:p>
        </w:tc>
        <w:tc>
          <w:tcPr>
            <w:tcW w:w="48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Atairos Group, Inc., (incorporated by reference to Exhibit 10.2 to the Company’s Quarterly Report on Form</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10-Q filed August 2, 2022).</w:t>
              </w:r>
            </w:hyperlink>
          </w:p>
        </w:tc>
        <w:tc>
          <w:tcPr>
            <w:tcW w:w="8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Second Amendment to Investment Agreement, dated as of June 15, 2022, by and among the Company,</w:t>
              </w:r>
            </w:hyperlink>
          </w:p>
        </w:tc>
        <w:tc>
          <w:tcPr>
            <w:tcW w:w="42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OEG Attractions Holdings, LLC, RHP Hotels, LLC, RHP Hotel Properties, LP, A-OEG Holdings, LLC and</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Atairos Group, Inc., (incorporated by reference to Exhibit 10.3 to the Company’s Quarterly Report on Form</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10-Q filed August 2, 2022).</w:t>
              </w:r>
            </w:hyperlink>
          </w:p>
        </w:tc>
        <w:tc>
          <w:tcPr>
            <w:tcW w:w="8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8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Second Amended and Restated Limited Liability Company Agreement for OEG Attractions Holdings, LLC,</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dated June 16, 2022 (incorporated by reference to Exhibit 10.1 to the Company’s Current Report on Form 8-</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K filed June 16, 2022).</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18"/>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First Amendment to Second Amended and Restated Limited Liability Company Agreement for OEG</w:t>
              </w:r>
            </w:hyperlink>
          </w:p>
        </w:tc>
      </w:tr>
      <w:tr>
        <w:trPr>
          <w:trHeight w:val="20"/>
        </w:trPr>
        <w:tc>
          <w:tcPr>
            <w:tcW w:w="1080" w:type="dxa"/>
            <w:vAlign w:val="bottom"/>
          </w:tcPr>
          <w:p>
            <w:pPr>
              <w:spacing w:after="0" w:line="20" w:lineRule="exact"/>
              <w:rPr>
                <w:sz w:val="1"/>
                <w:szCs w:val="1"/>
                <w:color w:val="auto"/>
              </w:rPr>
            </w:pPr>
          </w:p>
        </w:tc>
        <w:tc>
          <w:tcPr>
            <w:tcW w:w="5920" w:type="dxa"/>
            <w:vAlign w:val="bottom"/>
            <w:gridSpan w:val="9"/>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18"/>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3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Attractions Holdings, LLC, dated January 12, 2024 (incorporated by reference to Exhibit 10.14 to the</w:t>
              </w:r>
            </w:hyperlink>
          </w:p>
        </w:tc>
        <w:tc>
          <w:tcPr>
            <w:tcW w:w="50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Company’s Annual Report on Form 10-K for the year ended December 31, 2023).</w:t>
              </w:r>
            </w:hyperlink>
          </w:p>
        </w:tc>
      </w:tr>
      <w:tr>
        <w:trPr>
          <w:trHeight w:val="20"/>
        </w:trPr>
        <w:tc>
          <w:tcPr>
            <w:tcW w:w="1080" w:type="dxa"/>
            <w:vAlign w:val="bottom"/>
          </w:tcPr>
          <w:p>
            <w:pPr>
              <w:spacing w:after="0" w:line="20" w:lineRule="exact"/>
              <w:rPr>
                <w:sz w:val="1"/>
                <w:szCs w:val="1"/>
                <w:color w:val="auto"/>
              </w:rPr>
            </w:pPr>
          </w:p>
        </w:tc>
        <w:tc>
          <w:tcPr>
            <w:tcW w:w="5920" w:type="dxa"/>
            <w:vAlign w:val="bottom"/>
            <w:gridSpan w:val="9"/>
            <w:shd w:val="clear" w:color="auto" w:fill="0000EE"/>
          </w:tcPr>
          <w:p>
            <w:pPr>
              <w:spacing w:after="0" w:line="20" w:lineRule="exact"/>
              <w:rPr>
                <w:sz w:val="1"/>
                <w:szCs w:val="1"/>
                <w:color w:val="auto"/>
              </w:rPr>
            </w:pPr>
          </w:p>
        </w:tc>
        <w:tc>
          <w:tcPr>
            <w:tcW w:w="1920" w:type="dxa"/>
            <w:vAlign w:val="bottom"/>
            <w:gridSpan w:val="28"/>
          </w:tcPr>
          <w:p>
            <w:pPr>
              <w:spacing w:after="0" w:line="20" w:lineRule="exact"/>
              <w:rPr>
                <w:sz w:val="1"/>
                <w:szCs w:val="1"/>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8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The Opryland USA Inc. Supplemental Deferred Compensation Plan (incorporated by reference to Exhibit</w:t>
            </w:r>
          </w:p>
        </w:tc>
      </w:tr>
      <w:tr>
        <w:trPr>
          <w:trHeight w:val="234"/>
        </w:trPr>
        <w:tc>
          <w:tcPr>
            <w:tcW w:w="1080" w:type="dxa"/>
            <w:vAlign w:val="bottom"/>
          </w:tcPr>
          <w:p>
            <w:pPr>
              <w:spacing w:after="0"/>
              <w:rPr>
                <w:sz w:val="20"/>
                <w:szCs w:val="20"/>
                <w:color w:val="auto"/>
              </w:rPr>
            </w:pPr>
          </w:p>
        </w:tc>
        <w:tc>
          <w:tcPr>
            <w:tcW w:w="78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10.11 to the former Gaylord Entertainment Company’s Registration Statement on Form S-1).</w:t>
            </w:r>
          </w:p>
        </w:tc>
      </w:tr>
      <w:tr>
        <w:trPr>
          <w:trHeight w:val="648"/>
        </w:trPr>
        <w:tc>
          <w:tcPr>
            <w:tcW w:w="1080" w:type="dxa"/>
            <w:vAlign w:val="bottom"/>
          </w:tcPr>
          <w:p>
            <w:pPr>
              <w:spacing w:after="0"/>
              <w:rPr>
                <w:sz w:val="24"/>
                <w:szCs w:val="24"/>
                <w:color w:val="auto"/>
              </w:rPr>
            </w:pPr>
          </w:p>
        </w:tc>
        <w:tc>
          <w:tcPr>
            <w:tcW w:w="4880" w:type="dxa"/>
            <w:vAlign w:val="bottom"/>
            <w:gridSpan w:val="7"/>
          </w:tcPr>
          <w:p>
            <w:pPr>
              <w:ind w:left="33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6">
        <w:r>
          <w:rPr>
            <w:rFonts w:ascii="Times New Roman" w:cs="Times New Roman" w:eastAsia="Times New Roman" w:hAnsi="Times New Roman"/>
            <w:sz w:val="18"/>
            <w:szCs w:val="18"/>
            <w:u w:val="single" w:color="auto"/>
            <w:color w:val="0000EE"/>
          </w:rPr>
          <w:t>Gaylord Entertainment Company Retirement Benefit Restoration Plan (incorporated by reference to Exhibit</w:t>
        </w:r>
      </w:hyperlink>
    </w:p>
    <w:p>
      <w:pPr>
        <w:spacing w:after="0" w:line="27"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10.19 to the Company’s Annual Report on Form 10-K for the year ended December 31, 2000).</w:t>
        </w:r>
      </w:hyperlink>
    </w:p>
    <w:p>
      <w:pPr>
        <w:spacing w:after="0" w:line="9" w:lineRule="exact"/>
        <w:rPr>
          <w:sz w:val="20"/>
          <w:szCs w:val="20"/>
          <w:color w:val="auto"/>
        </w:rPr>
      </w:pPr>
    </w:p>
    <w:p>
      <w:pPr>
        <w:ind w:left="1120" w:right="4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7">
        <w:r>
          <w:rPr>
            <w:rFonts w:ascii="Times New Roman" w:cs="Times New Roman" w:eastAsia="Times New Roman" w:hAnsi="Times New Roman"/>
            <w:sz w:val="18"/>
            <w:szCs w:val="18"/>
            <w:u w:val="single" w:color="auto"/>
            <w:color w:val="0000EE"/>
          </w:rPr>
          <w:t>Executive Employment Agreement of Colin V. Reed, dated February 25, 2008, with the Company</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(incorporated by reference to Exhibit 10.1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SEC on February 27, 2008).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5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8">
        <w:r>
          <w:rPr>
            <w:rFonts w:ascii="Times New Roman" w:cs="Times New Roman" w:eastAsia="Times New Roman" w:hAnsi="Times New Roman"/>
            <w:sz w:val="18"/>
            <w:szCs w:val="18"/>
            <w:u w:val="single" w:color="auto"/>
            <w:color w:val="0000EE"/>
          </w:rPr>
          <w:t>First Amendment to Executive Employment Agreement of Colin V. Reed, dated December 18, 2008, with</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Company (incorporated by reference to Exhibit 10.3 of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with the SEC on December 23, 2008).</w:t>
        </w:r>
      </w:hyperlink>
    </w:p>
    <w:p>
      <w:pPr>
        <w:spacing w:after="0" w:line="1" w:lineRule="exact"/>
        <w:rPr>
          <w:rFonts w:ascii="Times New Roman" w:cs="Times New Roman" w:eastAsia="Times New Roman" w:hAnsi="Times New Roman"/>
          <w:sz w:val="18"/>
          <w:szCs w:val="18"/>
          <w:u w:val="single" w:color="auto"/>
          <w:color w:val="0000EE"/>
        </w:rPr>
      </w:pPr>
    </w:p>
    <w:p>
      <w:pPr>
        <w:ind w:left="1120" w:right="17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09">
        <w:r>
          <w:rPr>
            <w:rFonts w:ascii="Times New Roman" w:cs="Times New Roman" w:eastAsia="Times New Roman" w:hAnsi="Times New Roman"/>
            <w:sz w:val="18"/>
            <w:szCs w:val="18"/>
            <w:u w:val="single" w:color="auto"/>
            <w:color w:val="0000EE"/>
          </w:rPr>
          <w:t>Second Amendment to Executive Employment Agreement, dated September 3, 2010, by and between the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Company and Colin V. Reed (incorporated by reference to Exhibit 10.2 to the Company’s Quarterly Report</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on Form 10-Q for the quarter ended September 30, 2010).</w:t>
        </w:r>
      </w:hyperlink>
    </w:p>
    <w:p>
      <w:pPr>
        <w:spacing w:after="0" w:line="1" w:lineRule="exact"/>
        <w:rPr>
          <w:rFonts w:ascii="Times New Roman" w:cs="Times New Roman" w:eastAsia="Times New Roman" w:hAnsi="Times New Roman"/>
          <w:sz w:val="18"/>
          <w:szCs w:val="18"/>
          <w:u w:val="single" w:color="auto"/>
          <w:color w:val="0000EE"/>
        </w:rPr>
      </w:pPr>
    </w:p>
    <w:p>
      <w:pPr>
        <w:ind w:left="1120" w:right="31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0">
        <w:r>
          <w:rPr>
            <w:rFonts w:ascii="Times New Roman" w:cs="Times New Roman" w:eastAsia="Times New Roman" w:hAnsi="Times New Roman"/>
            <w:sz w:val="18"/>
            <w:szCs w:val="18"/>
            <w:u w:val="single" w:color="auto"/>
            <w:color w:val="0000EE"/>
          </w:rPr>
          <w:t>Third Amendment to Executive Employment Agreement, dated as of November 5, 2012, by and between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the Company and Colin V. Reed (incorporated by reference to Exhibit 10.5 to the Company’s Quarterly</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Report on Form 10-Q for the quarter ended September 30, 2012).</w:t>
        </w:r>
      </w:hyperlink>
    </w:p>
    <w:p>
      <w:pPr>
        <w:spacing w:after="0" w:line="1" w:lineRule="exact"/>
        <w:rPr>
          <w:rFonts w:ascii="Times New Roman" w:cs="Times New Roman" w:eastAsia="Times New Roman" w:hAnsi="Times New Roman"/>
          <w:sz w:val="18"/>
          <w:szCs w:val="18"/>
          <w:u w:val="single" w:color="auto"/>
          <w:color w:val="0000EE"/>
        </w:rPr>
      </w:pPr>
    </w:p>
    <w:p>
      <w:pPr>
        <w:ind w:left="1120" w:right="15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11">
        <w:r>
          <w:rPr>
            <w:rFonts w:ascii="Times New Roman" w:cs="Times New Roman" w:eastAsia="Times New Roman" w:hAnsi="Times New Roman"/>
            <w:sz w:val="18"/>
            <w:szCs w:val="18"/>
            <w:u w:val="single" w:color="auto"/>
            <w:color w:val="0000EE"/>
          </w:rPr>
          <w:t>Fourth Amendment to Executive Employment Agreement, dated as of December 31, 2020, by and between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the Company and Colin V. Reed (incorporated by reference to Exhibit 10.17 to the Company’s Annual</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Report on Form 10-K for the year ended December 31,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19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2">
        <w:r>
          <w:rPr>
            <w:rFonts w:ascii="Times New Roman" w:cs="Times New Roman" w:eastAsia="Times New Roman" w:hAnsi="Times New Roman"/>
            <w:sz w:val="18"/>
            <w:szCs w:val="18"/>
            <w:u w:val="single" w:color="auto"/>
            <w:color w:val="0000EE"/>
          </w:rPr>
          <w:t>Fifth Amendment to Employment Agreement, dated as of October 11, 2022, by and between the Company</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and Colin V. Reed (incorporated by reference to Exhibit 10.1 to the Company’s Current Report on Form 8-</w:t>
        </w:r>
      </w:hyperlink>
      <w:hyperlink r:id="rId112">
        <w:r>
          <w:rPr>
            <w:rFonts w:ascii="Times New Roman" w:cs="Times New Roman" w:eastAsia="Times New Roman" w:hAnsi="Times New Roman"/>
            <w:sz w:val="18"/>
            <w:szCs w:val="18"/>
            <w:u w:val="single" w:color="auto"/>
            <w:color w:val="0000EE"/>
          </w:rPr>
          <w:t>K filed October 11,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3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13">
        <w:r>
          <w:rPr>
            <w:rFonts w:ascii="Times New Roman" w:cs="Times New Roman" w:eastAsia="Times New Roman" w:hAnsi="Times New Roman"/>
            <w:sz w:val="18"/>
            <w:szCs w:val="18"/>
            <w:u w:val="single" w:color="auto"/>
            <w:color w:val="0000EE"/>
          </w:rPr>
          <w:t>Indemnification Agreement, dated as of April 23, 2001, by and between the Company and Colin V. Reed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(incorporated by reference to Exhibit 10.30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ended December 31, 2001).</w:t>
        </w:r>
      </w:hyperlink>
    </w:p>
    <w:p>
      <w:pPr>
        <w:spacing w:after="0" w:line="1" w:lineRule="exact"/>
        <w:rPr>
          <w:rFonts w:ascii="Times New Roman" w:cs="Times New Roman" w:eastAsia="Times New Roman" w:hAnsi="Times New Roman"/>
          <w:sz w:val="18"/>
          <w:szCs w:val="18"/>
          <w:u w:val="single" w:color="auto"/>
          <w:color w:val="0000EE"/>
        </w:rPr>
      </w:pPr>
    </w:p>
    <w:p>
      <w:pPr>
        <w:ind w:left="1120" w:right="4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14">
        <w:r>
          <w:rPr>
            <w:rFonts w:ascii="Times New Roman" w:cs="Times New Roman" w:eastAsia="Times New Roman" w:hAnsi="Times New Roman"/>
            <w:sz w:val="18"/>
            <w:szCs w:val="18"/>
            <w:u w:val="single" w:color="auto"/>
            <w:color w:val="0000EE"/>
          </w:rPr>
          <w:t>Form of Employment Agreement of Mark Fioravanti, dated February 25, 2008, with the Company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(incorporated by reference to Exhibit 10.3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SEC on February 27, 2008).</w:t>
        </w:r>
      </w:hyperlink>
    </w:p>
    <w:p>
      <w:pPr>
        <w:spacing w:after="0" w:line="1" w:lineRule="exact"/>
        <w:rPr>
          <w:rFonts w:ascii="Times New Roman" w:cs="Times New Roman" w:eastAsia="Times New Roman" w:hAnsi="Times New Roman"/>
          <w:sz w:val="18"/>
          <w:szCs w:val="18"/>
          <w:u w:val="single" w:color="auto"/>
          <w:color w:val="0000EE"/>
        </w:rPr>
      </w:pPr>
    </w:p>
    <w:p>
      <w:pPr>
        <w:ind w:left="1120" w:right="379" w:hanging="1079"/>
        <w:spacing w:after="0" w:line="265"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5">
        <w:r>
          <w:rPr>
            <w:rFonts w:ascii="Times New Roman" w:cs="Times New Roman" w:eastAsia="Times New Roman" w:hAnsi="Times New Roman"/>
            <w:sz w:val="17"/>
            <w:szCs w:val="17"/>
            <w:u w:val="single" w:color="auto"/>
            <w:color w:val="0000EE"/>
          </w:rPr>
          <w:t>Form of Amendment No. 1 to Employment Agreement of Mark Fioravanti (incorporated by reference to</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Exhibit 10.38 to the Company’s Annual Report on Form 10-K for the year ended December 31, 2009).</w:t>
        </w:r>
      </w:hyperlink>
    </w:p>
    <w:p>
      <w:pPr>
        <w:jc w:val="both"/>
        <w:ind w:left="1120" w:right="11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6">
        <w:r>
          <w:rPr>
            <w:rFonts w:ascii="Times New Roman" w:cs="Times New Roman" w:eastAsia="Times New Roman" w:hAnsi="Times New Roman"/>
            <w:sz w:val="18"/>
            <w:szCs w:val="18"/>
            <w:u w:val="single" w:color="auto"/>
            <w:color w:val="0000EE"/>
          </w:rPr>
          <w:t>Amendment No. 2 to Employment Agreement, dated September 3, 2010, by and between the Company and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Mark Fioravanti (incorporated by reference to Exhibit 10.5 to the Company’s Quarterly Report on Form 10-</w:t>
        </w:r>
      </w:hyperlink>
      <w:hyperlink r:id="rId116">
        <w:r>
          <w:rPr>
            <w:rFonts w:ascii="Times New Roman" w:cs="Times New Roman" w:eastAsia="Times New Roman" w:hAnsi="Times New Roman"/>
            <w:sz w:val="18"/>
            <w:szCs w:val="18"/>
            <w:u w:val="single" w:color="auto"/>
            <w:color w:val="0000EE"/>
          </w:rPr>
          <w:t>Q for the quarter ended September 30, 2010).</w:t>
        </w:r>
      </w:hyperlink>
    </w:p>
    <w:p>
      <w:pPr>
        <w:spacing w:after="0" w:line="1" w:lineRule="exact"/>
        <w:rPr>
          <w:rFonts w:ascii="Times New Roman" w:cs="Times New Roman" w:eastAsia="Times New Roman" w:hAnsi="Times New Roman"/>
          <w:sz w:val="18"/>
          <w:szCs w:val="18"/>
          <w:u w:val="single" w:color="auto"/>
          <w:color w:val="0000EE"/>
        </w:rPr>
      </w:pPr>
    </w:p>
    <w:p>
      <w:pPr>
        <w:ind w:left="1120" w:right="9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7">
        <w:r>
          <w:rPr>
            <w:rFonts w:ascii="Times New Roman" w:cs="Times New Roman" w:eastAsia="Times New Roman" w:hAnsi="Times New Roman"/>
            <w:sz w:val="18"/>
            <w:szCs w:val="18"/>
            <w:u w:val="single" w:color="auto"/>
            <w:color w:val="0000EE"/>
          </w:rPr>
          <w:t>Third Amendment to Executive Employment Agreement dated as of November 5, 2012, by and between the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Company and Mark Fioravanti (incorporated by reference to Exhibit 10.6 to the Company’s Quarterly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Report on Form 10-Q for the quarter ended September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8">
        <w:r>
          <w:rPr>
            <w:rFonts w:ascii="Times New Roman" w:cs="Times New Roman" w:eastAsia="Times New Roman" w:hAnsi="Times New Roman"/>
            <w:sz w:val="18"/>
            <w:szCs w:val="18"/>
            <w:u w:val="single" w:color="auto"/>
            <w:color w:val="0000EE"/>
          </w:rPr>
          <w:t>Fourth Amendment to Employment Agreement dated as of March 1, 2022, by and between the Company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and Mark Fioravanti (incorporated by reference to Exhibit 10.1 to the Company’s Current Report on Form</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8-K filed on March 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9">
        <w:r>
          <w:rPr>
            <w:rFonts w:ascii="Times New Roman" w:cs="Times New Roman" w:eastAsia="Times New Roman" w:hAnsi="Times New Roman"/>
            <w:sz w:val="18"/>
            <w:szCs w:val="18"/>
            <w:u w:val="single" w:color="auto"/>
            <w:color w:val="0000EE"/>
          </w:rPr>
          <w:t>Fifth Amendment to Employment Agreement dated as of October 11, 2022, by and between the Company</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and Mark Fioravanti (incorporated by reference to Exhibit 10.2 to the Company’s Current Report on Form</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8-K filed on October 11, 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20">
        <w:r>
          <w:rPr>
            <w:rFonts w:ascii="Times New Roman" w:cs="Times New Roman" w:eastAsia="Times New Roman" w:hAnsi="Times New Roman"/>
            <w:sz w:val="18"/>
            <w:szCs w:val="18"/>
            <w:u w:val="single" w:color="auto"/>
            <w:color w:val="0000EE"/>
          </w:rPr>
          <w:t>Severance Agreement dated as of February 26, 2018 between the Company and Patrick Chaffin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(incorporated by reference to Exhibit 10.21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ended December 31,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7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21">
        <w:r>
          <w:rPr>
            <w:rFonts w:ascii="Times New Roman" w:cs="Times New Roman" w:eastAsia="Times New Roman" w:hAnsi="Times New Roman"/>
            <w:sz w:val="18"/>
            <w:szCs w:val="18"/>
            <w:u w:val="single" w:color="auto"/>
            <w:color w:val="0000EE"/>
          </w:rPr>
          <w:t>Severance Agreement dated as of February 26, 2018 between the Company and Scott Lynn (incorporated by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reference to Exhibit 10.22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2017).</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79"/>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22">
        <w:r>
          <w:rPr>
            <w:rFonts w:ascii="Times New Roman" w:cs="Times New Roman" w:eastAsia="Times New Roman" w:hAnsi="Times New Roman"/>
            <w:sz w:val="18"/>
            <w:szCs w:val="18"/>
            <w:u w:val="single" w:color="auto"/>
            <w:color w:val="0000EE"/>
          </w:rPr>
          <w:t>Severance Agreement dated as of March 1, 2022, by and between the Company and Jennifer Hutcheson</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(incorporated by reference to Exhibit 10.2 to the Company’s Current Report on Form 8-K filed on March 1,</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79"/>
        <w:spacing w:after="0" w:line="255"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3">
        <w:r>
          <w:rPr>
            <w:rFonts w:ascii="Times New Roman" w:cs="Times New Roman" w:eastAsia="Times New Roman" w:hAnsi="Times New Roman"/>
            <w:sz w:val="18"/>
            <w:szCs w:val="18"/>
            <w:u w:val="single" w:color="auto"/>
            <w:color w:val="0000EE"/>
          </w:rPr>
          <w:t>Form of Indemnification Agreement between the Company and each of its non-employee directors</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(incorporated by reference to Exhibit 10.36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ended December 31, 2002).</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Summary of Director and Executive Officer Compensation.</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Ryman Hospitality Properties, Inc. 2016 Omnibus Incentive Plan (incorporated by reference to Exhibit 10.1</w:t>
              </w:r>
            </w:hyperlink>
          </w:p>
        </w:tc>
      </w:tr>
      <w:tr>
        <w:trPr>
          <w:trHeight w:val="196"/>
        </w:trPr>
        <w:tc>
          <w:tcPr>
            <w:tcW w:w="108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to the Company’s Current Report on Form 8-K filed with the SEC on May 6, 2016).</w:t>
              </w:r>
            </w:hyperlink>
          </w:p>
        </w:tc>
        <w:tc>
          <w:tcPr>
            <w:tcW w:w="17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Amendment dated February 10, 2017 to Ryman Hospitality Properties, Inc. 2016 Omnibus Incentive Plan</w:t>
              </w:r>
            </w:hyperlink>
          </w:p>
        </w:tc>
        <w:tc>
          <w:tcPr>
            <w:tcW w:w="1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10.43 to the Company’s Annual Report on Form 10-K for the year</w:t>
              </w:r>
            </w:hyperlink>
          </w:p>
        </w:tc>
        <w:tc>
          <w:tcPr>
            <w:tcW w:w="30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ended December 31, 2016).</w:t>
              </w:r>
            </w:hyperlink>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Restricted Stock Unit Award Agreement granted pursuant to the Company’s 2016 Omnibus</w:t>
              </w:r>
            </w:hyperlink>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Incentive Plan (incorporated by reference to Exhibit 10.1 to the Company’s Quarterly Report on Form 10-Q</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 the quarter ended June 30, 2016).</w:t>
              </w:r>
            </w:hyperlink>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7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of Restricted Stock Unit Award Agreement with respect to time-based vesting restricted stock units</w:t>
              </w:r>
            </w:hyperlink>
          </w:p>
        </w:tc>
        <w:tc>
          <w:tcPr>
            <w:tcW w:w="2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granted pursuant to the Company’s 2016 Omnibus Incentive Plan (incorporated by reference to Exhibit 10.2</w:t>
              </w:r>
            </w:hyperlink>
          </w:p>
        </w:tc>
      </w:tr>
      <w:tr>
        <w:trPr>
          <w:trHeight w:val="196"/>
        </w:trPr>
        <w:tc>
          <w:tcPr>
            <w:tcW w:w="1080" w:type="dxa"/>
            <w:vAlign w:val="bottom"/>
          </w:tcPr>
          <w:p>
            <w:pPr>
              <w:spacing w:after="0"/>
              <w:rPr>
                <w:sz w:val="17"/>
                <w:szCs w:val="17"/>
                <w:color w:val="auto"/>
              </w:rPr>
            </w:pPr>
          </w:p>
        </w:tc>
        <w:tc>
          <w:tcPr>
            <w:tcW w:w="7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to the Company’s Quarterly Report on Form 10-Q for the quarter ended June 30, 2016).</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Ryman Hospitality Properties, Inc. 2024 Omnibus Incentive Plan (incorporated by reference to Exhibit 10.1</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to the Company’s Current Report on Form 8-K filed May 9, 2024).</w:t>
              </w:r>
            </w:hyperlink>
          </w:p>
        </w:tc>
        <w:tc>
          <w:tcPr>
            <w:tcW w:w="4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7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Performance-Based Restricted Stock Unit Award Agreement granted pursuant to the Company’s</w:t>
              </w:r>
            </w:hyperlink>
          </w:p>
        </w:tc>
        <w:tc>
          <w:tcPr>
            <w:tcW w:w="2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2024 Omnibus Incentive Plan (incorporated by reference to Exhibit 10.3 to the Company’s Quarterly Report</w:t>
              </w:r>
            </w:hyperlink>
          </w:p>
        </w:tc>
      </w:tr>
      <w:tr>
        <w:trPr>
          <w:trHeight w:val="196"/>
        </w:trPr>
        <w:tc>
          <w:tcPr>
            <w:tcW w:w="108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on Form 10-Q for the quarter ended June 30, 2024).</w:t>
              </w:r>
            </w:hyperlink>
          </w:p>
        </w:tc>
        <w:tc>
          <w:tcPr>
            <w:tcW w:w="4060" w:type="dxa"/>
            <w:vAlign w:val="bottom"/>
            <w:gridSpan w:val="1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Time-Based Restricted Stock Unit Award Agreement granted pursuant to the Company’s 2024</w:t>
              </w:r>
            </w:hyperlink>
          </w:p>
        </w:tc>
        <w:tc>
          <w:tcPr>
            <w:tcW w:w="36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gridSpan w:val="2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Omnibus Incentive Plan (incorporated by reference to Exhibit 10.4 to the Company’s Quarterly Report on</w:t>
              </w:r>
            </w:hyperlink>
          </w:p>
        </w:tc>
      </w:tr>
      <w:tr>
        <w:trPr>
          <w:trHeight w:val="196"/>
        </w:trPr>
        <w:tc>
          <w:tcPr>
            <w:tcW w:w="10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10-Q for the quarter ended June 30, 2024).</w:t>
              </w:r>
            </w:hyperlink>
          </w:p>
        </w:tc>
        <w:tc>
          <w:tcPr>
            <w:tcW w:w="4100" w:type="dxa"/>
            <w:vAlign w:val="bottom"/>
            <w:tcBorders>
              <w:top w:val="single" w:sz="8" w:color="0000EE"/>
            </w:tcBorders>
            <w:gridSpan w:val="11"/>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78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Statement of Company Policy Regarding Insider Trading and Company Policy Regarding Special Trading</w:t>
            </w:r>
          </w:p>
        </w:tc>
      </w:tr>
      <w:tr>
        <w:trPr>
          <w:trHeight w:val="196"/>
        </w:trPr>
        <w:tc>
          <w:tcPr>
            <w:tcW w:w="108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Procedures.</w:t>
            </w:r>
          </w:p>
        </w:tc>
        <w:tc>
          <w:tcPr>
            <w:tcW w:w="6780" w:type="dxa"/>
            <w:vAlign w:val="bottom"/>
            <w:tcBorders>
              <w:top w:val="single" w:sz="8" w:color="0000EE"/>
            </w:tcBorders>
            <w:gridSpan w:val="1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78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Company.</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120" w:right="679" w:hanging="1073"/>
        <w:spacing w:after="0" w:line="261" w:lineRule="auto"/>
        <w:tabs>
          <w:tab w:leader="none" w:pos="1120" w:val="left"/>
        </w:tabs>
        <w:numPr>
          <w:ilvl w:val="0"/>
          <w:numId w:val="42"/>
        </w:numPr>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List of Parent and Subsidiary Guarantors (incorporated by reference to Exhibit 22 of the Company’s</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Quarterly Report on Form 10-Q for the quarter ended June 30, 2024).</w:t>
        </w:r>
      </w:hyperlink>
    </w:p>
    <w:tbl>
      <w:tblPr>
        <w:tblLayout w:type="fixed"/>
        <w:tblInd w:w="40" w:type="dxa"/>
        <w:tblCellMar>
          <w:top w:w="0" w:type="dxa"/>
          <w:left w:w="0" w:type="dxa"/>
          <w:bottom w:w="0" w:type="dxa"/>
          <w:right w:w="0" w:type="dxa"/>
        </w:tblCellMar>
      </w:tblPr>
      <w:tr>
        <w:trPr>
          <w:trHeight w:val="176"/>
        </w:trPr>
        <w:tc>
          <w:tcPr>
            <w:tcW w:w="1080" w:type="dxa"/>
            <w:vAlign w:val="bottom"/>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74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74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Rule 13a - 14(a) and Rule 15d -</w:t>
            </w:r>
          </w:p>
        </w:tc>
      </w:tr>
      <w:tr>
        <w:trPr>
          <w:trHeight w:val="196"/>
        </w:trPr>
        <w:tc>
          <w:tcPr>
            <w:tcW w:w="10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14(a).</w:t>
            </w:r>
          </w:p>
        </w:tc>
        <w:tc>
          <w:tcPr>
            <w:tcW w:w="7000" w:type="dxa"/>
            <w:vAlign w:val="bottom"/>
            <w:gridSpan w:val="6"/>
          </w:tcPr>
          <w:p>
            <w:pPr>
              <w:spacing w:after="0"/>
              <w:rPr>
                <w:sz w:val="17"/>
                <w:szCs w:val="17"/>
                <w:color w:val="auto"/>
              </w:rPr>
            </w:pPr>
          </w:p>
        </w:tc>
      </w:tr>
      <w:tr>
        <w:trPr>
          <w:trHeight w:val="196"/>
        </w:trPr>
        <w:tc>
          <w:tcPr>
            <w:tcW w:w="10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Rule 13a - 14(a) and</w:t>
            </w:r>
          </w:p>
        </w:tc>
      </w:tr>
      <w:tr>
        <w:trPr>
          <w:trHeight w:val="196"/>
        </w:trPr>
        <w:tc>
          <w:tcPr>
            <w:tcW w:w="10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 - 14(a).</w:t>
            </w:r>
          </w:p>
        </w:tc>
        <w:tc>
          <w:tcPr>
            <w:tcW w:w="5340" w:type="dxa"/>
            <w:vAlign w:val="bottom"/>
            <w:tcBorders>
              <w:top w:val="single" w:sz="8" w:color="0000EE"/>
            </w:tcBorders>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0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5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w:t>
            </w:r>
          </w:p>
        </w:tc>
        <w:tc>
          <w:tcPr>
            <w:tcW w:w="1900" w:type="dxa"/>
            <w:vAlign w:val="bottom"/>
            <w:gridSpan w:val="2"/>
          </w:tcPr>
          <w:p>
            <w:pPr>
              <w:spacing w:after="0"/>
              <w:rPr>
                <w:sz w:val="17"/>
                <w:szCs w:val="17"/>
                <w:color w:val="auto"/>
              </w:rPr>
            </w:pPr>
          </w:p>
        </w:tc>
      </w:tr>
      <w:tr>
        <w:trPr>
          <w:trHeight w:val="196"/>
        </w:trPr>
        <w:tc>
          <w:tcPr>
            <w:tcW w:w="10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7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w:t>
            </w:r>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9" w:lineRule="exact"/>
        <w:rPr>
          <w:rFonts w:ascii="Times New Roman" w:cs="Times New Roman" w:eastAsia="Times New Roman" w:hAnsi="Times New Roman"/>
          <w:sz w:val="18"/>
          <w:szCs w:val="18"/>
          <w:color w:val="auto"/>
        </w:rPr>
      </w:pPr>
    </w:p>
    <w:p>
      <w:pPr>
        <w:ind w:left="1120" w:hanging="1073"/>
        <w:spacing w:after="0"/>
        <w:tabs>
          <w:tab w:leader="none" w:pos="1120" w:val="left"/>
        </w:tabs>
        <w:numPr>
          <w:ilvl w:val="0"/>
          <w:numId w:val="43"/>
        </w:numPr>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Ryman Hospitality Properties, Inc. NYSE Executive Compensation Recoupment Policy (incorporated by</w:t>
        </w:r>
      </w:hyperlink>
    </w:p>
    <w:tbl>
      <w:tblPr>
        <w:tblLayout w:type="fixed"/>
        <w:tblInd w:w="4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7620" w:type="dxa"/>
            <w:vAlign w:val="bottom"/>
            <w:gridSpan w:val="4"/>
          </w:tcPr>
          <w:p>
            <w:pPr>
              <w:spacing w:after="0" w:line="203"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97 to the Company’s Annual Report on Form 10-K for the year ended December 31,</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2023).</w:t>
              </w:r>
            </w:hyperlink>
          </w:p>
        </w:tc>
        <w:tc>
          <w:tcPr>
            <w:tcW w:w="68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4"/>
              </w:rPr>
              <w:t>101*</w:t>
            </w: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Property, Inc.’s Annual Form on Form 10-K for the year</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December 31, 2024, formatted in Inline XBRL (eXtensible Business Reporting Language): (i)</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Consolidated Balance Sheets at December 31, 2024 and 2023, (ii) Consolidated Statements of Operations</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(iii) Consolidated Statements of Comprehensive</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for the years ended December 31, 2024, 2023 and 2022, (iv) Consolidated Statements of Cash</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Flows for the years ended December 31, 2024, 2023 and 2022, (v) Consolidated Statement of Changes in</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 (Deficit) and Noncontrolling Interest for the years ended December 31, 2024, 2023</w:t>
            </w:r>
          </w:p>
        </w:tc>
      </w:tr>
      <w:tr>
        <w:trPr>
          <w:trHeight w:val="216"/>
        </w:trPr>
        <w:tc>
          <w:tcPr>
            <w:tcW w:w="108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2022, and (vi) Notes to Consolidated Financial Statements.</w:t>
            </w:r>
          </w:p>
        </w:tc>
      </w:tr>
      <w:tr>
        <w:trPr>
          <w:trHeight w:val="234"/>
        </w:trPr>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4"/>
              </w:rPr>
              <w:t>104*</w:t>
            </w: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10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79" w:lineRule="exact"/>
        <w:rPr>
          <w:sz w:val="20"/>
          <w:szCs w:val="20"/>
          <w:color w:val="auto"/>
        </w:rPr>
      </w:pPr>
    </w:p>
    <w:p>
      <w:pPr>
        <w:ind w:left="360" w:hanging="310"/>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right="159" w:hanging="330"/>
        <w:spacing w:after="0" w:line="265" w:lineRule="auto"/>
        <w:tabs>
          <w:tab w:leader="none" w:pos="36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directed by Item 601(a)(5) or 601(b)(2) of Regulation S-K, as applicable, certain schedules and exhibits to this exhibit are omitted from this filing. The Company agrees to furnish supplementally a copy of any omitted schedule or</w:t>
      </w:r>
    </w:p>
    <w:p>
      <w:pPr>
        <w:ind w:left="380"/>
        <w:spacing w:after="0"/>
        <w:rPr>
          <w:sz w:val="20"/>
          <w:szCs w:val="20"/>
          <w:color w:val="auto"/>
        </w:rPr>
      </w:pPr>
      <w:r>
        <w:rPr>
          <w:rFonts w:ascii="Times New Roman" w:cs="Times New Roman" w:eastAsia="Times New Roman" w:hAnsi="Times New Roman"/>
          <w:sz w:val="18"/>
          <w:szCs w:val="18"/>
          <w:color w:val="auto"/>
        </w:rPr>
        <w:t>exhibit to the SEC upon request.</w:t>
      </w:r>
    </w:p>
    <w:p>
      <w:pPr>
        <w:spacing w:after="0" w:line="9" w:lineRule="exact"/>
        <w:rPr>
          <w:sz w:val="20"/>
          <w:szCs w:val="20"/>
          <w:color w:val="auto"/>
        </w:rPr>
      </w:pPr>
    </w:p>
    <w:p>
      <w:pPr>
        <w:ind w:left="360" w:hanging="310"/>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64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20"/>
        </w:trPr>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76"/>
        </w:trPr>
        <w:tc>
          <w:tcPr>
            <w:tcW w:w="3100" w:type="dxa"/>
            <w:vAlign w:val="bottom"/>
          </w:tcPr>
          <w:p>
            <w:pPr>
              <w:spacing w:after="0"/>
              <w:rPr>
                <w:sz w:val="15"/>
                <w:szCs w:val="15"/>
                <w:color w:val="auto"/>
              </w:rPr>
            </w:pPr>
          </w:p>
        </w:tc>
        <w:tc>
          <w:tcPr>
            <w:tcW w:w="5800" w:type="dxa"/>
            <w:vAlign w:val="bottom"/>
            <w:gridSpan w:val="2"/>
          </w:tcPr>
          <w:p>
            <w:pPr>
              <w:ind w:left="1360"/>
              <w:spacing w:after="0" w:line="176"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6"/>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3860" w:type="dxa"/>
            <w:vAlign w:val="bottom"/>
            <w:tcBorders>
              <w:bottom w:val="single" w:sz="8" w:color="auto"/>
            </w:tcBorders>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V. Reed</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Colin V. Reed</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Rachna Bhasin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Rachna Bhasin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Alvin Bowles,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Alvin Bowles,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E. Haslam</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E. Haslam</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Erin Mulligan Helgren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Erin Mulligan Helgren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Fazal F. Merchant</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Fazal F. Merchant</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Pantoya</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Pantoya</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Prather,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S. Prather,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I. Roth</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I. Roth</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Fioravanti</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Fioravanti</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68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gridSpan w:val="2"/>
          </w:tcPr>
          <w:p>
            <w:pPr>
              <w:jc w:val="right"/>
              <w:ind w:right="2428"/>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rPr>
              <w:t>Ryman Hospitality Properties, Inc. and Subsidiaries Audited Consolidated Financial Statements as of December 31, 2024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8580" w:type="dxa"/>
            <w:vAlign w:val="bottom"/>
            <w:gridSpan w:val="10"/>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5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and 2023 and for Each of the Three Years in the Period Ended December 31, 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260" w:type="dxa"/>
            <w:vAlign w:val="bottom"/>
            <w:gridSpan w:val="9"/>
          </w:tcPr>
          <w:p>
            <w:pPr>
              <w:spacing w:after="0" w:line="176"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0042)</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4460" w:type="dxa"/>
            <w:vAlign w:val="bottom"/>
            <w:gridSpan w:val="6"/>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Balance Sheets as of December 31, 2024 and 2023</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2024, 2023, and 2022</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706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Years ended December 31, 2024, 2023, and 2022</w:t>
            </w:r>
          </w:p>
        </w:tc>
        <w:tc>
          <w:tcPr>
            <w:tcW w:w="1200" w:type="dxa"/>
            <w:vAlign w:val="bottom"/>
            <w:gridSpan w:val="2"/>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8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2024, 2023, and 2022</w:t>
            </w:r>
          </w:p>
        </w:tc>
        <w:tc>
          <w:tcPr>
            <w:tcW w:w="1980" w:type="dxa"/>
            <w:vAlign w:val="bottom"/>
            <w:gridSpan w:val="3"/>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Equity (Deficit) and Noncontrolling Interest for the Years ended December 31, 2024, 2023, and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6"/>
                <w:szCs w:val="16"/>
                <w:color w:val="0000EE"/>
                <w:w w:val="93"/>
              </w:rPr>
              <w:t>2022</w:t>
            </w: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420" w:type="dxa"/>
            <w:vAlign w:val="bottom"/>
            <w:gridSpan w:val="7"/>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Ryman Hospitality Properties, Inc. and subsidiaries (the Company) as of December 31, 2024 and 2023, the related consolidated statements of operations, comprehensive income, equity (deficit) and noncontrolling interest and cash flows for each of the three years in the period ended December 31, 2024,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2" w:lineRule="exact"/>
        <w:rPr>
          <w:sz w:val="20"/>
          <w:szCs w:val="20"/>
          <w:color w:val="auto"/>
        </w:rPr>
      </w:pPr>
    </w:p>
    <w:p>
      <w:pPr>
        <w:jc w:val="both"/>
        <w:ind w:left="60" w:right="5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issued by the Committee of Sponsoring Organizations of the Treadway Commission (2013 framework), and our report dated February 21, 2025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National bonds credit loss reserve</w:t>
      </w:r>
    </w:p>
    <w:p>
      <w:pPr>
        <w:spacing w:after="0" w:line="225"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2024, the Company holds within Notes Receivable two issuances of</w:t>
      </w:r>
    </w:p>
    <w:p>
      <w:pPr>
        <w:spacing w:after="0" w:line="31" w:lineRule="exact"/>
        <w:rPr>
          <w:sz w:val="20"/>
          <w:szCs w:val="20"/>
          <w:color w:val="auto"/>
        </w:rPr>
      </w:pPr>
    </w:p>
    <w:p>
      <w:pPr>
        <w:ind w:left="1860" w:right="79" w:hanging="1799"/>
        <w:spacing w:after="0" w:line="251"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Matter</w:t>
      </w:r>
      <w:r>
        <w:rPr>
          <w:sz w:val="20"/>
          <w:szCs w:val="20"/>
          <w:color w:val="auto"/>
        </w:rPr>
        <w:tab/>
      </w:r>
      <w:r>
        <w:rPr>
          <w:rFonts w:ascii="Times New Roman" w:cs="Times New Roman" w:eastAsia="Times New Roman" w:hAnsi="Times New Roman"/>
          <w:sz w:val="18"/>
          <w:szCs w:val="18"/>
          <w:color w:val="auto"/>
        </w:rPr>
        <w:t>governmental bonds (the Bonds) received in connection with the development of the Gaylord National Resort &amp; Convention Center which are reported at a total carrying value of $57.8 million, net of a credit loss reserve of $38.0 million. At December 31, 2024,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Notes 1 and 3 to the consolidated financial statements.</w:t>
      </w:r>
    </w:p>
    <w:p>
      <w:pPr>
        <w:spacing w:after="0" w:line="194" w:lineRule="exact"/>
        <w:rPr>
          <w:sz w:val="20"/>
          <w:szCs w:val="20"/>
          <w:color w:val="auto"/>
        </w:rPr>
      </w:pPr>
    </w:p>
    <w:p>
      <w:pPr>
        <w:ind w:left="1860" w:right="179"/>
        <w:spacing w:after="0" w:line="255" w:lineRule="auto"/>
        <w:rPr>
          <w:sz w:val="20"/>
          <w:szCs w:val="20"/>
          <w:color w:val="auto"/>
        </w:rPr>
      </w:pPr>
      <w:r>
        <w:rPr>
          <w:rFonts w:ascii="Times New Roman" w:cs="Times New Roman" w:eastAsia="Times New Roman" w:hAnsi="Times New Roman"/>
          <w:sz w:val="18"/>
          <w:szCs w:val="18"/>
          <w:color w:val="auto"/>
        </w:rPr>
        <w:t>Auditing management’s assessment of the valuation of the credit loss reserve for the Bonds was complex and judgmental due to the significant estimation required in projecting tax revenues, specifically hotel occupancy taxes and special hotel occupancy taxes generated from the Gaylord National Resort &amp; Convention Center which provide revenues to fund the Bonds. In particular, the estimate of credit losses is impacted by the projections of hotel taxes (which are based on estimated hotel revenues), which are judgmental as the Bonds and related projected cash flows continue for an extended period of time through 2037.</w:t>
      </w:r>
    </w:p>
    <w:p>
      <w:pPr>
        <w:spacing w:after="0" w:line="185" w:lineRule="exact"/>
        <w:rPr>
          <w:sz w:val="20"/>
          <w:szCs w:val="20"/>
          <w:color w:val="auto"/>
        </w:rPr>
      </w:pPr>
    </w:p>
    <w:p>
      <w:pPr>
        <w:ind w:left="60" w:right="479"/>
        <w:spacing w:after="0" w:line="263" w:lineRule="auto"/>
        <w:rPr>
          <w:sz w:val="20"/>
          <w:szCs w:val="20"/>
          <w:color w:val="auto"/>
        </w:rPr>
      </w:pPr>
      <w:r>
        <w:rPr>
          <w:rFonts w:ascii="Times New Roman" w:cs="Times New Roman" w:eastAsia="Times New Roman" w:hAnsi="Times New Roman"/>
          <w:sz w:val="18"/>
          <w:szCs w:val="18"/>
          <w:b w:val="1"/>
          <w:bCs w:val="1"/>
          <w:color w:val="auto"/>
        </w:rPr>
        <w:t>How We Addressed the</w:t>
      </w:r>
      <w:r>
        <w:rPr>
          <w:rFonts w:ascii="Times New Roman" w:cs="Times New Roman" w:eastAsia="Times New Roman" w:hAnsi="Times New Roman"/>
          <w:sz w:val="18"/>
          <w:szCs w:val="18"/>
          <w:color w:val="auto"/>
        </w:rPr>
        <w:t>We obtained an understanding, evaluated the design and tested the operating effectiveness of</w:t>
      </w:r>
      <w:r>
        <w:rPr>
          <w:rFonts w:ascii="Times New Roman" w:cs="Times New Roman" w:eastAsia="Times New Roman" w:hAnsi="Times New Roman"/>
          <w:sz w:val="18"/>
          <w:szCs w:val="18"/>
          <w:b w:val="1"/>
          <w:bCs w:val="1"/>
          <w:color w:val="auto"/>
        </w:rPr>
        <w:t xml:space="preserve"> Matter in Our Audit </w:t>
      </w:r>
      <w:r>
        <w:rPr>
          <w:rFonts w:ascii="Times New Roman" w:cs="Times New Roman" w:eastAsia="Times New Roman" w:hAnsi="Times New Roman"/>
          <w:sz w:val="18"/>
          <w:szCs w:val="18"/>
          <w:color w:val="auto"/>
        </w:rPr>
        <w:t>controls over the Company’s estimation of the credit loss reserve for the Bonds, including</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controls over management’s review of the projections described above.</w:t>
      </w:r>
    </w:p>
    <w:p>
      <w:pPr>
        <w:spacing w:after="0" w:line="207" w:lineRule="exact"/>
        <w:rPr>
          <w:sz w:val="20"/>
          <w:szCs w:val="20"/>
          <w:color w:val="auto"/>
        </w:rPr>
      </w:pPr>
    </w:p>
    <w:p>
      <w:pPr>
        <w:ind w:left="1860" w:right="219"/>
        <w:spacing w:after="0" w:line="255" w:lineRule="auto"/>
        <w:rPr>
          <w:sz w:val="20"/>
          <w:szCs w:val="20"/>
          <w:color w:val="auto"/>
        </w:rPr>
      </w:pPr>
      <w:r>
        <w:rPr>
          <w:rFonts w:ascii="Times New Roman" w:cs="Times New Roman" w:eastAsia="Times New Roman" w:hAnsi="Times New Roman"/>
          <w:sz w:val="18"/>
          <w:szCs w:val="18"/>
          <w:color w:val="auto"/>
        </w:rPr>
        <w:t>To test the Company’s determination of the credit loss reserve as of December 31, 2024,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credit loss analysis.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1439" w:firstLine="1373"/>
        <w:spacing w:after="0" w:line="41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Ryman Hospitality Properties, Inc. Opinion on Internal Control Over Financial Reporting</w:t>
      </w:r>
    </w:p>
    <w:p>
      <w:pPr>
        <w:spacing w:after="0" w:line="3" w:lineRule="exact"/>
        <w:rPr>
          <w:sz w:val="20"/>
          <w:szCs w:val="20"/>
          <w:color w:val="auto"/>
        </w:rPr>
      </w:pPr>
    </w:p>
    <w:p>
      <w:pPr>
        <w:ind w:left="60" w:right="239"/>
        <w:spacing w:after="0" w:line="239" w:lineRule="auto"/>
        <w:rPr>
          <w:sz w:val="20"/>
          <w:szCs w:val="20"/>
          <w:color w:val="auto"/>
        </w:rPr>
      </w:pPr>
      <w:r>
        <w:rPr>
          <w:rFonts w:ascii="Times New Roman" w:cs="Times New Roman" w:eastAsia="Times New Roman" w:hAnsi="Times New Roman"/>
          <w:sz w:val="18"/>
          <w:szCs w:val="18"/>
          <w:color w:val="auto"/>
        </w:rPr>
        <w:t>We have audited Ryman Hospitality Properties,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2024, based on the COSO criteria.</w:t>
      </w:r>
    </w:p>
    <w:p>
      <w:pPr>
        <w:spacing w:after="0" w:line="130"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equity (deficit) and noncontrolling interest and cash flows for each of the three years in the period ended December 31, 2024, and the related notes and financial statement schedules listed in the Index at Item 15(a)(2), and our report dated February 21, 2025, expressed an unqualified opinion thereon.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left="60" w:right="99"/>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left="60" w:right="59"/>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ind w:left="60" w:right="99"/>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left="60" w:right="159"/>
        <w:spacing w:after="0" w:line="26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BALANCE SHEETS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4,124,382</w:t>
            </w:r>
          </w:p>
        </w:tc>
        <w:tc>
          <w:tcPr>
            <w:tcW w:w="14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Notes receivable, net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3,378,396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466,571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Distributions payable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59,903 and 59,712 shares issued and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outstanding, respectively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696 and 668 shares, at cost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701,138</w:t>
            </w: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595,544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667,009</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0" w:type="dxa"/>
            <w:vAlign w:val="bottom"/>
          </w:tcPr>
          <w:p>
            <w:pPr>
              <w:spacing w:after="0"/>
              <w:rPr>
                <w:sz w:val="1"/>
                <w:szCs w:val="1"/>
                <w:color w:val="auto"/>
              </w:rPr>
            </w:pP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1,805,969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155,817</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457,291</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1,037,675</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235,626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208,616</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1,848,392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1,478,819</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consolidated joint venture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Operating Partnership</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4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COMPREHENSIVE INCOME For the Years Ended December 31, 2024, 2023 and 2022 (Amounts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280,190</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341,800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134,948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Gain (loss) on minimum pension liability: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(losses) arising during the period</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4,538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4,428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(553)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3,985</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4,120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(1,602)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Interest rate derivatives: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arising during period</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1,940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937</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(11,507)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19,548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Other-than-temporary impairment loss on held-to-maturity securities: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5,133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(7,178)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Income tax provision related to items of comprehensive loss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(1,286)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4,215</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(8,464)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18,157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w:t>
            </w:r>
          </w:p>
        </w:tc>
        <w:tc>
          <w:tcPr>
            <w:tcW w:w="36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284,405</w:t>
            </w:r>
          </w:p>
        </w:tc>
        <w:tc>
          <w:tcPr>
            <w:tcW w:w="36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333,336</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attributable to noncontrolling interest in consolidated joint venture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(6,899)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(28,560)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attributable to noncontrolling interest in Operating Partnership</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(1,820)</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(2,062)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(1,052)</w:t>
            </w:r>
          </w:p>
        </w:tc>
        <w:tc>
          <w:tcPr>
            <w:tcW w:w="0" w:type="dxa"/>
            <w:vAlign w:val="bottom"/>
          </w:tcPr>
          <w:p>
            <w:pPr>
              <w:spacing w:after="0"/>
              <w:rPr>
                <w:sz w:val="1"/>
                <w:szCs w:val="1"/>
                <w:color w:val="auto"/>
              </w:rPr>
            </w:pPr>
          </w:p>
        </w:tc>
      </w:tr>
      <w:tr>
        <w:trPr>
          <w:trHeight w:val="156"/>
        </w:trPr>
        <w:tc>
          <w:tcPr>
            <w:tcW w:w="57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Comprehensive income available to common stockholders</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275,686</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302,714</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147,370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5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280,190</w:t>
            </w:r>
          </w:p>
        </w:tc>
        <w:tc>
          <w:tcPr>
            <w:tcW w:w="2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341,800</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134,948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10,196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235,626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211,227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208,616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17,308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15,845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(40,686)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13,860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41,520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(3,482)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(6,608)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576,506</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557,056</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419,931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(407,905)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(206,776)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(89,520)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Hill Country, net of cash acquired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(791,466)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Block 21, net of cash acquired</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(93,992)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(6,557)</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(9,977)</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(410,402)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(1,012,816)</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(189,313)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revolving credit facility</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A</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(222,320)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(378,750)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(2,765)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395,444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noncontrolling interest in OEG</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285,925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(266,114)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(176,001)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(290,317)</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711,871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50,712</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(124,213)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256,111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281,330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0" w:type="dxa"/>
            <w:vAlign w:val="bottom"/>
          </w:tcPr>
          <w:p>
            <w:pPr>
              <w:spacing w:after="0"/>
              <w:rPr>
                <w:sz w:val="1"/>
                <w:szCs w:val="1"/>
                <w:color w:val="auto"/>
              </w:rPr>
            </w:pPr>
          </w:p>
        </w:tc>
      </w:tr>
      <w:tr>
        <w:trPr>
          <w:trHeight w:val="195"/>
        </w:trPr>
        <w:tc>
          <w:tcPr>
            <w:tcW w:w="56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3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576,228</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5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477,694</w:t>
            </w:r>
          </w:p>
        </w:tc>
        <w:tc>
          <w:tcPr>
            <w:tcW w:w="2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591,833</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334,194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98,534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108,608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110,136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576,228</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500"/>
        <w:spacing w:after="0" w:line="265"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EQUITY (DEFICIT) AND NONCONTROLLING INTEREST For the Years Ended December 31, 2024, 2023 and 2022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Operating</w:t>
            </w:r>
          </w:p>
        </w:tc>
        <w:tc>
          <w:tcPr>
            <w:tcW w:w="18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6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Partnership</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c>
          <w:tcPr>
            <w:tcW w:w="0" w:type="dxa"/>
            <w:vAlign w:val="bottom"/>
          </w:tcPr>
          <w:p>
            <w:pPr>
              <w:spacing w:after="0"/>
              <w:rPr>
                <w:sz w:val="1"/>
                <w:szCs w:val="1"/>
                <w:color w:val="auto"/>
              </w:rPr>
            </w:pPr>
          </w:p>
        </w:tc>
      </w:tr>
      <w:tr>
        <w:trPr>
          <w:trHeight w:val="97"/>
        </w:trPr>
        <w:tc>
          <w:tcPr>
            <w:tcW w:w="16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3"/>
              </w:rPr>
              <w:t>$ 1,112,867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 (18,467)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(1,088,105)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(29,080)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(22,234)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(22,393)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consolidated joint venture to</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10,869</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net 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OEG</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295,956</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declared ($0.35 per</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(19,507)</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(19,453)</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(139)</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(19,592)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3"/>
              </w:rPr>
              <w:t>$ 1,102,733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 (18,467)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(978,619)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(10,923)</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95,276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311,857</w:t>
            </w: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313,335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28,465</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consolidated joint venture to</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395,400</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declared ($3.85 per</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(2,041)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(226,857)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(228,292)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(1,520)</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(229,812)</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(4,245)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(4,244)</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(4,244)</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2023</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3"/>
              </w:rPr>
              <w:t>$ 1,502,710</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 (20,508)</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(894,259)</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(19,387)</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569,153</w:t>
            </w:r>
          </w:p>
        </w:tc>
        <w:tc>
          <w:tcPr>
            <w:tcW w:w="1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1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572,777</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345,126</w:t>
            </w: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271,638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271,638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273,430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6,760</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consolidated joint venture to</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(30,059)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(30,059)</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(30,059)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30,059</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net 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declared ($4.45 per</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(3,018)</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(265,511)</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(267,867)</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(1,759)</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(269,626)</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(11,993)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(11,991)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(11,991)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3"/>
              </w:rPr>
              <w:t>$ 1,475,211</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 (23,526)</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(888,132)</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(15,172)</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548,980</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12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552,637</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381,945</w:t>
            </w:r>
          </w:p>
        </w:tc>
        <w:tc>
          <w:tcPr>
            <w:tcW w:w="0" w:type="dxa"/>
            <w:vAlign w:val="bottom"/>
          </w:tcPr>
          <w:p>
            <w:pPr>
              <w:spacing w:after="0"/>
              <w:rPr>
                <w:sz w:val="1"/>
                <w:szCs w:val="1"/>
                <w:color w:val="auto"/>
              </w:rPr>
            </w:pPr>
          </w:p>
        </w:tc>
      </w:tr>
      <w:tr>
        <w:trPr>
          <w:trHeight w:val="140"/>
        </w:trPr>
        <w:tc>
          <w:tcPr>
            <w:tcW w:w="16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December 31, 2024</w:t>
            </w:r>
          </w:p>
        </w:tc>
        <w:tc>
          <w:tcPr>
            <w:tcW w:w="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JW Marriott San Antonio Hill Country Resort &amp; Spa (“JW Marriott Hill Country”) (effective June 30, 2023), the Inn at Opryland, an overflow hotel adjacent to Gaylord Opryland, and the AC Hotel at National Harbor, Washington D.C. (“AC Hotel”), an overflow hotel adjacent to Gaylord National.</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Company also owns a controlling 70%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that opened in November 2024; as of May 31, 2022, Block 21, a mixed-use entertainment, lodging, office, and retail complex located in Austin, Texas (“Block 21”); and as of January 3, 2025, a majority equity interest in Southern Entertainment, a Charlotte, North Carolina-based national music festival and events production company. Prior to June 16, 2022, the Company owned 100% of OEG. See “OEG Transaction” in this Note 1 for further disclosure. OEG also previously owned a 50% interest in a joint venture that created and distributed a linear multicast and over-the-top channel dedicated to the country music lifestyle (“Circle”).</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and the non-controlling operating partnership unit holders discussed in “Income Per Share” in this Note 1 are the sole limited partners of the Operating Partnership, and Ryman currently owns, either directly or indirectly, 99.3%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100%-owned subsidiaries.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Hospitality segment includes the Gaylord Hotels properties, JW Marriott Hill Country (effective June 30, 2023), the Inn at Opryland and the AC Hotel, each of which is managed by Marriott pursuant to a management agreement for each hotel.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Entertainment segment includes the OEG business, specifically the Grand Ole Opry, the Ryman Auditorium, WSM-AM, Ole Red, Category 10, Block 21, and OEG’s previous investment in the Circle joint venture, among various others. Marriott manages the day-to-day operations of the General Jackson and the W Austin, which is part of the Block 21 complex, pursuant to management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September 2023, the Company and its joint venture partner agreed to wind down the Circle joint venture,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ceasing December 31, 2023. As a result, the Company incurred a loss related to Circle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$10.5 million, which is included in loss from unconsolidated joint ventures in the accompanying consolidated statement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for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OEG Transaction</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On June 16, 2022, the Company and certain of its subsidiaries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w:t>
      </w:r>
    </w:p>
    <w:p>
      <w:pPr>
        <w:spacing w:after="0" w:line="180"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The Company retains a controlling 70% equity interest in OEG and continues to consolidate the assets, liabilities and results of operations of OEG in the accompanying consolidated financial statements. The portion of OEG that the Company does not own is recorded as noncontrolling interest in consolidated joint venture, which is classified as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mezzanine equity in the accompanying consolidated balance sheets, and any adjustment necessary to reflect the noncontrolling interest at its redemption value is shown in the accompanying consolidated statements of equity (deficit) and noncontrolling interest. After the payment of transaction expenses, the Company used substantially all of the net proceeds from the OEG Transaction, together with the net proceeds the Company received from the OEG Term Loan (as defined below), to repay the then-outstanding balance of the Company’s former $300 million term loan A and to pay down substantially all borrowings then outstanding under the Company’s revolving credit facility.</w:t>
      </w:r>
    </w:p>
    <w:p>
      <w:pPr>
        <w:spacing w:after="0" w:line="187" w:lineRule="exact"/>
        <w:rPr>
          <w:sz w:val="20"/>
          <w:szCs w:val="20"/>
          <w:color w:val="auto"/>
        </w:rPr>
      </w:pPr>
    </w:p>
    <w:p>
      <w:pPr>
        <w:jc w:val="both"/>
        <w:ind w:left="60" w:right="119"/>
        <w:spacing w:after="0" w:line="257" w:lineRule="auto"/>
        <w:rPr>
          <w:sz w:val="20"/>
          <w:szCs w:val="20"/>
          <w:color w:val="auto"/>
        </w:rPr>
      </w:pPr>
      <w:r>
        <w:rPr>
          <w:rFonts w:ascii="Times New Roman" w:cs="Times New Roman" w:eastAsia="Times New Roman" w:hAnsi="Times New Roman"/>
          <w:sz w:val="18"/>
          <w:szCs w:val="18"/>
          <w:color w:val="auto"/>
        </w:rPr>
        <w:t>Pursuant to the Second Amended and Restated Limited Liability Company Agreement for OEG entered into at the closing of the OEG Transaction (the “OEG LLC Agreement”), OEG is governed by a Board of Managers (the “Board”), subject to member consent to certain actions. The Board initially consists of six members, four designated by the Company</w:t>
      </w:r>
    </w:p>
    <w:p>
      <w:pPr>
        <w:spacing w:after="0" w:line="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and two designated by the OEG Investor. Board membership may be modified from time to time to reflect the proportional ownership of outstanding units by each party. Subject to certain ownership thresholds, the approval of both parties will be required with respect to certain “major decisions” affecting OEG, including, but not limited to, approval of OEG’s annual operating budget in the event of changes exceeding certain thresholds, the incurrence of certain debt, the issuance of new equity securities, and mergers, acquisitions or dispositions in excess of a certain dollar threshold.</w:t>
      </w:r>
    </w:p>
    <w:p>
      <w:pPr>
        <w:spacing w:after="0" w:line="18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OEG Investor will have the option to acquire additional common units of OEG from the Company (the “Purchase Option”) in the fourth quarter of 2025 in an amount equal to the lesser of $125 million or the maximum amount of proceeds that the Company may receive with respect to its compliance with applicable REIT tests, provided that the OEG Investor may not purchase an amount of common units that would result in the Company owning less than 51% of the outstanding common units after giving effect to the purchase. If the OEG Investor elects to exercise the Purchase Option, then (i) beginning on June 16, 2027 (the fifth anniversary of the OEG Investor’s original investment in OEG (the “Fifth Anniversary”)), the OEG Investor will have the right to demand that OEG undertake a Qualified IPO and (ii) the OEG Investor’s rights with respect to the IPO Request Put Right, the Seven-Year Put Right, an IPO Payment and a Sale Payment, each as defined in the OEG LLC Agreement and described below, will expire. The Purchase Option will terminate upon the occurrence of a Qualified IPO, a Sale of OEG or a Qualified Spinoff, each as defined in the OEG LLC Agreement.</w:t>
      </w:r>
    </w:p>
    <w:p>
      <w:pPr>
        <w:spacing w:after="0" w:line="190"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prior to June 16, 2026 (the fourth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pacing w:after="0" w:line="18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Seven-Year Put Right</w:t>
      </w:r>
      <w:r>
        <w:rPr>
          <w:rFonts w:ascii="Times New Roman" w:cs="Times New Roman" w:eastAsia="Times New Roman" w:hAnsi="Times New Roman"/>
          <w:sz w:val="18"/>
          <w:szCs w:val="18"/>
          <w:color w:val="auto"/>
        </w:rPr>
        <w:t>. If OEG has not completed a Qualified IPO, Sale of OEG or a Qualified Spinoff prior to June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8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 and the IPO Request Put Right and the Seven-Year Put Right will each terminate at the first closing of the Purchase Option.</w:t>
      </w:r>
    </w:p>
    <w:p>
      <w:pPr>
        <w:spacing w:after="0" w:line="174"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 Agreement). If the IPO occurs after the Fourth Anniversary, the IPO Payment will be capped at 50% of the OEG Investor’s investment in OEG (the “Payment Cap”). Any IPO Payment may be satisfied in either cash, OEG equity owned by the Ryman Member, or Company stock, at the Company’s option.</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Any Sale Payment may be satisfied in either cash, a preferential cash distribution, additional consideration in the Sale of OEG or Company stock at the Company’s option.</w:t>
      </w:r>
    </w:p>
    <w:p>
      <w:pPr>
        <w:spacing w:after="0" w:line="162" w:lineRule="exact"/>
        <w:rPr>
          <w:sz w:val="20"/>
          <w:szCs w:val="20"/>
          <w:color w:val="auto"/>
        </w:rPr>
      </w:pPr>
    </w:p>
    <w:p>
      <w:pPr>
        <w:ind w:left="6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descriptions related to the OEG LLC Agreement do not purport to be complete and are qualified in their entirety by reference to the OEG LLC Agreement filed as </w:t>
      </w:r>
      <w:hyperlink r:id="rId104">
        <w:r>
          <w:rPr>
            <w:rFonts w:ascii="Times New Roman" w:cs="Times New Roman" w:eastAsia="Times New Roman" w:hAnsi="Times New Roman"/>
            <w:sz w:val="18"/>
            <w:szCs w:val="18"/>
            <w:u w:val="single" w:color="auto"/>
            <w:color w:val="0000EE"/>
          </w:rPr>
          <w:t>Exhibit 10.11 to this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JW Marriott Hill Country Transaction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June 30, 2023, the Company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spa, several food and beverage outlets, a water experience, and TPC San Antonio, which features two 18-hole golf courses. The Company funded the purchase price with approximately</w:t>
      </w:r>
    </w:p>
    <w:p>
      <w:pPr>
        <w:spacing w:after="0" w:line="3"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$395 million in net proceeds of an underwritten registered public offering of approximately 4.4 million shares of the Company’s common stock (see Note 9, “Equity”), approximately $393 million in net proceeds of a private placement of $400 million aggregate principal amount of 7.25% senior notes due 2028 (see Note 4, “Debt”) and cash on hand. JW Marriott Hill Country assets and operations are reflected in the Company’s Hospitality segment beginning June 30, 2023.</w:t>
      </w:r>
    </w:p>
    <w:p>
      <w:pPr>
        <w:spacing w:after="0" w:line="17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performed a valuation of the fair value of the acquired assets and liabilities assumed as of June 30, 2023.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advanced bookings previously received for the hotel and the values of golf memberships and water rights for the golf course. The Company considers each of these estimates as Level 3 fair value measurements.</w:t>
      </w:r>
    </w:p>
    <w:p>
      <w:pPr>
        <w:spacing w:after="0" w:line="187"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as follows (amounts in thousands):</w:t>
      </w:r>
    </w:p>
    <w:p>
      <w:pPr>
        <w:spacing w:after="0" w:line="16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772,821</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3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834,781</w:t>
            </w: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3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1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809,633</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Block 21 Transaction</w:t>
      </w:r>
    </w:p>
    <w:p>
      <w:pPr>
        <w:spacing w:after="0" w:line="229"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On May 31, 2022, the Company purchased Block 21 for a stated purchase price of $260 million, as subsequently adjusted to $255 million pursuant to the terms of the purchase agreement, which included the assumption of approximately</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and operations are reflected in the Company’s Entertainment segment beginning May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performed a preliminary valuation of the fair value of the acquired assets and liabilities assumed as of May 31, 2022.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leases in place and advanced bookings previously received for the hotel. The valuation of assumed debt was principally based on a discounted cash flow approach using market interest rates at the time of the transaction. The Company considers each of these estimates as Level 3 fair value measurements. Other acquired assets were valued at, and fair value approximated, carrying value. Based on the aggregation of fair values as compared to consideration transferred, the Company concluded that there was no goodwill or bargain purchase gain related to the business combination. The Company performed an income approach evaluation of the acquired set which corroborated the conclusion that there was no goodwill related to the acquisition. Such evaluation included assumptions of future projected cash flows, which were based on the future projected occupancy and average daily rate for the W Austin, future anticipated cash flows at ACL Live, and market discount rates.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Block</w:t>
      </w:r>
    </w:p>
    <w:p>
      <w:pPr>
        <w:spacing w:after="0" w:line="27" w:lineRule="exact"/>
        <w:rPr>
          <w:sz w:val="20"/>
          <w:szCs w:val="20"/>
          <w:color w:val="auto"/>
        </w:rPr>
      </w:pPr>
    </w:p>
    <w:p>
      <w:pPr>
        <w:ind w:left="60" w:right="579" w:hanging="10"/>
        <w:spacing w:after="0" w:line="260" w:lineRule="auto"/>
        <w:tabs>
          <w:tab w:leader="none" w:pos="3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 allocated the purchase price, adjusted for working capital adjustments as defined in the purchase agreement, as follows (amounts in thousands):</w:t>
      </w:r>
    </w:p>
    <w:p>
      <w:pPr>
        <w:spacing w:after="0" w:line="213"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During the first quarter of 2023, the Company concluded its valuation of the fair value of the acquired assets and liabilities assumed as of May 31, 2022, and no significant changes were made to the provisional amounts presented above.</w:t>
      </w:r>
    </w:p>
    <w:p>
      <w:pPr>
        <w:spacing w:after="0" w:line="14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incurred $1.3 million in acquisition-related expenses in 2022, which are included in entertainment expenses in the accompanying consolidated statement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or initially at estimated fair value if recorded in connection with purchase accounting. Improvements and significant renovations that extend the lives of existing assets are capitalized. Interest on funds borrowed to finance the construction of major capital additions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5-8 years</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shorter of the lease term or useful life</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Unrestricted</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maintains cash and cash equivalents balances in excess of insured limits with various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Restricted</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primarily represent funds held by our property manager for furniture, fixtures and equipment reserves. In addition, based on its loan agreement, Block 21 must maintain a restricted cash balance related to debt service, property tax, insurance and other payments.</w:t>
      </w:r>
    </w:p>
    <w:p>
      <w:pPr>
        <w:spacing w:after="0" w:line="1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Effective September 30, 2024, Block 21 was in a Trigger Period (as defined in Note 4, “Debt”). Such cash amounts held as a result of the Trigger Period are also included in restricted cash for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Cash paid for interest, net considering amounts from interest rate swaps, for the years ended December 31 was comprised of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interest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135,467</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4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135,284</w:t>
            </w: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cash payments of income taxes in 2024, 2023 and 2022 were $3.0 million, $6.5 million and $27.0 million, respectively.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 Reserves on Receivables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Company provides for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provides credit loss reserves for the Gaylord National bonds by comparing the amortized cost basis to their present value. If the amortized cost basis exceeds the present value, an expected credit loss exists and the allowance for credit losses is measured as the difference between the bonds’ amortized cost basis and present value, which is estimated using discounted cash flow analyses that utilize comprehensive cash flow projections over the contractual life of the bonds, as well as observable market data to the extent available. The Company considers each of these estimates as Level 3 fair value measurements.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assets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deferred compensation plan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rebate receivables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for operating leases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on revolving credit facilities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24,394</w:t>
            </w:r>
          </w:p>
        </w:tc>
      </w:tr>
      <w:tr>
        <w:trPr>
          <w:trHeight w:val="20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154,810</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Gaylord Rockies is party to an incentive agreement with the local government that provides that Gaylord Rockies is entitled to receive monthly rebates of certain city and state taxes, including property, sales and lodging taxes. The term of the rebate agreement varies by type of tax but ranges from 25-33 years from commencement of the construction of Gaylord Rockies. Gaylord Rockies earned $52.2 million, $52.8 million and $38.4 million in rebates in 2024, 2023 and 2022, respectively, which are generally recorded as a reduction in other hotel expenses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purchase price allocation of the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was amortized on a straight-line basis over a period of 3.5 years, which corresponded with the period in which the advanced bookings related, and the value in the trade name is being amortized on a straight-line basis over 30 years, which is the period of the Marriott management agreement.</w:t>
      </w:r>
    </w:p>
    <w:p>
      <w:pPr>
        <w:spacing w:after="0" w:line="18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gross carrying amount of intangible assets at December 31, 2024 and 2023 was $274.9 million and $279.8 million, respectively. Accumulated amortization of intangible assets at December 31, 2024 and 2023 was $158.5 million and $155.6 million, respectively. Amortization expense related to intangible assets during 2024, 2023 and 2022 was $7.8 million, $6.8 million and $22.7 million, respectively. The estimated amounts of amortization expense for the next five years are as follows (amounts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8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2025</w:t>
            </w:r>
          </w:p>
        </w:tc>
        <w:tc>
          <w:tcPr>
            <w:tcW w:w="42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2026</w:t>
            </w: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2027</w:t>
            </w:r>
          </w:p>
        </w:tc>
        <w:tc>
          <w:tcPr>
            <w:tcW w:w="3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2028</w:t>
            </w: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2029</w:t>
            </w:r>
          </w:p>
        </w:tc>
        <w:tc>
          <w:tcPr>
            <w:tcW w:w="38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8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159,762</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57,502</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w:t>
            </w: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59,998</w:t>
            </w:r>
          </w:p>
        </w:tc>
      </w:tr>
      <w:tr>
        <w:trPr>
          <w:trHeight w:val="210"/>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464,720</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Deferred revenues consist primarily of deposits on advance bookings of hotel rooms and advance ticket sales at the Company’s entertainment properties, as well as uncollected attrition and cancellation fees. Other accrued liabilities include accruals for, among others, purchasing, meeting planner commissions and utilities.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if any. The Company recognizes interest and penalties, if any, related to unrecognized tax benefits in income tax expense. See Note 10, “Income Taxes,” for more detail on the Company’s income taxes.</w:t>
      </w:r>
    </w:p>
    <w:p>
      <w:pPr>
        <w:spacing w:after="0" w:line="183"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all available positive and negative evidence in assessing the need for a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Management Rights Proceeds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deferred and amortizes the proceeds received from Marriott that were allocated to the sale of the management rights, as discussed further in Note 5, “Deferred Management Rights Proceeds,” on a straight-line basis over the term of the hotel management agreements, including extensions, as a reduction in management fee expense in the accompanying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w:t>
            </w:r>
          </w:p>
        </w:tc>
      </w:tr>
      <w:tr>
        <w:trPr>
          <w:trHeight w:val="209"/>
        </w:trPr>
        <w:tc>
          <w:tcPr>
            <w:tcW w:w="5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66,658</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Deferred financing costs (“DFCs”)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and the OEG revolving credit facility are included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prepaid expenses and other assets when the related revolving credit facility has no outstanding balance. During 2024, 2023 and 2022, DFCs of $10.7 million, $10.7 million and $9.8 million, respectively, were amortized to interest expense in the accompanying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noncontrolling interest in consolidated joint venture for 2024 and 2023 represents the minority investor’s proportionate share of the assets and liabilities of OEG, adjusted for changes in the redemption value of the related put rights. The noncontrolling interest is classified in the mezzanine section of the consolidated balance sheets as the related redemption options do not meet the requirements for permanent equity classification because these redemption options may be redeemed by the holder as described above in “OEG Transaction.”</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initial value of the noncontrolling interest in OEG, which included certain put rights, was estimated based on the purchase price received from the OEG Investor. In general, the carrying value will be based on the greater of the accumulated historical cost or the put right redemption value, and at December 31, 2024, approximates the fair value of the noncontrolling interest. An adjustment is also made for the OEG Investor’s proportionate share of income or loss in the accompanying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 Units</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former owners of interests in the previous Gaylord Rockies joint venture received units of the Operating Partnership (“OP Units”) in exchange for their interests. Such OP Units have economic terms that are substantially similar to shares of the Company’s common stock and are redeemable at the option of the holders thereof.</w:t>
      </w:r>
    </w:p>
    <w:p>
      <w:pPr>
        <w:spacing w:after="0" w:line="1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 options are redeemable for cash, or if the Company so elects, in unregistered shares of the Company’s common stock on a one-for-one basis, subject to certain adjustments. An adjustment is made for the limited partners’ proportionate share of income or loss in the accompanying consolidated statements of operations. At December 31, 2024, 0.4 million outstanding OP Units, or 0.7% of the outstanding OP Units, were held by the noncontrolling limited partners and are included as a component of equity in the accompanying consolidated balance sheets. The Company owns, directly or indirectly, the remaining 99.3% of the outstanding OP Units.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Cash received from advanced ticket sales is deferred and recognized as revenue at the time of the event. Entertainment segment revenues from licenses of content are recognized at the point in time the content is delivered to the licensee and the licensee can use and benefit from the content.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group rooms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364,835</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transient rooms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230,709</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440,364</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226,645</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other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275,421</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107,377</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89,931</w:t>
            </w:r>
          </w:p>
        </w:tc>
      </w:tr>
      <w:tr>
        <w:trPr>
          <w:trHeight w:val="21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70,687</w:t>
            </w:r>
          </w:p>
        </w:tc>
      </w:tr>
      <w:tr>
        <w:trPr>
          <w:trHeight w:val="209"/>
        </w:trPr>
        <w:tc>
          <w:tcPr>
            <w:tcW w:w="5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2,158,136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1,805,969</w:t>
            </w: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3"/>
        </w:trPr>
        <w:tc>
          <w:tcPr>
            <w:tcW w:w="7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5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Opryland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424,188</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Palms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279,578</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Texan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307,318</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National</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249,849</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JW Marriott Hill Country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 Hotel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1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w:t>
            </w:r>
          </w:p>
        </w:tc>
      </w:tr>
      <w:tr>
        <w:trPr>
          <w:trHeight w:val="210"/>
        </w:trPr>
        <w:tc>
          <w:tcPr>
            <w:tcW w:w="5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1,997,050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1,833,478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1,537,974</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OEG venues. At December 31, 2024 and 2023, the Company had $173.0 million and $159.8 million, respectively, in deferred revenues, which are included in accounts payable and accrued liabilities in the accompanying consolidated balance sheets. Of the amount outstanding at December 31, 2023, approximately $117.5 million was recognized in revenues during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pays Marriott a base management fee based on the gross revenues from the applicable property for each fiscal year or portion thereof. The applicable percentage for the Gaylord Hotels properties, excluding Gaylord Rockies, is approximately 2% of gross revenues, Gaylord Rockies is approximately 3% of revenues, and JW Marriott Hill Country is approximately 3.5% of gross revenues. Additionally, the Company pays Marriott an incentive management fee based on the profitability of the properties. The Company incurred $48.0 million, $42.8 million and $35.1 million in base management fees to Marriott during 2024, 2023 and 2022, respectively. The Company incurred $30.0 million, $28.5 million and $13.5 million in incentive fees to Marriott during 2024, 2023 and 2022, respectively. Management fees are presented in the consolidated statements of operations net of the amortization of the deferred management rights proceeds discussed further in Note 5, “Deferred Management Rights Proceeds.”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$71.4 million, $65.0 million, and $55.1 million for 2024, 2023 and 2022,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described more fully in Note 7, “Stock Plans.” The Company accounts for its stock-based compensation plan under the provisions of Financial Accounting Standards Board (“FASB”)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 expenses the costs associated with start-up activities and organization costs associated with its development or reopening of hotels and significant attractions as incurred. The Company’s preopening costs during 2024 include costs associated with Category 10, which opened in November 2024 and Ole Red Las Vegas, which opened in January 2024. The Company’s preopening costs during 2023 include costs associated with Ole Red Las Vegas. The Company’s preopening costs during 2022 include costs associated with Ole Red Nashville International Airport, which opened in May 2022.</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entered into and may in the future enter into additional interest rate swap agreements to hedge against interest rate fluctuations.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$0.4 million will be reclassified from accumulated other comprehensive loss to interest expense in the next twelve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pacing w:after="0" w:line="1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excess of the assets’ carrying amount over their fair value, which is estimated using discounted cash flow analyses that utilize comprehensive cash flow projections, as well as observable market data to the extent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recorded no impairment losses during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Income per share is measured as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effect of conversion of dilutive instruments, calculated using the treasury stock method or if-converted method, as applicable. Net income per share amounts are calculated as follows for the years ended December 31 (income and share amounts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128,993</w:t>
            </w: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consolidated joint venture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stockholders - if-converted method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128,993</w:t>
            </w:r>
          </w:p>
        </w:tc>
      </w:tr>
      <w:tr>
        <w:trPr>
          <w:trHeight w:val="197"/>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w:t>
            </w: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58,061</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55,377</w:t>
            </w:r>
          </w:p>
        </w:tc>
      </w:tr>
      <w:tr>
        <w:trPr>
          <w:trHeight w:val="197"/>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more fully discussed above in “OEG Transaction,”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 For 2023 and 2022, the effect of the OEG Put Rights was the equivalent of 4.2 million and 1.9 million shares, respectively, of Company common stock outstanding. Because the OEG Put Rights were anti-dilutive for 2023 and 2022, such incremental shares were excluded from the computation of dilutive earnings per share.</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OP Units held by the noncontrolling interest holders in the Operating Partnership have been excluded from the denominator of the diluted income per share calculation as there would be no effect on the calculation of diluted earnings per share because the income or loss attributable to the OP Units held by the noncontrolling interest holders would also be added or subtracted to derive net income available to common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periods.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227"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In November 2023, the FASB issued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requiring public entities to provide disclosures of significant segment expenses and other segment items, as well as to provide in interim periods all disclosures about a reportable segment’s profit or loss and assets that are currently required annually. The Company retrospectively adopted this guidance for fiscal year 2024 and will retrospectively adopt this guidance for</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interim periods beginning in fiscal year 2025. This adoption did not have a material impact on the Company’s financial statements.</w:t>
      </w:r>
    </w:p>
    <w:p>
      <w:pPr>
        <w:spacing w:after="0" w:line="160"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8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companies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Property and equipment at December 31 is recorded at cost, with the exception of right-of-use finance leases and the initial value assigned to assets acquired in an acquisition, and summarized as follows (amounts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4,396,302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6,265,287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(2,524,280)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(2,309,701)</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4,124,382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3,955,586</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 obligations, during 2024, 2023 and 2022 was $226.8 million, $203.3 million, and $184.7 million, respectively.</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sheets and is being depreciated over its estimated useful life.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Notes Receivable</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2008. The interest rate on the Series A Bond and Series B Bond is 8.0% and 10.0%, respectively. The maturity dates of the Series A Bond and the Series B Bond are July 1, 2034 and September 1, 2037, respectively.</w:t>
      </w:r>
    </w:p>
    <w:p>
      <w:pPr>
        <w:spacing w:after="0" w:line="16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bonds, which have aggregate carrying values and approximate fair values of $57.8 million and $61.8 million at December 31, 2024 and 2023, respectively, net of a credit loss reserve of $38.0 million at each period. The Company earns interest income on the debt service on the notes receivable, which are payable from tax increments, hotel taxes and special hotel rental taxes generated from the development through the maturity dates. Interest income is recorded on an accrual basis to the extent that such amounts are expected to be collected. During the periods presented, the Company has accrued interest only on the Series A Bond. The Company’s estimate of credit loss reserves is sensitive to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extended period of time through 2037.</w:t>
      </w:r>
    </w:p>
    <w:p>
      <w:pPr>
        <w:spacing w:after="0" w:line="19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the intent and ability to hold the Series A Bond and Series B Bond to maturity and had at inception expected to receive all debt service payments due. As a result of reduced long-range tax revenue projections over the life of the Series B Bond as well as certain cumulative priority payments due to others, in 2017, the Company no longer believed it would receive all debt service payments due under the note, and the Company considered the Series B Bond to be other-than-temporarily impaired (“OTTI”). The amount of the OTTI related to changing market conditions, or the increase in the discount rate, of $6.5 million was recorded as an increase to other comprehensive loss in 2017 and is amortized as an adjustment to the carrying value of the Series B Bond in the accompanying consolidated balance sheets. The discount rate was determined based on the then-current market interest rates of notes receivable with comparable market ratings and the then-current expectations about the timing of debt service payments under the note.</w:t>
      </w:r>
    </w:p>
    <w:p>
      <w:pPr>
        <w:spacing w:after="0" w:line="18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performs a quarterly assessment of credit losses, which considers the estimate of projected tax revenues that will service the bonds over their remaining terms. At December 31, 2024 and 2023, the Series B Bond is fully reserved. The Series A Bond is of higher priority than other tranches which fall between the Company’s two issuances.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2024, 2023 and 2022, the Company recorded interest income of $4.6 million, $4.9 million and $5.3 million, respectively, on these bonds. The Company received payments of $8.8 million, $11.0 million and $9.1 million during 2024, 2023 and 2022, respectively, relating to these notes receivable, which include principal and interest payments.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December 31 consisted of (amounts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 Senior Notes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$80M OEG Revolver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131,871</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(51,484)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(12,183)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r>
      <w:tr>
        <w:trPr>
          <w:trHeight w:val="210"/>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3,378,396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3,377,028</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2024, there were no defaults under the covenants related to the Company’s outstanding 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maturities of long-term debt, excluding finance lease obligations, are as follows (amounts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3"/>
                <w:szCs w:val="1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 Senior Notes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$80M OEG Revolver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131,808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705,935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405,935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626,935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1,562,366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3,442,008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May 18, 2023, the Company entered into a Credit Agreement (as modified pursuant to the First Incremental Agreement and the Second Incremental Agreement (each as hereinafter defined) and as further supplemented,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 The Credit Agreement provides a $700.0 million revolving credit facility (the “Revolver”) and a senior secured term loan B (the “Term Loan B”) (in the original principal amount of $500.0 million, which was reduced to $295.0 million on March 28, 2024), as well as an accordion feature that will allow the Company to increase the facilities by an aggregate total of up to $475 million, which may be allocated between the Revolver and the Term Loan B at the Company’s option. The Revolver replaced the Company’s previous $700 million revolving credit facility, and a portion of the proceeds from the Term Loan B were used to repay in full the approximately $370 million balance of the Company’s previous term loan B. The Revolver was undrawn at closing.</w:t>
      </w:r>
    </w:p>
    <w:p>
      <w:pPr>
        <w:spacing w:after="0" w:line="190"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Each of the Revolver and Term Loan B is guaranteed by the Company, each of the Company’s subsidiaries that own the Gaylord Hotels properties, and certain other of the Company’s subsidiaries. Each is secured by equity pledges of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Company’s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76"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Revolving Credit Facility</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maturity of the Revolver is May 18, 2027, with the option to extend the maturity date for a maximum of one additional year through either (i) a single twelve-month extension option or (ii) two individual six-month extensions. Borrowings under the Revolver bear interest at an annual rate equal to, at the Company’s option, either (i) Adjusted Term SOFR plus the applicable margin ranging from 1.40% to 2.00%, (ii) Adjusted Daily Simple SOFR plus the applicable margin ranging from 1.40% to 2.00%, or (iii) a base rate as set in the Credit Agreement plus the applicable margin ranging from 0.40% to 1.00%, with each option dependent upon the Company’s consolidated net leverage ratio (as defined in the Credit Agreement). Principal is payable in full at maturity.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Term Loan B has a maturity of May 18, 2030. Prior to the effectiveness of the First Incremental Agreement and the Second Incremental Agreement (as hereinafter defined), the applicable interest rate margins for borrowings under the Term Loan B were, at the Company’s option, either (i) Term SOFR plus 2.75%, (ii) Daily Simple SOFR plus 2.75%, or (iii) a base rate as set in the Credit Agreement plus 1.75%. Amounts borrowed under the Term Loan B that are repaid or prepaid may not be reborrowed.</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April 12, 2024, the Company entered into an Incremental Tranche B Term Loan Agreement (the “First Incremental Agreement”), which supplemented the Credit Agreement and included the addition of certain new lenders and removal of certain other lenders. The First Incremental Agreement reduced the applicable interest rate margins for the loans advanced under the refinanced Term Loan B. The applicable interest rate margins for the refinanced Term Loan B under the First Incremental Agreement were (i) 2.25% for SOFR Loans (as defined in the Credit Agreement) and (ii) 1.25% for base rate loans.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December 19, 2024, the Company entered into an additional Incremental Tranche B Term Loan Agreement (the “Second Incremental Agreement”), which supplements the Credit Agreement. The Second Incremental Agreement reduces the applicable interest rate margins for the loans advanced under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the Company meeting certain criteria as set forth in the Second Incremental Agreement.</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December 31, 2024, the interest rate on the Term Loan B was Term SOFR plus 2.00%. Neither the First Incremental Agreement nor the Second Incremental Agreement changed the maturity dates under the Credit Agreement or resulted in any increase in principal indebtedness. In addition, the Second Incremental Agreement confirms that the annual amortization under the Term Loan B is 1.0% of the refinanced $293.5 million outstanding principal amount, with the balance due at maturity. If for any fiscal year there is Excess Cash Flow (as defined in the Credit Agreement), an additional principal amount is required.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Billion 6.50% Senior Notes Due 2032</w:t>
      </w:r>
    </w:p>
    <w:p>
      <w:pPr>
        <w:spacing w:after="0" w:line="22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On March 28, 2024, the Operating Partnership and Finco (collectively, the “issuing subsidiaries”) completed the private placement of $1.0 billion in aggregate principal amount of 6.50% senior notes due 2032 (the $1 Billion 6.50% Senior Notes”), which are guaranteed by the Company and its subsidiaries that guarantee the Credit Agreement.</w:t>
      </w:r>
    </w:p>
    <w:p>
      <w:pPr>
        <w:spacing w:after="0" w:line="14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$1 Billion 6.50% Senior Notes and guarantees were issued pursuant to an indenture by and among the issuing subsidiaries, the guarantors and U.S. Bank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Company’s $700 million 4.75% Senior Notes, the $600 Million 4.50% Senior Notes and the $400 Million 7.25% Senior Notes, and senior in right of payment to future subordinated indebtedness, if any.</w:t>
      </w:r>
    </w:p>
    <w:p>
      <w:pPr>
        <w:spacing w:after="0" w:line="151"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The Company used a portion of these net proceeds to prepay the indebtedness outstanding under the Company’s previous $800.0 million Gaylord Rockies term loan and used the remaining proceeds, together with cash on hand, to repay $200.0 million under the Term Loan B.</w:t>
      </w:r>
    </w:p>
    <w:p>
      <w:pPr>
        <w:spacing w:after="0" w:line="15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w:t>
      </w: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4.75% Senior Notes Due 2027</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w:t>
      </w:r>
    </w:p>
    <w:p>
      <w:pPr>
        <w:spacing w:after="0" w:line="176"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Company’s $1 Billion 6.50% Senior Notes, the $600 Million 4.50% Senior Notes and the $400 Million 7.25% Senior Notes, and senior in right of payment to future subordinated indebtedness, if any.</w:t>
      </w:r>
    </w:p>
    <w:p>
      <w:pPr>
        <w:spacing w:after="0" w:line="17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subordinated to all indebtedness and other obligations of the Operating Partnership’s subsidiaries that do not guarantee the $500 Million 4.75% Senior Notes.</w:t>
      </w:r>
    </w:p>
    <w:p>
      <w:pPr>
        <w:spacing w:after="0" w:line="16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 redemption price expressed as a percentage of the principal amount thereof, which percentage is 101.188% and 100.00% beginning on October 15 of 2024 and 2025, respectively, plus accrued and unpaid interest thereon to, but not including, the redemption date.</w:t>
      </w:r>
    </w:p>
    <w:p>
      <w:pPr>
        <w:spacing w:after="0" w:line="14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$600 Million 4.50% Senior Notes Due 2029</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17, 2021, the Operating Partnership and Finco completed the private placement of $600.0 million in aggregate principal amount of 4.50% senior notes due 2029 (the “$600 Million 4.50% Senior Notes”), which are guaranteed by the Company and its subsidiaries that guarantee the Credit Agreement.</w:t>
      </w:r>
    </w:p>
    <w:p>
      <w:pPr>
        <w:spacing w:after="0" w:line="135"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Company’s $1 Billion 6.50% Senior Notes, the $700 Million 4.75% Senior Notes and the $400 Million 7.25% Senior Notes, and senior in right of payment to future subordinated indebtedness, if any.</w:t>
      </w:r>
    </w:p>
    <w:p>
      <w:pPr>
        <w:spacing w:after="0" w:line="144"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8"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The $600 Million 4.50% Senior Notes are redeemable, in whole or in part, at a redemption price expressed as a percentage of the principal amount thereof, which percentage is 101.500%, 100.750%, and 100.000% beginning on February 15 of 2025, 2026, and 2027, respectively, plus accrued and unpaid interest thereon to, but not including, the redemption date.</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$400 Million 7.25% Senior Notes Due 2028</w:t>
      </w:r>
    </w:p>
    <w:p>
      <w:pPr>
        <w:spacing w:after="0" w:line="227" w:lineRule="exact"/>
        <w:rPr>
          <w:sz w:val="20"/>
          <w:szCs w:val="20"/>
          <w:color w:val="auto"/>
        </w:rPr>
      </w:pPr>
    </w:p>
    <w:p>
      <w:pPr>
        <w:jc w:val="both"/>
        <w:ind w:left="60" w:right="479"/>
        <w:spacing w:after="0" w:line="289" w:lineRule="auto"/>
        <w:rPr>
          <w:sz w:val="20"/>
          <w:szCs w:val="20"/>
          <w:color w:val="auto"/>
        </w:rPr>
      </w:pPr>
      <w:r>
        <w:rPr>
          <w:rFonts w:ascii="Times New Roman" w:cs="Times New Roman" w:eastAsia="Times New Roman" w:hAnsi="Times New Roman"/>
          <w:sz w:val="17"/>
          <w:szCs w:val="17"/>
          <w:color w:val="auto"/>
        </w:rPr>
        <w:t>On June 22, 2023, the Operating Partnership and Finco (collectively, the “issuing subsidiaries”) completed the private placement of $400.0 million in aggregate principal amount of 7.25% senior notes due 2028 (the “$400 Million 7.25% Senior Notes”), which are guaranteed by the Company and its subsidiaries that guarantee the Credit Agreement.</w:t>
      </w:r>
    </w:p>
    <w:p>
      <w:pPr>
        <w:spacing w:after="0" w:line="13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The $400 Million 7.25% Senior Notes are general unsecured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unsubordinated obligations of the issuing subsidiaries and rank equal in right of payment with such subsidiaries’ existing and future senior unsecured indebtedness, including the Company’s $1 Billion 6.50% Senior Notes, the $700 Million 4.75% Senior Notes and $600 Million 4.50% Senior Notes, and senior in right of payment to future subordinated indebtedness, if any.</w:t>
      </w:r>
    </w:p>
    <w:p>
      <w:pPr>
        <w:spacing w:after="0" w:line="15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The Company used these proceeds to pay a portion of the purchase price for JW Marriott Hill Country discussed in Note 1.</w:t>
      </w:r>
    </w:p>
    <w:p>
      <w:pPr>
        <w:spacing w:after="0" w:line="135"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p>
    <w:p>
      <w:pPr>
        <w:spacing w:after="0" w:line="20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 comprise Gaylord Rockies, entered into a Second Amended and Restated Loan Agreement (the “Gaylord Rockies Loan”) with Wells Fargo Bank, National Association, as administrative agent. The Gaylord Rockies Loan consisted of an $800.0 million secured term loan facility, with a maturity date of July 2, 2024 with two, one-year extension options remaining, subject to certain requirements in the Gaylord Rockies Loan, and bore interest at Adjusted Daily Simple SOFR plus 2.50%. The Company previously entered into an interest rate swap to fix the SOFR portion of the interest rate at 5.2105% for the fifth year of the loan. The Company designated this interest rate swap as an effective cash flow hedge.</w:t>
      </w:r>
    </w:p>
    <w:p>
      <w:pPr>
        <w:spacing w:after="0" w:line="14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On March 28, 2024, the Company paid off the Gaylord Rockies Loan with the proceeds from the $1 Billion 6.50% Senior Notes and terminated the interest rate swap.</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June 28, 2024, OEG Borrower, LLC (“OEG Borrower”) and OEG Finance, LLC (“OEG Finance”), each a wholly owned direct or indirect subsidiary of OEG, entered into a First Amendment, which amends the Credit Agreement dated as of June 16, 2022 among OEG Borrower, as borrower, OEG Finance, certain subsidiaries of OEG Borrower from time to time party thereto as guarantors, the lenders party thereto and JP Morgan Chase Bank, N.A., as administrative agent (the “Original OEG Credit Agreement”). As amended, the credit facility (the “Amended OEG Credit Agreement”) includes certain amended terms including lower interest rates, extended maturities and modifications to various covenants.</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principal amount of $300.0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replaces the former senior secured revolving credit facility in an aggregate principal amount not to exceed $65.0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OEG Term Loan and OEG Revolver are each secured by substantially all of the assets of OEG Finance and each of its wholly owned subsidiaries (other than Block 21-related subsidiaries, as more specifically described in the OEG Credit Agreement). The OEG Term Loan bears interest at a rate equal to either, at OEG Borrower’s election, as of the closing date contemplated by the Amended OEG Credit Agreement, (a) the Alternate Base Rate plus 2.50% or (b) Adjusted Term SOFR plus 3.50% (all as more specifically described in the Amended OEG Credit Agreement). In November 2022, OEG entered into an interest rate swap to fix the SOFR portion of the interest rate on $100.0 million of borrowings at 4.533% through December 2025. The OEG Revolver bears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w:t>
      </w:r>
    </w:p>
    <w:p>
      <w:pPr>
        <w:spacing w:after="0" w:line="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2.25% and (ii) the Applicable Rate for Adjusted Term SOFR loans will be between 3.75% and 3.25%, in each of (i) and (ii) based upon the First Lien Leverage Ratio of OEG Finance and its consolidated subsidiaries (as more specifically described in the Amended OEG Credit Agreement). The Applicable Rate for borrowings under the OEG Revolver at December 31, 2024 is 2.50% for Alternative Base Rate Loans and 3.50% for Adjusted Term SOFR loans.</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used the proceeds from the OEG Term Loan to refinance the original term loan under the Original OEG Credit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the closing of the purchase of Block 21 on May 31, 2022, a subsidiary of the Company assumed a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8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The disruption caused by a significant renovation of the rooms and public spaces at the W Austin negatively impacted the results of Block 21 and resulted in the Trigger Period being effective starting September 30, 2024. During the Trigger Period, cash in excess of operating expenses, debt service and certain reserves is deposited in a reserve account and held until Block 21 exits the Trigger Period by achieving a specified minimum debt service coverage ratio on a trailing twelve-month basis, at which time the reserved cash will be released to Block 21 and its owner.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has entered into or previously entered into interest rate swaps to manage interest rate risk associated with the previous Gaylord Rockies Loan and a portion of the OEG Term Loan. Each swap has been designated as a cash flow hedge whereby the Company receives variable-rate amounts in exchange for fixed-rate payments over the life of the agreement without exchange of the underlying principal amount.</w:t>
      </w:r>
    </w:p>
    <w:p>
      <w:pPr>
        <w:spacing w:after="0" w:line="18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March 2024, as discussed above, the Company paid off the Gaylord Rockies Loan and subsequently terminated the associated interest rate swap. The Company received approximately $0.2 million from the counterparty to the swap, which has been recorded as a reduction in interest expense for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values of the Company’s derivative financial instruments at December 31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17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Gaylord Rockies Term Loan</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5.2105%</w:t>
            </w: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Daily SOFR</w:t>
            </w: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 2024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00" w:type="dxa"/>
            <w:vAlign w:val="bottom"/>
            <w:tcBorders>
              <w:bottom w:val="single" w:sz="8" w:color="CCEEFF"/>
            </w:tcBorders>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consolidated statements of operations and comprehensive income for the years ended December 31 is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00" w:type="dxa"/>
            <w:vAlign w:val="bottom"/>
          </w:tcPr>
          <w:p>
            <w:pPr>
              <w:spacing w:after="0"/>
              <w:rPr>
                <w:sz w:val="13"/>
                <w:szCs w:val="13"/>
                <w:color w:val="auto"/>
              </w:rPr>
            </w:pPr>
          </w:p>
        </w:tc>
        <w:tc>
          <w:tcPr>
            <w:tcW w:w="18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Amount of Gain (Loss)</w:t>
            </w: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9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r>
      <w:tr>
        <w:trPr>
          <w:trHeight w:val="17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r>
      <w:tr>
        <w:trPr>
          <w:trHeight w:val="142"/>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0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00" w:type="dxa"/>
            <w:vAlign w:val="bottom"/>
          </w:tcPr>
          <w:p>
            <w:pPr>
              <w:spacing w:after="0"/>
              <w:rPr>
                <w:sz w:val="12"/>
                <w:szCs w:val="12"/>
                <w:color w:val="auto"/>
              </w:rPr>
            </w:pPr>
          </w:p>
        </w:tc>
        <w:tc>
          <w:tcPr>
            <w:tcW w:w="860" w:type="dxa"/>
            <w:vAlign w:val="bottom"/>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55"/>
        </w:trPr>
        <w:tc>
          <w:tcPr>
            <w:tcW w:w="3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2"/>
        </w:trPr>
        <w:tc>
          <w:tcPr>
            <w:tcW w:w="366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1,940</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670</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12,177</w:t>
            </w:r>
          </w:p>
        </w:tc>
      </w:tr>
      <w:tr>
        <w:trPr>
          <w:trHeight w:val="155"/>
        </w:trPr>
        <w:tc>
          <w:tcPr>
            <w:tcW w:w="366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1,940</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670</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1,003</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12,177</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2024, 2023 and 2022 was $225.4 million, $211.4 million and $148.4 million, respectively.</w:t>
      </w:r>
    </w:p>
    <w:p>
      <w:pPr>
        <w:spacing w:after="0" w:line="13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December 31, 2024, the fair value of derivatives in a net liability position including accrued interest but excluding any adjustment for nonperformance risk related to these agreements was $0.4 million. As of December 31, 2024,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$0.4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Deferred Management Rights Proceeds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such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and thus are not included in the Company’s calculation of its right-of-use assets and lease liabilities. The Company’s lease agreements do not contain any material residual value guarantees or material restrictive covenants.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 recorded $3.6 million, $3.5 million and $3.0 million of contingent rental expense related to Gaylord Palms in 2024, 2023 and 2022, respectively.</w:t>
      </w:r>
    </w:p>
    <w:p>
      <w:pPr>
        <w:spacing w:after="0" w:line="18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is as follows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December 31, 2024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41.3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 Plans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May 9, 2024, the Company’s shareholders approved the Company’s 2024 Omnibus Incentive Plan (the “2024 Plan”). The 2024 Plan replaces the Company’s previous 2016 Omnibus Incentive Plan (the “2016 Plan”) and no new awards will be made under the 2016 Plan; however, awards granted under the 2016 Plan will continue to be governed by the 2016 Plan. The 2024 Plan permits the grant of stock options, stock appreciation rights, restricted stock, restricted stock units, performance awards and other share-based awards to its directors, employees and consultants. At December 31, 2024, approximately 1.8 million shares of common stock remained available for issuance pursuant to future grants of awards under the 2024 Plan.</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Restricted stock units granted to employees vest one to four years from the date of grant, subject to any applicable performance targets,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2024, 2023, and 2022 was $113.10, $85.25, and $82.66,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units as of December 31, 2024 and changes during the year ended December 31, 2024, is presented below:</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left="54"/>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5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January 1, 2024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601,855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fair value of all restricted stock units that vested during 2024, 2023 and 2022 was $34.4 million, $14.9 million and $12.9 million, respectively.</w:t>
      </w:r>
    </w:p>
    <w:p>
      <w:pPr>
        <w:spacing w:after="0" w:line="16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2024, there was $22.4 million of total unrecognized compensation cost related to restricted stock units granted under the Company’s equity incentive plans. That cost is expected to be recognized over a weighted-average period of 2.3 years.</w:t>
      </w:r>
    </w:p>
    <w:p>
      <w:pPr>
        <w:spacing w:after="0" w:line="176"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compensation cost that has been charged against pre-tax income for all of the Company’s stock-based compensation plans was $13.9 million, $15.4 million, and $15.0 million for 2024, 2023, and 2022, respectively. The total income tax benefit recognized in the accompanying consolidated statements of operations for all of the Company’s stock-based employee compensation plans was $3.2 million, $3.5 million, and $3.5 million for 2024, 2023, and 2022, respectively.</w:t>
      </w:r>
    </w:p>
    <w:p>
      <w:pPr>
        <w:spacing w:after="0" w:line="164"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actual tax benefit realized from exercise, vesting or cancellation of the stock-based employee compensation arrangements during 2024, 2023, and 2022 totaled $3.2 million, $0, and $0.5 million, respectively, and is reflected as an adjustment to (provision) benefit for income taxes in the accompanying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97"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As a result of increased lump-sum distributions from the retirement plan during 2024, 2023 and 2022, net settlement losses of $0.9 million, $1.3 million and $1.9 million were recognized in 2024, 2023 and 2022, respectively. These settlement losses have been classified as other gains and (losses), net in the accompanying consolidated statements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funded status of the retirement plan at December 31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$ 57,778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09"/>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57,778</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52,642</w:t>
            </w:r>
          </w:p>
        </w:tc>
      </w:tr>
      <w:tr>
        <w:trPr>
          <w:trHeight w:val="209"/>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 status and accrued pension cost</w:t>
            </w:r>
          </w:p>
        </w:tc>
        <w:tc>
          <w:tcPr>
            <w:tcW w:w="1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Net periodic pension expense reflected in other gains and (losses), net in the accompanying consolidated statements of operations included the following components for the years ended December 31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assumptions used to determine the benefit obligation at December 31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pension expense for years ended December 31 are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rate of increase in future compensation levels was not applicable for any reported years due to the Company amending the plan to freeze the cash balance benefit as described above.</w:t>
      </w:r>
    </w:p>
    <w:p>
      <w:pPr>
        <w:spacing w:after="0" w:line="162"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assumptions used are appropriate, differences in actual experience or changes in assumptions may affect the Company’s pension obligations and expense.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plan’s overall strategy is to achieve a rate of return necessary to fund benefit payments by utilizing a variety of asset types, investment strategies and investment managers. The plan seeks to achieve a long-term rate of return over inflation resulting from income, capital gains, or both, which assists the plan in meeting its long-term objectives.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allocation of the defined benefit pension plan’s assets at December 31 is as follows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51,629</w:t>
            </w: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52,642</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58"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Expected Contributions and Benefit Payments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does not expect to be required to contribute to its defined benefit pension plan in 2025.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9,217</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2030 - 2034</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2024, the Non-Qualified Plans’ projected benefit obligations and accumulated benefit obligations were $10.2 million.</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obligation related to its qualified and non-qualified pension plans of $11.6 million and $16.2 million at December 31, 2024 and 2023, respectively, is included in other liabilities in the accompanying consolidated balance sheets. The change in the deferred net loss related to the Company’s retirement plans during 2024, 2023 and 2022</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resulted in an increase (decrease) in equity of $5.1 million, $5.3 million and $(0.6) million, respectively. Each of these adjustments to equity due to the change in the minimum liability is included in other comprehensive loss in the accompanying consolidated statements of equity (deficit) and noncontrolling interest.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combined net gain, amortization of net loss, and net settlement loss recognized in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2024, 2023 and 2022 was $5.1 million, $5.3 million and $(0.6) million, respectively, net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taxes of $1.2 million, $1.6 million and $0, respectively. Included in accumulated other comprehensive loss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31, 2024 and 2023 are unrecognized actuarial losses of $16.4 million and $21.5 million ($12.4 million and $16.3</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net of tax), respectively, that have not yet been recognized in net periodic pension expense. Net losses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amortized into net periodic pension expense based on the life expectancy of plan participants expected to receive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using a corridor approach based on the greater of projected benefit obligation or fair value of plan assets.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27"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In June 2023, the Company completed an underwritten public offering of approximately 4.4 million shares of its common stock, par value $0.01 per share, at a price to the public of $93.25 per share. Net proceeds to the Company, after deducting underwriting discounts and commissions and other expenses paid by the Company, were approximately $395 million. The Company used the proceeds to pay a portion of the purchase price for JW Marriott Hill Country discussed in Note 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2024, the Company’s board of directors declared quarterly dividends and distributions totaling $4.45 per share of common stock/OP Unit for the full year, or an aggregate of $268.3 million in cash.</w:t>
      </w:r>
    </w:p>
    <w:p>
      <w:pPr>
        <w:spacing w:after="0" w:line="16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2023, the Company’s board of directors declared quarterly dividends and distributions totaling $3.85 per share of common stock/OP Unit for the full year, or an aggregate of $228.1 million in cash.</w:t>
      </w:r>
    </w:p>
    <w:p>
      <w:pPr>
        <w:spacing w:after="0" w:line="16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During 2022, the Company’s board of directors declared total 2022 dividends and distributions in the amount of $0.35 per share of common stock/OP Unit, or an aggregate of $19.4 million in cash.</w:t>
      </w:r>
    </w:p>
    <w:p>
      <w:pPr>
        <w:spacing w:after="0" w:line="16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REIT for federal income tax purposes, the Company must distribute at least 90% of its REIT taxable income each year. The Company’s dividend policy provides that the Company will make minimum dividends of 100% of REIT taxable income annually, subject to the Company’s board of directors’ future determinations as to the amount of any distributions and the timing thereof. The dividend policy may be altered at any time by the Company’s board of directors.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December 18, 2008, following approval by the Human Resources Committee and the Board of Directors, the Company and the Company’s Chairman of the Board of Directors and then-Chief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3"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The increase in treasury stock for a particular year represents dividends received on shares of Company common stock held by the rabbi trust.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consisted of the following (amounts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(16,419)</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(3,298)</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(12,177)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(1,003)</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the Company generally will not be subject to federal corporate income taxes on ordinary taxable income and capital gains income from real estate investments that it distributes to its stockholders. The Company pays federal and state corporate income taxes on earnings of its taxable REIT subsidiaries (“TRSs”).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benefit for continuing operations consists of the following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(21,936)</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provision</w:t>
            </w: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(30,531)</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95,825</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(38,775)</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evaluates its deferred tax assets each reporting period to determine if it is more likely than not that those assets will be realized or if a valuation allowance is needed. In the fourth quarter of 2023, due to continued improvement in the Company’s financial results coming out of the COVID-19 pandemic and the projected future taxable income of its TRSs, the Company determined that the release of a significant portion of its federal and state valuation allowance was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appropriate. This release of valuation allowance of $112.5 million was the primary factor in the income tax benefit for 2023.</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reported for financial reporting purposes. The estimated taxability of cash distributions to common stockholders is shown in the table below (per common share) (unaudited):</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0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$ 4.28</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$ 0.28</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$ 4.35</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$ 3.85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$ 0.35</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differences between the income tax provision calculated at the statutory U.S. federal income tax rate of 21% and the actual income tax (provision) benefit recorded for continuing operations are as follows (amounts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provision</w:t>
            </w:r>
          </w:p>
        </w:tc>
        <w:tc>
          <w:tcPr>
            <w:tcW w:w="10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(61,746)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nontaxable income of the REIT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provision (net of federal taxes)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Permanent share-based compensation adjustment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valuation allowance (net of federal taxes)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(13,836)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w:t>
            </w:r>
          </w:p>
        </w:tc>
      </w:tr>
      <w:tr>
        <w:trPr>
          <w:trHeight w:val="20"/>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at December 31 are as follows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reserves and accruals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22,340</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Pension plans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102,032</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 and other carryforwards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r>
      <w:tr>
        <w:trPr>
          <w:trHeight w:val="209"/>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183,987</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178,430</w:t>
            </w: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90,792</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96,806</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81,624</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TRS federal net operating loss carryforwards at December 31, 2024 totaled $488.7 million, resulting in a deferred tax asset of $102.6 million, and do not expire. The REIT has no federal net operating losses as of December 31, 2024. The TRS federal interest limitation carryforward at December 31, 2024 totaled $70.0 million, resulting in a deferred tax asset of $14.7 million that does not expire. The use of certain federal net operating losses, credits and other deferred tax assets is limited to the Company’s future taxable earnings. As a result, a valuation allowance was provided for certain federal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deferred tax assets in 2022 and was fully released in 2023. The valuation allowance related to federal deferred tax assets increased (decreased) $0, $(87.3) million and $(1.6) million in 2024, 2023 and 2022, respectively.</w:t>
      </w:r>
    </w:p>
    <w:p>
      <w:pPr>
        <w:spacing w:after="0" w:line="162"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State net operating loss carryforwards at December 31, 2024 totaled $612.1 million, resulting in a deferred tax benefit of $23.1 million, which will expire between 2025 and 2044. The use of certain state net operating losses, credits and other state deferred tax assets is limited to the future taxable earnings of separate legal entities. As a result, a valuation allowance has been provided for certain state deferred tax assets, including loss carryforwards. The valuation allowance related to state deferred tax assets increased (decreased) $0, $(25.1) million and $(5.8) million in 2024, 2023 and 2022, respectively.</w:t>
      </w:r>
    </w:p>
    <w:p>
      <w:pPr>
        <w:spacing w:after="0" w:line="16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has concluded IRS examinations of the TRS through the 2015 tax year. For federal income tax purposes and substantially all the states with which the Company has nexus, the statute of limitations has expired through 2020. However, the Company has federal and state net operating loss carryforwards from closed years, which could be adjusted upon audit. The Company is routinely subject to other various jurisdictional income tax audits; however, there were no outstanding state or local audits at December 31, 2024. In addition, the Company has evaluated the effects of the Inflation Reduction Act signed into law in 2022 and believes that it has no material effect on the Company’s financial statements.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no accruals for unrecognized tax benefits. The Company recognizes interest and penalties related to uncertain tax positions, if any, in income tax expense. At December 31, 2024 and 2023, the Company has accrued no interest or penalties related to uncertain tax positions.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the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entered into a tax protection agreement in connection with the December 31, 2018 purchase of additional interests in the Gaylord Rockies joint venture, which will generally require the Company to, among other things, indemnify certain minority partners that were members of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18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limited guarantees to the Block 21 lenders under the Block 21 CMBS Loan via a guaranty agreement, a guaranty of completion agreement and an environmental indemnity.</w:t>
      </w:r>
    </w:p>
    <w:p>
      <w:pPr>
        <w:spacing w:after="0" w:line="14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of January 1, 2022, the Company is self-insured for certain losses related to employee medical benefits. The Company has purchased stop-loss coverage in order to limit its exposure to any significant levels of claims relating to workers’ compensation and employee medical benefits for which it is self-insured.</w:t>
      </w:r>
    </w:p>
    <w:p>
      <w:pPr>
        <w:spacing w:after="0" w:line="1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after a change of control.</w:t>
      </w:r>
    </w:p>
    <w:p>
      <w:pPr>
        <w:spacing w:after="0" w:line="16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8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at fair value on a recurring basis at December 31, were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40" w:type="dxa"/>
            <w:vAlign w:val="bottom"/>
            <w:gridSpan w:val="3"/>
            <w:vMerge w:val="restart"/>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40" w:type="dxa"/>
            <w:vAlign w:val="bottom"/>
            <w:gridSpan w:val="3"/>
            <w:vMerge w:val="restart"/>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December 31, 2024 are not required to be recorded at fair value, and financial assets and liabilities approximate fair value.</w:t>
      </w:r>
    </w:p>
    <w:p>
      <w:pPr>
        <w:spacing w:after="0" w:line="162"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See the “JW Marriott Hill Country Transaction” and the “Block 21 Transaction” sections of Note 1 for additional disclosures related to the fair value measurements used in accounting for the purchase of JW Marriott Hill Country and Block 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Financial Reporting By Business 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223" w:lineRule="exact"/>
        <w:rPr>
          <w:sz w:val="20"/>
          <w:szCs w:val="20"/>
          <w:color w:val="auto"/>
        </w:rPr>
      </w:pPr>
    </w:p>
    <w:p>
      <w:pPr>
        <w:ind w:left="720" w:right="319" w:hanging="319"/>
        <w:spacing w:after="0" w:line="284"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(effective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 at Opryland and the AC Hotel;</w:t>
      </w:r>
    </w:p>
    <w:p>
      <w:pPr>
        <w:spacing w:after="0" w:line="158" w:lineRule="exact"/>
        <w:rPr>
          <w:rFonts w:ascii="Times New Roman" w:cs="Times New Roman" w:eastAsia="Times New Roman" w:hAnsi="Times New Roman"/>
          <w:sz w:val="18"/>
          <w:szCs w:val="18"/>
          <w:color w:val="auto"/>
        </w:rPr>
      </w:pPr>
    </w:p>
    <w:p>
      <w:pPr>
        <w:ind w:left="720" w:right="539" w:hanging="319"/>
        <w:spacing w:after="0" w:line="315"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Entertainment</w:t>
      </w:r>
      <w:r>
        <w:rPr>
          <w:rFonts w:ascii="Times New Roman" w:cs="Times New Roman" w:eastAsia="Times New Roman" w:hAnsi="Times New Roman"/>
          <w:sz w:val="17"/>
          <w:szCs w:val="17"/>
          <w:color w:val="auto"/>
        </w:rPr>
        <w:t>, which includes the OEG business, specifically, the Grand Ole Opry, the Ryman Auditorium,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WSM-AM, Ole Red, Category 10, Block 21, and the Company’s previous investment in Circle; and</w:t>
      </w:r>
    </w:p>
    <w:p>
      <w:pPr>
        <w:spacing w:after="0" w:line="134" w:lineRule="exact"/>
        <w:rPr>
          <w:rFonts w:ascii="Times New Roman" w:cs="Times New Roman" w:eastAsia="Times New Roman" w:hAnsi="Times New Roman"/>
          <w:sz w:val="17"/>
          <w:szCs w:val="17"/>
          <w:color w:val="auto"/>
        </w:rPr>
      </w:pPr>
    </w:p>
    <w:p>
      <w:pPr>
        <w:ind w:left="720" w:right="379" w:hanging="319"/>
        <w:spacing w:after="0" w:line="284"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60"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The Company does not have intersegment sales or transfers. The following information (amounts in thousands) is derived directly from the segments’ internal financial reports used by the CODM and for corporate management purposes.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2024</w:t>
            </w:r>
          </w:p>
        </w:tc>
      </w:tr>
      <w:tr>
        <w:trPr>
          <w:trHeight w:val="191"/>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$ 1,997,050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2,339,226</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73,531</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102,653</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205,189</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235,626</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(14,611)</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(38,283)</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(225,395)</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294,026</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2023</w:t>
            </w:r>
          </w:p>
        </w:tc>
      </w:tr>
      <w:tr>
        <w:trPr>
          <w:trHeight w:val="191"/>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$ 1,833,478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2,158,136</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66,425</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43,544</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81,021</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211,227</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421,264</w:t>
            </w:r>
          </w:p>
        </w:tc>
        <w:tc>
          <w:tcPr>
            <w:tcW w:w="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453,684</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(40,988)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(211,370)</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248,098</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2022</w:t>
            </w:r>
          </w:p>
        </w:tc>
      </w:tr>
      <w:tr>
        <w:trPr>
          <w:trHeight w:val="191"/>
        </w:trPr>
        <w:tc>
          <w:tcPr>
            <w:tcW w:w="2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1,537,974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1,805,969</w:t>
            </w: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155,817</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381,142</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457,291</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43,425</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75,916</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74,534</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sale of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208,616</w:t>
            </w:r>
          </w:p>
        </w:tc>
      </w:tr>
      <w:tr>
        <w:trPr>
          <w:trHeight w:val="21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(41,863)</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(19,993)</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(148,406)</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16"/>
        </w:trPr>
        <w:tc>
          <w:tcPr>
            <w:tcW w:w="5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1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173,723</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include:</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unconsolidated joint ventures relates to the Entertainment segment.</w:t>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$ 4,081,754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$ 4,039,804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610,663</w:t>
            </w: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481,850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538,070</w:t>
            </w: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$ 5,217,573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$ 5,188,537</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capital expenditures by segment for the years ended December 31 (amounts in thousands):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0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$ 300,867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$ 145,805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$ 70,406</w:t>
            </w:r>
          </w:p>
        </w:tc>
      </w:t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60,428</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18,767</w:t>
            </w:r>
          </w:p>
        </w:tc>
      </w:tr>
      <w:tr>
        <w:trPr>
          <w:trHeight w:val="216"/>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$ 407,905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$ 206,776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$ 89,520</w:t>
            </w: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SCHEDULE II – VALUATION AND QUALIFYING ACCOUNTS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(Deductions)</w:t>
            </w:r>
          </w:p>
        </w:tc>
        <w:tc>
          <w:tcPr>
            <w:tcW w:w="100" w:type="dxa"/>
            <w:vAlign w:val="bottom"/>
          </w:tcPr>
          <w:p>
            <w:pPr>
              <w:spacing w:after="0"/>
              <w:rPr>
                <w:sz w:val="13"/>
                <w:szCs w:val="13"/>
                <w:color w:val="auto"/>
              </w:rPr>
            </w:pPr>
          </w:p>
        </w:tc>
        <w:tc>
          <w:tcPr>
            <w:tcW w:w="78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Expenses/Other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8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6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reserve on notes receivable: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(112,458)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Initial Cost to Company</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Capitalized</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10"/>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w w:val="94"/>
              </w:rPr>
              <w:t>Gross Amount at End of Year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Date Acq/</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Encmbr</w:t>
            </w:r>
          </w:p>
        </w:tc>
        <w:tc>
          <w:tcPr>
            <w:tcW w:w="100" w:type="dxa"/>
            <w:vAlign w:val="bottom"/>
          </w:tcPr>
          <w:p>
            <w:pPr>
              <w:spacing w:after="0"/>
              <w:rPr>
                <w:sz w:val="11"/>
                <w:szCs w:val="11"/>
                <w:color w:val="auto"/>
              </w:rPr>
            </w:pPr>
          </w:p>
        </w:tc>
        <w:tc>
          <w:tcPr>
            <w:tcW w:w="5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1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Bldgs &amp; Impr</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Subs to Acq</w:t>
            </w:r>
          </w:p>
        </w:tc>
        <w:tc>
          <w:tcPr>
            <w:tcW w:w="160" w:type="dxa"/>
            <w:vAlign w:val="bottom"/>
          </w:tcPr>
          <w:p>
            <w:pPr>
              <w:spacing w:after="0"/>
              <w:rPr>
                <w:sz w:val="11"/>
                <w:szCs w:val="11"/>
                <w:color w:val="auto"/>
              </w:rPr>
            </w:pPr>
          </w:p>
        </w:tc>
        <w:tc>
          <w:tcPr>
            <w:tcW w:w="640" w:type="dxa"/>
            <w:vAlign w:val="bottom"/>
            <w:gridSpan w:val="2"/>
          </w:tcPr>
          <w:p>
            <w:pPr>
              <w:jc w:val="right"/>
              <w:ind w:right="99"/>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160" w:type="dxa"/>
            <w:vAlign w:val="bottom"/>
          </w:tcPr>
          <w:p>
            <w:pPr>
              <w:spacing w:after="0"/>
              <w:rPr>
                <w:sz w:val="11"/>
                <w:szCs w:val="11"/>
                <w:color w:val="auto"/>
              </w:rPr>
            </w:pPr>
          </w:p>
        </w:tc>
        <w:tc>
          <w:tcPr>
            <w:tcW w:w="1020" w:type="dxa"/>
            <w:vAlign w:val="bottom"/>
            <w:gridSpan w:val="7"/>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Bldgs &amp; Impr</w:t>
            </w:r>
          </w:p>
        </w:tc>
        <w:tc>
          <w:tcPr>
            <w:tcW w:w="680" w:type="dxa"/>
            <w:vAlign w:val="bottom"/>
          </w:tcPr>
          <w:p>
            <w:pPr>
              <w:jc w:val="right"/>
              <w:ind w:right="83"/>
              <w:spacing w:after="0" w:line="129" w:lineRule="exact"/>
              <w:rPr>
                <w:sz w:val="20"/>
                <w:szCs w:val="20"/>
                <w:color w:val="auto"/>
              </w:rPr>
            </w:pPr>
            <w:r>
              <w:rPr>
                <w:rFonts w:ascii="Times New Roman" w:cs="Times New Roman" w:eastAsia="Times New Roman" w:hAnsi="Times New Roman"/>
                <w:sz w:val="13"/>
                <w:szCs w:val="13"/>
                <w:b w:val="1"/>
                <w:bCs w:val="1"/>
                <w:color w:val="auto"/>
              </w:rPr>
              <w:t>Total (2)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Acc Depr</w:t>
            </w:r>
          </w:p>
        </w:tc>
        <w:tc>
          <w:tcPr>
            <w:tcW w:w="6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3"/>
              </w:rPr>
              <w:t>Constr</w:t>
            </w: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(yrs)</w:t>
            </w: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Gaylord Opryland</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11,482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721,754</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74,512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735,849</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810,361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475,153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1983</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Palms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263,786</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558,809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600,011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Texan</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195,621</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554,353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604,886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264,875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National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43,212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840,261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70,804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906,384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954,277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368,831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Rockies</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53,374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96,006</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910,278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26"/>
        </w:trPr>
        <w:tc>
          <w:tcPr>
            <w:tcW w:w="1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JW Marriott Hill</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139,196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558,584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18,422</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151,729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564,473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716,202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24,549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Country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Inn at Opryland</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30,158</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1998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 Hotel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4,426</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9,101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2014</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Miscellaneous</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43,337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8,587</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58,641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345,154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2,970,864</w:t>
            </w: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$ 1,409,564</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$ 501,990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4,223,592</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$ 4,725,582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1,554,172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6"/>
          </w:tcPr>
          <w:p>
            <w:pPr>
              <w:jc w:val="right"/>
              <w:ind w:right="4"/>
              <w:spacing w:after="0"/>
              <w:rPr>
                <w:sz w:val="20"/>
                <w:szCs w:val="20"/>
                <w:color w:val="auto"/>
              </w:rPr>
            </w:pPr>
            <w:r>
              <w:rPr>
                <w:rFonts w:ascii="Times New Roman" w:cs="Times New Roman" w:eastAsia="Times New Roman" w:hAnsi="Times New Roman"/>
                <w:sz w:val="18"/>
                <w:szCs w:val="18"/>
                <w:color w:val="auto"/>
              </w:rPr>
              <w:t>$ 4,570,055</w:t>
            </w:r>
          </w:p>
        </w:tc>
        <w:tc>
          <w:tcPr>
            <w:tcW w:w="160" w:type="dxa"/>
            <w:vAlign w:val="bottom"/>
          </w:tcPr>
          <w:p>
            <w:pPr>
              <w:spacing w:after="0"/>
              <w:rPr>
                <w:sz w:val="18"/>
                <w:szCs w:val="18"/>
                <w:color w:val="auto"/>
              </w:rPr>
            </w:pPr>
          </w:p>
        </w:tc>
        <w:tc>
          <w:tcPr>
            <w:tcW w:w="960" w:type="dxa"/>
            <w:vAlign w:val="bottom"/>
            <w:gridSpan w:val="5"/>
          </w:tcPr>
          <w:p>
            <w:pPr>
              <w:jc w:val="right"/>
              <w:ind w:right="3"/>
              <w:spacing w:after="0"/>
              <w:rPr>
                <w:sz w:val="20"/>
                <w:szCs w:val="20"/>
                <w:color w:val="auto"/>
              </w:rPr>
            </w:pPr>
            <w:r>
              <w:rPr>
                <w:rFonts w:ascii="Times New Roman" w:cs="Times New Roman" w:eastAsia="Times New Roman" w:hAnsi="Times New Roman"/>
                <w:sz w:val="18"/>
                <w:szCs w:val="18"/>
                <w:color w:val="auto"/>
              </w:rPr>
              <w:t>$ 3,810,923</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3,792,011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acquisitions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w w:val="99"/>
              </w:rPr>
              <w:t>697,780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Improvements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156,267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61,440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Disposals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Borders>
              <w:bottom w:val="single" w:sz="8" w:color="CCEEFF"/>
            </w:tcBorders>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gridSpan w:val="2"/>
          </w:tcPr>
          <w:p>
            <w:pPr>
              <w:spacing w:after="0"/>
              <w:rPr>
                <w:sz w:val="21"/>
                <w:szCs w:val="21"/>
                <w:color w:val="auto"/>
              </w:rPr>
            </w:pPr>
          </w:p>
        </w:tc>
        <w:tc>
          <w:tcPr>
            <w:tcW w:w="9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color w:val="auto"/>
                <w:w w:val="98"/>
              </w:rPr>
              <w:t>$ 4,725,582</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8"/>
                <w:szCs w:val="18"/>
                <w:color w:val="auto"/>
                <w:w w:val="98"/>
              </w:rPr>
              <w:t>$ 4,570,055</w:t>
            </w:r>
          </w:p>
        </w:tc>
        <w:tc>
          <w:tcPr>
            <w:tcW w:w="200" w:type="dxa"/>
            <w:vAlign w:val="bottom"/>
            <w:tcBorders>
              <w:bottom w:val="single" w:sz="8" w:color="CCEEFF"/>
            </w:tcBorders>
            <w:gridSpan w:val="3"/>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3,810,923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$ 1,436,672</w:t>
            </w:r>
          </w:p>
        </w:tc>
        <w:tc>
          <w:tcPr>
            <w:tcW w:w="1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$ 1,327,833</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117,674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w w:val="99"/>
              </w:rPr>
              <w:t>108,846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99,533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Disposals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w w:val="98"/>
              </w:rPr>
              <w:t>$ 1,554,172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right"/>
              <w:ind w:right="3"/>
              <w:spacing w:after="0"/>
              <w:rPr>
                <w:sz w:val="20"/>
                <w:szCs w:val="20"/>
                <w:color w:val="auto"/>
              </w:rPr>
            </w:pPr>
            <w:r>
              <w:rPr>
                <w:rFonts w:ascii="Times New Roman" w:cs="Times New Roman" w:eastAsia="Times New Roman" w:hAnsi="Times New Roman"/>
                <w:sz w:val="18"/>
                <w:szCs w:val="18"/>
                <w:color w:val="auto"/>
                <w:w w:val="98"/>
              </w:rPr>
              <w:t>$ 1,436,672</w:t>
            </w:r>
          </w:p>
        </w:tc>
        <w:tc>
          <w:tcPr>
            <w:tcW w:w="200" w:type="dxa"/>
            <w:vAlign w:val="bottom"/>
            <w:gridSpan w:val="3"/>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1,327,833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320" w:hanging="330"/>
        <w:spacing w:after="0" w:line="261" w:lineRule="auto"/>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pledges under the Company’s credit facility. At December 31, 2024, $297.1 million in borrowings and letters of credit were outstanding under such facility.</w:t>
      </w:r>
    </w:p>
    <w:p>
      <w:pPr>
        <w:ind w:left="580" w:right="900" w:hanging="330"/>
        <w:spacing w:after="0" w:line="260" w:lineRule="auto"/>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these assets for federal income tax purposes (unaudited) is approximately $3.5 billion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121" w:name="page122"/>
    <w:bookmarkEnd w:id="12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10.32</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Ryman Hospitality Properties, Inc. (the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Director and Executive Officer Compensation</w:t>
      </w:r>
    </w:p>
    <w:p>
      <w:pPr>
        <w:spacing w:after="0" w:line="237" w:lineRule="exact"/>
        <w:rPr>
          <w:sz w:val="20"/>
          <w:szCs w:val="20"/>
          <w:color w:val="auto"/>
        </w:rPr>
      </w:pPr>
    </w:p>
    <w:p>
      <w:pPr>
        <w:jc w:val="both"/>
        <w:ind w:left="200" w:right="439" w:firstLine="9"/>
        <w:spacing w:after="0" w:line="263" w:lineRule="auto"/>
        <w:tabs>
          <w:tab w:leader="none" w:pos="84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 Compensation</w:t>
      </w:r>
      <w:r>
        <w:rPr>
          <w:rFonts w:ascii="Times New Roman" w:cs="Times New Roman" w:eastAsia="Times New Roman" w:hAnsi="Times New Roman"/>
          <w:sz w:val="20"/>
          <w:szCs w:val="20"/>
          <w:color w:val="auto"/>
        </w:rPr>
        <w:t>. Directors who are employees of the Company do not receive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for serving as directors of the Company. The following table sets forth current rates of cash compensation for the Company’s non-employee directors.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Retainers</w:t>
            </w:r>
          </w:p>
        </w:tc>
        <w:tc>
          <w:tcPr>
            <w:tcW w:w="1820" w:type="dxa"/>
            <w:vAlign w:val="bottom"/>
            <w:gridSpan w:val="2"/>
          </w:tcPr>
          <w:p>
            <w:pPr>
              <w:jc w:val="center"/>
              <w:ind w:left="132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60" w:type="dxa"/>
            <w:vAlign w:val="bottom"/>
          </w:tcPr>
          <w:p>
            <w:pPr>
              <w:spacing w:after="0"/>
              <w:rPr>
                <w:sz w:val="19"/>
                <w:szCs w:val="19"/>
                <w:color w:val="auto"/>
              </w:rPr>
            </w:pPr>
          </w:p>
        </w:tc>
      </w:tr>
      <w:tr>
        <w:trPr>
          <w:trHeight w:val="21"/>
        </w:trPr>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Board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$ 80,000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Lead Non-Management Director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$ 30,000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$ 30,000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chair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chair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member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member retainer</w:t>
            </w:r>
          </w:p>
        </w:tc>
        <w:tc>
          <w:tcPr>
            <w:tcW w:w="2480" w:type="dxa"/>
            <w:vAlign w:val="bottom"/>
            <w:gridSpan w:val="3"/>
            <w:shd w:val="clear" w:color="auto" w:fill="CCEEFF"/>
          </w:tcPr>
          <w:p>
            <w:pPr>
              <w:jc w:val="center"/>
              <w:ind w:left="661"/>
              <w:spacing w:after="0"/>
              <w:rPr>
                <w:sz w:val="20"/>
                <w:szCs w:val="20"/>
                <w:color w:val="auto"/>
              </w:rPr>
            </w:pPr>
            <w:r>
              <w:rPr>
                <w:rFonts w:ascii="Times New Roman" w:cs="Times New Roman" w:eastAsia="Times New Roman" w:hAnsi="Times New Roman"/>
                <w:sz w:val="20"/>
                <w:szCs w:val="20"/>
                <w:color w:val="auto"/>
                <w:w w:val="99"/>
              </w:rPr>
              <w:t>$ 7,500</w:t>
            </w:r>
          </w:p>
        </w:tc>
      </w:tr>
      <w:tr>
        <w:trPr>
          <w:trHeight w:val="258"/>
        </w:trPr>
        <w:tc>
          <w:tcPr>
            <w:tcW w:w="80" w:type="dxa"/>
            <w:vAlign w:val="bottom"/>
          </w:tcPr>
          <w:p>
            <w:pPr>
              <w:spacing w:after="0"/>
              <w:rPr>
                <w:sz w:val="22"/>
                <w:szCs w:val="22"/>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bl>
    <w:p>
      <w:pPr>
        <w:spacing w:after="0" w:line="205"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20"/>
          <w:szCs w:val="20"/>
          <w:color w:val="auto"/>
        </w:rPr>
        <w:t>Non-employee directors may elect payments in cash or defer a portion of their cash compensation and receive restricted stock units pursuant to the Company’s 2024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219" w:lineRule="exact"/>
        <w:rPr>
          <w:sz w:val="20"/>
          <w:szCs w:val="20"/>
          <w:color w:val="auto"/>
        </w:rPr>
      </w:pPr>
    </w:p>
    <w:p>
      <w:pPr>
        <w:jc w:val="both"/>
        <w:ind w:left="200" w:right="379"/>
        <w:spacing w:after="0" w:line="251" w:lineRule="auto"/>
        <w:rPr>
          <w:sz w:val="20"/>
          <w:szCs w:val="20"/>
          <w:color w:val="auto"/>
        </w:rPr>
      </w:pPr>
      <w:r>
        <w:rPr>
          <w:rFonts w:ascii="Times New Roman" w:cs="Times New Roman" w:eastAsia="Times New Roman" w:hAnsi="Times New Roman"/>
          <w:sz w:val="20"/>
          <w:szCs w:val="20"/>
          <w:color w:val="auto"/>
        </w:rPr>
        <w:t>In addition, each non-employee director receives, as of the date of our board meeting following our annual meeting of stockholders, an annual grant of restricted stock units having a dollar value of $120,000, based upon the fair market value of the Company’s common stock on the date of grant. The restricted stock units vest fully on the first anniversary of the date of grant, pursuant to the Company’s 2024 Omnibus Incentive Plan, unless deferred by the director until a specified date or the end of the director’s service on the Board of Directors. Directors do not receive fees for attending meetings.</w:t>
      </w:r>
    </w:p>
    <w:p>
      <w:pPr>
        <w:spacing w:after="0" w:line="213" w:lineRule="exact"/>
        <w:rPr>
          <w:sz w:val="20"/>
          <w:szCs w:val="20"/>
          <w:color w:val="auto"/>
        </w:rPr>
      </w:pPr>
    </w:p>
    <w:p>
      <w:pPr>
        <w:ind w:left="200" w:right="279" w:firstLine="9"/>
        <w:spacing w:after="0" w:line="254" w:lineRule="auto"/>
        <w:tabs>
          <w:tab w:leader="none" w:pos="84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Officer Compensation</w:t>
      </w:r>
      <w:r>
        <w:rPr>
          <w:rFonts w:ascii="Times New Roman" w:cs="Times New Roman" w:eastAsia="Times New Roman" w:hAnsi="Times New Roman"/>
          <w:sz w:val="20"/>
          <w:szCs w:val="20"/>
          <w:color w:val="auto"/>
        </w:rPr>
        <w:t>. The following table sets forth the 2025 annual base salaries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fiscal 2024 short-term incentive compensation provided to the Company’s Chief Executive Officer, Chief Financial Officer and the three other most highly compensated executive officers to be named in the Company’s proxy statement to be filed in connection with the 2025 annual meeting of stockholders (the “Named Executive Officers”).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Fiscal</w:t>
            </w:r>
          </w:p>
        </w:tc>
      </w:tr>
      <w:tr>
        <w:trPr>
          <w:trHeight w:val="243"/>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340" w:type="dxa"/>
            <w:vAlign w:val="bottom"/>
          </w:tcPr>
          <w:p>
            <w:pPr>
              <w:spacing w:after="0"/>
              <w:rPr>
                <w:sz w:val="21"/>
                <w:szCs w:val="21"/>
                <w:color w:val="auto"/>
              </w:rPr>
            </w:pPr>
          </w:p>
        </w:tc>
      </w:tr>
      <w:tr>
        <w:trPr>
          <w:trHeight w:val="230"/>
        </w:trPr>
        <w:tc>
          <w:tcPr>
            <w:tcW w:w="3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460" w:type="dxa"/>
            <w:vAlign w:val="bottom"/>
          </w:tcPr>
          <w:p>
            <w:pPr>
              <w:spacing w:after="0"/>
              <w:rPr>
                <w:sz w:val="19"/>
                <w:szCs w:val="19"/>
                <w:color w:val="auto"/>
              </w:rPr>
            </w:pPr>
          </w:p>
        </w:tc>
        <w:tc>
          <w:tcPr>
            <w:tcW w:w="244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b w:val="1"/>
                <w:bCs w:val="1"/>
                <w:color w:val="auto"/>
                <w:w w:val="97"/>
              </w:rPr>
              <w:t>Bonus</w:t>
            </w:r>
          </w:p>
        </w:tc>
      </w:tr>
      <w:tr>
        <w:trPr>
          <w:trHeight w:val="27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Amount</w:t>
            </w:r>
          </w:p>
        </w:tc>
      </w:tr>
      <w:tr>
        <w:trPr>
          <w:trHeight w:val="223"/>
        </w:trPr>
        <w:tc>
          <w:tcPr>
            <w:tcW w:w="39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7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$950,000</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$1,650,000</w:t>
            </w:r>
          </w:p>
        </w:tc>
        <w:tc>
          <w:tcPr>
            <w:tcW w:w="1340" w:type="dxa"/>
            <w:vAlign w:val="bottom"/>
          </w:tcPr>
          <w:p>
            <w:pPr>
              <w:spacing w:after="0"/>
              <w:rPr>
                <w:sz w:val="19"/>
                <w:szCs w:val="19"/>
                <w:color w:val="auto"/>
              </w:rPr>
            </w:pPr>
          </w:p>
        </w:tc>
      </w:tr>
      <w:tr>
        <w:trPr>
          <w:trHeight w:val="23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$525,000</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$943,272</w:t>
            </w:r>
          </w:p>
        </w:tc>
        <w:tc>
          <w:tcPr>
            <w:tcW w:w="1340" w:type="dxa"/>
            <w:vAlign w:val="bottom"/>
          </w:tcPr>
          <w:p>
            <w:pPr>
              <w:spacing w:after="0"/>
              <w:rPr>
                <w:sz w:val="19"/>
                <w:szCs w:val="19"/>
                <w:color w:val="auto"/>
              </w:rPr>
            </w:pPr>
          </w:p>
        </w:tc>
      </w:tr>
      <w:tr>
        <w:trPr>
          <w:trHeight w:val="229"/>
        </w:trPr>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$543,375</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$674,827</w:t>
            </w:r>
          </w:p>
        </w:tc>
        <w:tc>
          <w:tcPr>
            <w:tcW w:w="1340" w:type="dxa"/>
            <w:vAlign w:val="bottom"/>
          </w:tcPr>
          <w:p>
            <w:pPr>
              <w:spacing w:after="0"/>
              <w:rPr>
                <w:sz w:val="19"/>
                <w:szCs w:val="19"/>
                <w:color w:val="auto"/>
              </w:rPr>
            </w:pPr>
          </w:p>
        </w:tc>
      </w:tr>
      <w:tr>
        <w:trPr>
          <w:trHeight w:val="23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$595,125</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$753,250</w:t>
            </w:r>
          </w:p>
        </w:tc>
        <w:tc>
          <w:tcPr>
            <w:tcW w:w="1340" w:type="dxa"/>
            <w:vAlign w:val="bottom"/>
          </w:tcPr>
          <w:p>
            <w:pPr>
              <w:spacing w:after="0"/>
              <w:rPr>
                <w:sz w:val="19"/>
                <w:szCs w:val="19"/>
                <w:color w:val="auto"/>
              </w:rPr>
            </w:pPr>
          </w:p>
        </w:tc>
      </w:tr>
      <w:tr>
        <w:trPr>
          <w:trHeight w:val="230"/>
        </w:trPr>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$501,976</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$627,421</w:t>
            </w:r>
          </w:p>
        </w:tc>
        <w:tc>
          <w:tcPr>
            <w:tcW w:w="1340" w:type="dxa"/>
            <w:vAlign w:val="bottom"/>
          </w:tcPr>
          <w:p>
            <w:pPr>
              <w:spacing w:after="0"/>
              <w:rPr>
                <w:sz w:val="19"/>
                <w:szCs w:val="19"/>
                <w:color w:val="auto"/>
              </w:rPr>
            </w:pPr>
          </w:p>
        </w:tc>
      </w:tr>
      <w:tr>
        <w:trPr>
          <w:trHeight w:val="560"/>
        </w:trPr>
        <w:tc>
          <w:tcPr>
            <w:tcW w:w="3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22" w:name="page123"/>
    <w:bookmarkEnd w:id="122"/>
    <w:p>
      <w:pPr>
        <w:ind w:left="200"/>
        <w:spacing w:after="0"/>
        <w:rPr>
          <w:sz w:val="20"/>
          <w:szCs w:val="20"/>
          <w:color w:val="auto"/>
        </w:rPr>
      </w:pPr>
      <w:r>
        <w:rPr>
          <w:rFonts w:ascii="Times New Roman" w:cs="Times New Roman" w:eastAsia="Times New Roman" w:hAnsi="Times New Roman"/>
          <w:sz w:val="20"/>
          <w:szCs w:val="20"/>
          <w:color w:val="auto"/>
        </w:rPr>
        <w:t>The following table sets forth the fiscal 2025 bonus targets as a percentage of 2025 base salary set for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Company’s Named Executive Officers:</w:t>
      </w: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23"/>
        </w:trPr>
        <w:tc>
          <w:tcPr>
            <w:tcW w:w="396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350%</w:t>
            </w:r>
          </w:p>
        </w:tc>
      </w:tr>
      <w:tr>
        <w:trPr>
          <w:trHeight w:val="229"/>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3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bl>
    <w:p>
      <w:pPr>
        <w:spacing w:after="0" w:line="220"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20"/>
          <w:szCs w:val="20"/>
          <w:color w:val="auto"/>
        </w:rPr>
        <w:t>These amounts were unchanged from fiscal year 2024. The fiscal 2025 bonuses will be determined based upon the achievement of certain financial goals, and, if earned, will be paid pursuant to the Company’s cash incentive compensation program under the Company’s 2025 Incentive Compensation Plan.</w:t>
      </w:r>
    </w:p>
    <w:p>
      <w:pPr>
        <w:spacing w:after="0" w:line="208" w:lineRule="exact"/>
        <w:rPr>
          <w:sz w:val="20"/>
          <w:szCs w:val="20"/>
          <w:color w:val="auto"/>
        </w:rPr>
      </w:pPr>
    </w:p>
    <w:p>
      <w:pPr>
        <w:ind w:left="200" w:right="319"/>
        <w:spacing w:after="0" w:line="261" w:lineRule="auto"/>
        <w:rPr>
          <w:sz w:val="20"/>
          <w:szCs w:val="20"/>
          <w:color w:val="auto"/>
        </w:rPr>
      </w:pPr>
      <w:r>
        <w:rPr>
          <w:rFonts w:ascii="Times New Roman" w:cs="Times New Roman" w:eastAsia="Times New Roman" w:hAnsi="Times New Roman"/>
          <w:sz w:val="20"/>
          <w:szCs w:val="20"/>
          <w:color w:val="auto"/>
        </w:rPr>
        <w:t>On February 20, 2025, as part of an annual grant to designated management-level employees, including the Named Executive Officers, the Named Executive Officers received the following long-term incentive awards pursuant to the Company’s 2024 Omnibus Incentive Plan:</w:t>
      </w:r>
    </w:p>
    <w:p>
      <w:pPr>
        <w:spacing w:after="0" w:line="235" w:lineRule="exact"/>
        <w:rPr>
          <w:sz w:val="20"/>
          <w:szCs w:val="20"/>
          <w:color w:val="auto"/>
        </w:rPr>
      </w:pPr>
    </w:p>
    <w:p>
      <w:pPr>
        <w:ind w:left="880" w:right="719" w:hanging="347"/>
        <w:spacing w:after="0" w:line="254" w:lineRule="auto"/>
        <w:tabs>
          <w:tab w:leader="none" w:pos="8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performance-based restricted stock units for the 2025-2027 performance period, as listed in the table below, of which up to 150% will vest on March 15, 2028 based on the achievement of Total Stockholder Return (“TSR”) against a designated peer group (the “Performance-Based RSUs”).</w:t>
      </w:r>
    </w:p>
    <w:p>
      <w:pPr>
        <w:spacing w:after="0" w:line="241" w:lineRule="exact"/>
        <w:rPr>
          <w:rFonts w:ascii="Times New Roman" w:cs="Times New Roman" w:eastAsia="Times New Roman" w:hAnsi="Times New Roman"/>
          <w:sz w:val="20"/>
          <w:szCs w:val="20"/>
          <w:color w:val="auto"/>
        </w:rPr>
      </w:pPr>
    </w:p>
    <w:p>
      <w:pPr>
        <w:ind w:left="880" w:right="479" w:hanging="347"/>
        <w:spacing w:after="0" w:line="269" w:lineRule="auto"/>
        <w:tabs>
          <w:tab w:leader="none" w:pos="8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time-based restricted stock units, as listed in the table below, vesting ratably over four years beginning on March 15, 2026 (the “Time-Based RSUs”).</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long-term incentive awards to each Named Executive Officer were as follows: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2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7"/>
              </w:rPr>
              <w:t>Time-Based</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8"/>
              </w:rPr>
              <w:t>Performance-Based</w:t>
            </w:r>
          </w:p>
        </w:tc>
      </w:tr>
      <w:tr>
        <w:trPr>
          <w:trHeight w:val="27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RSUs</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6"/>
              </w:rPr>
              <w:t>RSUs</w:t>
            </w:r>
          </w:p>
        </w:tc>
      </w:tr>
      <w:tr>
        <w:trPr>
          <w:trHeight w:val="223"/>
        </w:trPr>
        <w:tc>
          <w:tcPr>
            <w:tcW w:w="29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5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16,064</w:t>
            </w:r>
          </w:p>
        </w:tc>
        <w:tc>
          <w:tcPr>
            <w:tcW w:w="5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16,947</w:t>
            </w:r>
          </w:p>
        </w:tc>
        <w:tc>
          <w:tcPr>
            <w:tcW w:w="520" w:type="dxa"/>
            <w:vAlign w:val="bottom"/>
            <w:tcBorders>
              <w:top w:val="single" w:sz="8" w:color="CCEEFF"/>
            </w:tcBorders>
            <w:shd w:val="clear" w:color="auto" w:fill="CCEEFF"/>
          </w:tcPr>
          <w:p>
            <w:pPr>
              <w:spacing w:after="0"/>
              <w:rPr>
                <w:sz w:val="19"/>
                <w:szCs w:val="19"/>
                <w:color w:val="auto"/>
              </w:rPr>
            </w:pPr>
          </w:p>
        </w:tc>
      </w:tr>
      <w:tr>
        <w:trPr>
          <w:trHeight w:val="229"/>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7,608</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8,028</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3,940</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4,154</w:t>
            </w:r>
          </w:p>
        </w:tc>
        <w:tc>
          <w:tcPr>
            <w:tcW w:w="520" w:type="dxa"/>
            <w:vAlign w:val="bottom"/>
            <w:shd w:val="clear" w:color="auto" w:fill="CCEEFF"/>
          </w:tcPr>
          <w:p>
            <w:pPr>
              <w:spacing w:after="0"/>
              <w:rPr>
                <w:sz w:val="19"/>
                <w:szCs w:val="19"/>
                <w:color w:val="auto"/>
              </w:rPr>
            </w:pPr>
          </w:p>
        </w:tc>
      </w:tr>
      <w:tr>
        <w:trPr>
          <w:trHeight w:val="23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3,596</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3,792</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3,032</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3,198</w:t>
            </w:r>
          </w:p>
        </w:tc>
        <w:tc>
          <w:tcPr>
            <w:tcW w:w="52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jc w:val="both"/>
        <w:ind w:left="200" w:right="299"/>
        <w:spacing w:after="0" w:line="281" w:lineRule="auto"/>
        <w:rPr>
          <w:sz w:val="20"/>
          <w:szCs w:val="20"/>
          <w:color w:val="auto"/>
        </w:rPr>
      </w:pPr>
      <w:r>
        <w:rPr>
          <w:rFonts w:ascii="Times New Roman" w:cs="Times New Roman" w:eastAsia="Times New Roman" w:hAnsi="Times New Roman"/>
          <w:sz w:val="19"/>
          <w:szCs w:val="19"/>
          <w:color w:val="auto"/>
        </w:rPr>
        <w:t>Certain performance-based restricted stock unit awards under the Company’s 2016 Omnibus Incentive Plan previously granted to the Named Executive Officers, with respect to performance periods ended December 31, 2024, will vest on March 15, 2025 as will be reflected in Form 4 filings to be made with the SEC.</w:t>
      </w:r>
    </w:p>
    <w:p>
      <w:pPr>
        <w:spacing w:after="0" w:line="187" w:lineRule="exact"/>
        <w:rPr>
          <w:sz w:val="20"/>
          <w:szCs w:val="20"/>
          <w:color w:val="auto"/>
        </w:rPr>
      </w:pPr>
    </w:p>
    <w:p>
      <w:pPr>
        <w:jc w:val="both"/>
        <w:ind w:left="200" w:right="319" w:firstLine="9"/>
        <w:spacing w:after="0" w:line="260" w:lineRule="auto"/>
        <w:tabs>
          <w:tab w:leader="none" w:pos="848"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The foregoing information is summary in nature. Additional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compensation of directors and Named Executive Officers will be provided in the Company’s filings with the SEC, including the proxy statement to be filed in connection with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123" w:name="page124"/>
    <w:bookmarkEnd w:id="123"/>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RYMAN HOSPITALITY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COMPANY POLICY REGARDING INSIDER TRADING</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This Policy is Applicable to All Directors,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Employees of the Company.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Need for a Policy Statement</w:t>
      </w:r>
    </w:p>
    <w:p>
      <w:pPr>
        <w:spacing w:after="0" w:line="194"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color w:val="auto"/>
        </w:rPr>
        <w:t>Ryman Hospitality Properties, Inc., a Delaware corporation (together with its affiliates and subsidiaries, unless context otherwise requires, the “Company”) has adopted the following policy (the “Policy”) to provide guidelines with respect to transactions in Company securities and the handling of material nonpublic information about the Company, the companies with which the Company does business or any other company as a result of such Company Insider’s service or employment with the Company. Each Company Insider is responsible for ensuring that such Company Insider does not violate federal or state securities laws or this Policy. This policy is designed to promote compliance with the federal and state securities laws and to protect the Company, as well as Company Insiders, from the very serious liabilities, penalties and reputational damage that can result from violations of these laws.</w:t>
      </w:r>
    </w:p>
    <w:p>
      <w:pPr>
        <w:spacing w:after="0" w:line="159"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16"/>
          <w:szCs w:val="16"/>
          <w:color w:val="auto"/>
        </w:rPr>
        <w:t>Engaging in transactions in securities while in possession of material nonpublic information (“insider trading”) or the selective disclosure of such information to others who may trade or advise others to trade (“tipping”) is prohibited by federal and state laws. Insider trading and/or tipping also compromises the Company’s reputation for integrity and ethical conduct, a reputation that the Company and its employees and directors have all worked hard to establish and cannot afford to have damaged.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Certain Defined Terms</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“Applicable Person” means each Company Insider and any Related Party thereof.</w:t>
      </w:r>
    </w:p>
    <w:p>
      <w:pPr>
        <w:spacing w:after="0" w:line="235"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“Company Insider” means (i) every officer, director and employee of the Company, and this Policy extends to activities within and outside their duties to the Company; and (ii) other persons designated by the Company, such as contractors or consultants who have access to material nonpublic information.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“Exchange Act” means the Securities Exchange Act of 1934, as amended.</w:t>
      </w:r>
    </w:p>
    <w:p>
      <w:pPr>
        <w:spacing w:after="0" w:line="235" w:lineRule="exact"/>
        <w:rPr>
          <w:sz w:val="20"/>
          <w:szCs w:val="20"/>
          <w:color w:val="auto"/>
        </w:rPr>
      </w:pPr>
    </w:p>
    <w:p>
      <w:pPr>
        <w:jc w:val="both"/>
        <w:ind w:left="200" w:right="199" w:firstLine="648"/>
        <w:spacing w:after="0" w:line="275" w:lineRule="auto"/>
        <w:rPr>
          <w:sz w:val="20"/>
          <w:szCs w:val="20"/>
          <w:color w:val="auto"/>
        </w:rPr>
      </w:pPr>
      <w:r>
        <w:rPr>
          <w:rFonts w:ascii="Arial" w:cs="Arial" w:eastAsia="Arial" w:hAnsi="Arial"/>
          <w:sz w:val="16"/>
          <w:szCs w:val="16"/>
          <w:color w:val="auto"/>
        </w:rPr>
        <w:t>“Related Party” means (i) all members of a Company Insider’s family who reside with such Company Insider (including a spouse, children, children away at college, stepchildren, grandchildren, parents, stepparents, grandparents, siblings and in-laws), anyone else who lives in the Company Insider’s household and any family members who do not live in the Company Insider’s household if the Company Insider directs, influences or controls their securities transactions; and (ii) any entities that a Company Insider influences or controls, including any corporations, limited liability companies, partnerships or trusts; and (iii) in the case of any Section 16 Person, any other individual or entity whose ownership is otherwise required to be reported on any filings made by such person under Section 16 of the Exchange Act.</w:t>
      </w:r>
    </w:p>
    <w:p>
      <w:pPr>
        <w:spacing w:after="0" w:line="387" w:lineRule="exact"/>
        <w:rPr>
          <w:sz w:val="20"/>
          <w:szCs w:val="20"/>
          <w:color w:val="auto"/>
        </w:rPr>
      </w:pPr>
    </w:p>
    <w:p>
      <w:pPr>
        <w:jc w:val="both"/>
        <w:ind w:left="200" w:right="199" w:firstLine="648"/>
        <w:spacing w:after="0" w:line="321" w:lineRule="auto"/>
        <w:rPr>
          <w:sz w:val="20"/>
          <w:szCs w:val="20"/>
          <w:color w:val="auto"/>
        </w:rPr>
      </w:pPr>
      <w:r>
        <w:rPr>
          <w:rFonts w:ascii="Arial" w:cs="Arial" w:eastAsia="Arial" w:hAnsi="Arial"/>
          <w:sz w:val="16"/>
          <w:szCs w:val="16"/>
          <w:color w:val="auto"/>
        </w:rPr>
        <w:t>“Section 16 Person” means any member of the board of directors or any individual who is serving as an “officer” (as defined by Exchange Act Rule 16a-1(f) (or any successor provision thereof)) of the Company.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Potential Penalties for Insider Trading Violations</w:t>
      </w:r>
    </w:p>
    <w:p>
      <w:pPr>
        <w:spacing w:after="0" w:line="167" w:lineRule="exact"/>
        <w:rPr>
          <w:sz w:val="20"/>
          <w:szCs w:val="20"/>
          <w:color w:val="auto"/>
        </w:rPr>
      </w:pPr>
    </w:p>
    <w:p>
      <w:pPr>
        <w:jc w:val="both"/>
        <w:ind w:left="200" w:right="199" w:firstLine="648"/>
        <w:spacing w:after="0" w:line="273" w:lineRule="auto"/>
        <w:rPr>
          <w:sz w:val="20"/>
          <w:szCs w:val="20"/>
          <w:color w:val="auto"/>
        </w:rPr>
      </w:pPr>
      <w:r>
        <w:rPr>
          <w:rFonts w:ascii="Arial" w:cs="Arial" w:eastAsia="Arial" w:hAnsi="Arial"/>
          <w:sz w:val="16"/>
          <w:szCs w:val="16"/>
          <w:color w:val="auto"/>
        </w:rPr>
        <w:t>The penalties provided by applicable law for trading on or communicating material nonpublic information are severe, both for individuals involved in such unlawful conduct and their employers. Any person violating applicable insider trading or tipping laws can be subject to various penalties even if the person does not personally benefit from the violation. Penalties for violating insider trading or tipping laws may include imprisonment or other criminal penalties, civil penalties, civil injunctions and the disgorgement of profits from or losses avoided as a result of such offense. In addition, the federal securities laws impose potential liability on companies and other “controlling persons” (as defined in the Exchange Act) if they fail to take reasonable steps to prevent insider trading or tipping violations by applicable personnel. Moreover, in addition to the authority of the Securities and Exchange Commission (“SEC”) to investigate and prosecute offenders, applicable federal law includes a bounty provision permitting payments to persons who provide information leading to the imposition of a civil penalty for insider trading violations, and also provides a private right of action under certain circumstances in connection with insider trading violations.</w:t>
      </w:r>
    </w:p>
    <w:p>
      <w:pPr>
        <w:spacing w:after="0" w:line="141"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6"/>
          <w:szCs w:val="16"/>
          <w:color w:val="auto"/>
        </w:rPr>
        <w:t>In addition, violation of this Policy or federal or state insider trading or tipping laws by any person may, in the case of a director, subject the director to dismissal proceedings and, in the case of an officer or employee, subject the officer or employee to disciplinary action by the Company including termination for cause. Additionally, any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603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jc w:val="both"/>
        <w:ind w:left="200" w:right="219"/>
        <w:spacing w:after="0" w:line="286" w:lineRule="auto"/>
        <w:rPr>
          <w:sz w:val="20"/>
          <w:szCs w:val="20"/>
          <w:color w:val="auto"/>
        </w:rPr>
      </w:pPr>
      <w:r>
        <w:rPr>
          <w:rFonts w:ascii="Arial" w:cs="Arial" w:eastAsia="Arial" w:hAnsi="Arial"/>
          <w:sz w:val="16"/>
          <w:szCs w:val="16"/>
          <w:color w:val="auto"/>
        </w:rPr>
        <w:t>even an investigation which does not result in legal action—can tarnish one’s reputation and irreparably damage a career.</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Policy Statement on Insider Trading</w:t>
      </w:r>
    </w:p>
    <w:p>
      <w:pPr>
        <w:spacing w:after="0" w:line="194" w:lineRule="exact"/>
        <w:rPr>
          <w:sz w:val="20"/>
          <w:szCs w:val="20"/>
          <w:color w:val="auto"/>
        </w:rPr>
      </w:pPr>
    </w:p>
    <w:p>
      <w:pPr>
        <w:jc w:val="both"/>
        <w:ind w:left="200" w:right="199" w:firstLine="648"/>
        <w:spacing w:after="0" w:line="245" w:lineRule="auto"/>
        <w:rPr>
          <w:sz w:val="20"/>
          <w:szCs w:val="20"/>
          <w:color w:val="auto"/>
        </w:rPr>
      </w:pPr>
      <w:r>
        <w:rPr>
          <w:rFonts w:ascii="Arial" w:cs="Arial" w:eastAsia="Arial" w:hAnsi="Arial"/>
          <w:sz w:val="16"/>
          <w:szCs w:val="16"/>
          <w:b w:val="1"/>
          <w:bCs w:val="1"/>
          <w:color w:val="auto"/>
        </w:rPr>
        <w:t xml:space="preserve">Policy. </w:t>
      </w:r>
      <w:r>
        <w:rPr>
          <w:rFonts w:ascii="Arial" w:cs="Arial" w:eastAsia="Arial" w:hAnsi="Arial"/>
          <w:sz w:val="16"/>
          <w:szCs w:val="16"/>
          <w:color w:val="auto"/>
        </w:rPr>
        <w:t>It is the policy of the Company that no Applicable Person while aware of material nonpublic</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may (a) engage in any transaction in Company securities (other than pursuant to a pre-approved trading plan that complies with Rule 10b5 -1, including the Company’s Individual Rule 10b5- 1 Trading Plan Guidelines, which are attached hereto as Annex A), (b) engage in any transaction in the securities of any other company or otherwise take any action to take advantage of such material nonpublic information (including entering into any transaction involving the securities of another company that is economically-linked to the Company, inclusive of all significant Company partners, collaborators, customers, suppliers, vendors, industry peers, or competitors of the Company, or a company that is involved in a potential transaction or other business relationship with the Company), or (c) communicate such material nonpublic information to others outside the Company, including Related Parties, other family and friends, in violation of applicable law.</w:t>
      </w:r>
    </w:p>
    <w:p>
      <w:pPr>
        <w:spacing w:after="0" w:line="362"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16"/>
          <w:szCs w:val="16"/>
          <w:b w:val="1"/>
          <w:bCs w:val="1"/>
          <w:color w:val="auto"/>
        </w:rPr>
        <w:t xml:space="preserve">Transactions by Related Parties. </w:t>
      </w:r>
      <w:r>
        <w:rPr>
          <w:rFonts w:ascii="Arial" w:cs="Arial" w:eastAsia="Arial" w:hAnsi="Arial"/>
          <w:sz w:val="16"/>
          <w:szCs w:val="16"/>
          <w:color w:val="auto"/>
        </w:rPr>
        <w:t>The terms of this Policy will apply to any Related Party of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Insider, and transactions by any such Related Party will generally be treated as if they were for the Company Insider’s own account. Company Insiders are responsible for the compliance with this Policy by any Related Party, and as such Company Insiders should make sure that each Related Party is aware of the need to confer with the Company Insider before they engage in transactions in Company securities.</w:t>
      </w:r>
    </w:p>
    <w:p>
      <w:pPr>
        <w:spacing w:after="0" w:line="155"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b w:val="1"/>
          <w:bCs w:val="1"/>
          <w:color w:val="auto"/>
        </w:rPr>
        <w:t xml:space="preserve">Company Securities Subject to Policy. </w:t>
      </w:r>
      <w:r>
        <w:rPr>
          <w:rFonts w:ascii="Arial" w:cs="Arial" w:eastAsia="Arial" w:hAnsi="Arial"/>
          <w:sz w:val="16"/>
          <w:szCs w:val="16"/>
          <w:color w:val="auto"/>
        </w:rPr>
        <w:t>Except as otherwise set forth herein, this Policy applies to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in the Company’s securities, including transactions in common stock, preferred stock, restricted stock, restricted stock units, options, puts, calls, gifts, short sales, hedging, pledging and any other type of securities that the Company may issue from time to time. This Policy includes trades made pursuant to any investment direction under employee benefit plans as well as trades in the open market. For example, sales of stock acquired through the Company’s 2024 Omnibus Incentive Plan (or other stock plan) or transactions in the self-directed portion of the Company’s 401(k) Savings Plan are covered by this Policy. This Policy also applies to the exercise of options with an immediate sale of some or all of the shares through a broker.</w:t>
      </w:r>
    </w:p>
    <w:p>
      <w:pPr>
        <w:spacing w:after="0" w:line="15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6"/>
          <w:szCs w:val="16"/>
          <w:color w:val="auto"/>
        </w:rPr>
        <w:t>If a Company Insider (“you” or “yours”) has any questions about whether a transaction you (or a Related Party of yours) are considering may be covered by this Policy, you should seek advice from the Company’s General Counsel, who has been designated as the Compliance Officer to monitor compliance with this Policy.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Rule 10b5-1 Trading Plans</w:t>
      </w:r>
    </w:p>
    <w:p>
      <w:pPr>
        <w:spacing w:after="0" w:line="221"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color w:val="auto"/>
        </w:rPr>
        <w:t>Rule 10b5-1 presents an opportunity for directors, officers and employees to establish arrangements to sell, purchase, or gift Company securities without the restrictions of trading windows and black-out periods, even while in possession of material nonpublic information. Rule 10b5-1 will protect directors, officers and employees from insider trading liability under Rule 10b5-1 for transactions under a previously established contract, plan or instruction to trade in the Company’s stock (a “Trading Plan”) entered into (i) while not in possession of material nonpublic information, (ii) in good faith and (iii) in accordance with the terms of Rule 10b5-1 and all applicable state laws and will be exempt from the trading restrictions set forth in this Policy. All Trading Plans adopted by directors, officers and employees of the Company must be pre-cleared by the Company’s General Counsel, and must comply with the Company’s Individual Rule 10b5-1 Trading Plan Guidelines, which are attached hereto as Annex A.</w:t>
      </w:r>
    </w:p>
    <w:p>
      <w:pPr>
        <w:spacing w:after="0" w:line="159" w:lineRule="exact"/>
        <w:rPr>
          <w:sz w:val="20"/>
          <w:szCs w:val="20"/>
          <w:color w:val="auto"/>
        </w:rPr>
      </w:pPr>
    </w:p>
    <w:p>
      <w:pPr>
        <w:jc w:val="both"/>
        <w:ind w:left="200" w:right="199" w:firstLine="648"/>
        <w:spacing w:after="0" w:line="262" w:lineRule="auto"/>
        <w:rPr>
          <w:sz w:val="20"/>
          <w:szCs w:val="20"/>
          <w:color w:val="auto"/>
        </w:rPr>
      </w:pPr>
      <w:r>
        <w:rPr>
          <w:rFonts w:ascii="Arial" w:cs="Arial" w:eastAsia="Arial" w:hAnsi="Arial"/>
          <w:sz w:val="16"/>
          <w:szCs w:val="16"/>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Considerations Related to Insider Trading</w:t>
      </w:r>
    </w:p>
    <w:p>
      <w:pPr>
        <w:spacing w:after="0" w:line="194"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16"/>
          <w:szCs w:val="16"/>
          <w:b w:val="1"/>
          <w:bCs w:val="1"/>
          <w:color w:val="auto"/>
        </w:rPr>
        <w:t xml:space="preserve">Tipping. </w:t>
      </w:r>
      <w:r>
        <w:rPr>
          <w:rFonts w:ascii="Arial" w:cs="Arial" w:eastAsia="Arial" w:hAnsi="Arial"/>
          <w:sz w:val="16"/>
          <w:szCs w:val="16"/>
          <w:color w:val="auto"/>
        </w:rPr>
        <w:t>You must not disclose or otherwise communicate material nonpublic information to others (except</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within the Company or third-party agents of the Company, such as outside legal counsel or independent advisors of the Company, whose positions require them to be aware of the information) or recommend or express any opinion concerning any transaction in any securities on the basis of such material nonpublic information. This practice, known as “tipping”, also violates the securities laws and can result in the same civil and criminal penalties that apply to insider trading, whether or not the tipper derives any benefit from another’s actions. To avoid tipping (or even creating the appearance of tipping) you should be careful to avoid discussing material nonpublic information in any place where they might be overheard (i.e., in restaurants, elevators or airplanes).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718820</wp:posOffset>
            </wp:positionV>
            <wp:extent cx="54603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25" w:name="page126"/>
    <w:bookmarkEnd w:id="125"/>
    <w:p>
      <w:pPr>
        <w:jc w:val="both"/>
        <w:ind w:left="200" w:right="219" w:firstLine="648"/>
        <w:spacing w:after="0" w:line="256" w:lineRule="auto"/>
        <w:rPr>
          <w:sz w:val="20"/>
          <w:szCs w:val="20"/>
          <w:color w:val="auto"/>
        </w:rPr>
      </w:pPr>
      <w:r>
        <w:rPr>
          <w:rFonts w:ascii="Arial" w:cs="Arial" w:eastAsia="Arial" w:hAnsi="Arial"/>
          <w:sz w:val="16"/>
          <w:szCs w:val="16"/>
          <w:b w:val="1"/>
          <w:bCs w:val="1"/>
          <w:color w:val="auto"/>
        </w:rPr>
        <w:t xml:space="preserve">Benefit of Hindsight. </w:t>
      </w:r>
      <w:r>
        <w:rPr>
          <w:rFonts w:ascii="Arial" w:cs="Arial" w:eastAsia="Arial" w:hAnsi="Arial"/>
          <w:sz w:val="16"/>
          <w:szCs w:val="16"/>
          <w:color w:val="auto"/>
        </w:rPr>
        <w:t>If your securities trading transactions become the subject of scrutiny, they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viewed after the fact with the benefit of hindsight. As a result, questions concerning the materiality of particular information should be resolved in favor of materiality, and trading should be avoided. If you learn something that leads you to want to engage in a securities transaction, chances are that information will be considered material in any subsequent investigation or litigation.</w:t>
      </w:r>
    </w:p>
    <w:p>
      <w:pPr>
        <w:spacing w:after="0" w:line="139"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6"/>
          <w:szCs w:val="16"/>
          <w:b w:val="1"/>
          <w:bCs w:val="1"/>
          <w:color w:val="auto"/>
        </w:rPr>
        <w:t xml:space="preserve">No Exceptions. </w:t>
      </w:r>
      <w:r>
        <w:rPr>
          <w:rFonts w:ascii="Arial" w:cs="Arial" w:eastAsia="Arial" w:hAnsi="Arial"/>
          <w:sz w:val="16"/>
          <w:szCs w:val="16"/>
          <w:color w:val="auto"/>
        </w:rPr>
        <w:t>Transactions that may be necessary or justifiable for independent reasons (such as the need</w:t>
      </w:r>
      <w:r>
        <w:rPr>
          <w:rFonts w:ascii="Arial" w:cs="Arial" w:eastAsia="Arial" w:hAnsi="Arial"/>
          <w:sz w:val="16"/>
          <w:szCs w:val="16"/>
          <w:b w:val="1"/>
          <w:bCs w:val="1"/>
          <w:color w:val="auto"/>
        </w:rPr>
        <w:t xml:space="preserve"> </w:t>
      </w:r>
      <w:r>
        <w:rPr>
          <w:rFonts w:ascii="Arial" w:cs="Arial" w:eastAsia="Arial" w:hAnsi="Arial"/>
          <w:sz w:val="16"/>
          <w:szCs w:val="16"/>
          <w:color w:val="auto"/>
        </w:rPr>
        <w:t>to raise money for an emergency expenditure) are no exception to this Policy. Even the appearance of an improper transaction should be avoided to preserve the Company’s reputation for adhering to the highest standards of conduct.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Definition of Material Nonpublic Information</w:t>
      </w:r>
    </w:p>
    <w:p>
      <w:pPr>
        <w:spacing w:after="0" w:line="181"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16"/>
          <w:szCs w:val="16"/>
          <w:b w:val="1"/>
          <w:bCs w:val="1"/>
          <w:color w:val="auto"/>
        </w:rPr>
        <w:t xml:space="preserve">Material Information. </w:t>
      </w:r>
      <w:r>
        <w:rPr>
          <w:rFonts w:ascii="Arial" w:cs="Arial" w:eastAsia="Arial" w:hAnsi="Arial"/>
          <w:sz w:val="16"/>
          <w:szCs w:val="16"/>
          <w:color w:val="auto"/>
        </w:rPr>
        <w:t>Information is generally deemed material if a reasonable investor (i) is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likely to consider it important in making an investment decision to buy, hold or sell a security, or (ii) will view it as significantly altering the “total mix” of information made available. Therefore, any information that could reasonably be expected to affect the price of a security is material. Material information is not limited to financial information, and both positive and negative information can be considered material. There is no bright-line standard for assessing materiality. Instead, materiality is based on an assessment of all the facts and circumstances, and is often evaluated with the benefit of hindsight. While it is not possible to define all categories of that could be deemed “material,” the following matters ordinarily should be considered material:</w:t>
      </w:r>
    </w:p>
    <w:p>
      <w:pPr>
        <w:spacing w:after="0" w:line="66" w:lineRule="exact"/>
        <w:rPr>
          <w:sz w:val="20"/>
          <w:szCs w:val="20"/>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Projections of future earnings or losses or changes in such projections;</w:t>
      </w:r>
    </w:p>
    <w:p>
      <w:pPr>
        <w:spacing w:after="0" w:line="112" w:lineRule="exact"/>
        <w:rPr>
          <w:rFonts w:ascii="Times New Roman" w:cs="Times New Roman" w:eastAsia="Times New Roman" w:hAnsi="Times New Roman"/>
          <w:sz w:val="16"/>
          <w:szCs w:val="16"/>
          <w:color w:val="auto"/>
        </w:rPr>
      </w:pPr>
    </w:p>
    <w:p>
      <w:pPr>
        <w:ind w:left="1500" w:right="799" w:hanging="324"/>
        <w:spacing w:after="0" w:line="285" w:lineRule="auto"/>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Financial performance, especially quarterly and year-end earnings or significant changes in financial performance;</w:t>
      </w:r>
    </w:p>
    <w:p>
      <w:pPr>
        <w:spacing w:after="0" w:line="48"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Actual changes in earnings;</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 pending or prospective joint venture, merger, acquisition, tender offer or financing;</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 significant sale of assets or disposition of a subsidiary;</w:t>
      </w:r>
    </w:p>
    <w:p>
      <w:pPr>
        <w:spacing w:after="0" w:line="112" w:lineRule="exact"/>
        <w:rPr>
          <w:rFonts w:ascii="Times New Roman" w:cs="Times New Roman" w:eastAsia="Times New Roman" w:hAnsi="Times New Roman"/>
          <w:sz w:val="16"/>
          <w:szCs w:val="16"/>
          <w:color w:val="auto"/>
        </w:rPr>
      </w:pPr>
    </w:p>
    <w:p>
      <w:pPr>
        <w:ind w:left="1500" w:right="219" w:hanging="324"/>
        <w:spacing w:after="0" w:line="285" w:lineRule="auto"/>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 gain or loss of a significant contract, customer or supplier or significant material changes in the profitability status of a current contract;</w:t>
      </w:r>
    </w:p>
    <w:p>
      <w:pPr>
        <w:spacing w:after="0" w:line="48"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The opening of a new property or development or release of a new product or service;</w:t>
      </w:r>
    </w:p>
    <w:p>
      <w:pPr>
        <w:spacing w:after="0" w:line="112" w:lineRule="exact"/>
        <w:rPr>
          <w:rFonts w:ascii="Times New Roman" w:cs="Times New Roman" w:eastAsia="Times New Roman" w:hAnsi="Times New Roman"/>
          <w:sz w:val="16"/>
          <w:szCs w:val="16"/>
          <w:color w:val="auto"/>
        </w:rPr>
      </w:pPr>
    </w:p>
    <w:p>
      <w:pPr>
        <w:ind w:left="1500" w:right="219" w:hanging="324"/>
        <w:spacing w:after="0" w:line="285" w:lineRule="auto"/>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previously announced schedule for the opening of a new property, development or release of a new product or service;</w:t>
      </w:r>
    </w:p>
    <w:p>
      <w:pPr>
        <w:spacing w:after="0" w:line="48"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management, other major personnel changes or labor negotiations;</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compensation policy;</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accounting developments;</w:t>
      </w:r>
    </w:p>
    <w:p>
      <w:pPr>
        <w:spacing w:after="0" w:line="112" w:lineRule="exact"/>
        <w:rPr>
          <w:rFonts w:ascii="Times New Roman" w:cs="Times New Roman" w:eastAsia="Times New Roman" w:hAnsi="Times New Roman"/>
          <w:sz w:val="16"/>
          <w:szCs w:val="16"/>
          <w:color w:val="auto"/>
        </w:rPr>
      </w:pPr>
    </w:p>
    <w:p>
      <w:pPr>
        <w:ind w:left="1500" w:right="219" w:hanging="324"/>
        <w:spacing w:after="0" w:line="285" w:lineRule="auto"/>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Company’s auditors or auditor notification that the Company may no longer rely on an auditor report;</w:t>
      </w:r>
    </w:p>
    <w:p>
      <w:pPr>
        <w:spacing w:after="0" w:line="48"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threatened major litigation, or the resolution of such litigation;</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breaches of information technology systems or other events impacting cybersecurity;</w:t>
      </w:r>
    </w:p>
    <w:p>
      <w:pPr>
        <w:spacing w:after="0" w:line="112"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The contents of forthcoming publications that may affect the market price of the Company’s securities;</w:t>
      </w:r>
    </w:p>
    <w:p>
      <w:pPr>
        <w:spacing w:after="0" w:line="112" w:lineRule="exact"/>
        <w:rPr>
          <w:rFonts w:ascii="Times New Roman" w:cs="Times New Roman" w:eastAsia="Times New Roman" w:hAnsi="Times New Roman"/>
          <w:sz w:val="16"/>
          <w:szCs w:val="16"/>
          <w:color w:val="auto"/>
        </w:rPr>
      </w:pPr>
    </w:p>
    <w:p>
      <w:pPr>
        <w:ind w:left="1500" w:right="219" w:hanging="324"/>
        <w:spacing w:after="0" w:line="285" w:lineRule="auto"/>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increases or decreases in dividends, changes in the cadence of dividends, or the declaration of a stock split or the offering of additional securities; or</w:t>
      </w:r>
    </w:p>
    <w:p>
      <w:pPr>
        <w:spacing w:after="0" w:line="34" w:lineRule="exact"/>
        <w:rPr>
          <w:rFonts w:ascii="Times New Roman" w:cs="Times New Roman" w:eastAsia="Times New Roman" w:hAnsi="Times New Roman"/>
          <w:sz w:val="16"/>
          <w:szCs w:val="16"/>
          <w:color w:val="auto"/>
        </w:rPr>
      </w:pPr>
    </w:p>
    <w:p>
      <w:pPr>
        <w:ind w:left="1500" w:hanging="324"/>
        <w:spacing w:after="0"/>
        <w:tabs>
          <w:tab w:leader="none" w:pos="15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Financial liquidity problems.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b w:val="1"/>
          <w:bCs w:val="1"/>
          <w:color w:val="auto"/>
        </w:rPr>
        <w:t xml:space="preserve">Nonpublic Information. </w:t>
      </w:r>
      <w:r>
        <w:rPr>
          <w:rFonts w:ascii="Arial" w:cs="Arial" w:eastAsia="Arial" w:hAnsi="Arial"/>
          <w:sz w:val="16"/>
          <w:szCs w:val="16"/>
          <w:color w:val="auto"/>
        </w:rPr>
        <w:t>Nonpublic information is information that is not generally known or available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public nor widely disseminated. Information is considered to be available to the public only when it has been released to the public through appropriate channels, </w:t>
      </w:r>
      <w:r>
        <w:rPr>
          <w:rFonts w:ascii="Arial" w:cs="Arial" w:eastAsia="Arial" w:hAnsi="Arial"/>
          <w:sz w:val="16"/>
          <w:szCs w:val="16"/>
          <w:i w:val="1"/>
          <w:iCs w:val="1"/>
          <w:color w:val="auto"/>
        </w:rPr>
        <w:t>e.g.</w:t>
      </w:r>
      <w:r>
        <w:rPr>
          <w:rFonts w:ascii="Arial" w:cs="Arial" w:eastAsia="Arial" w:hAnsi="Arial"/>
          <w:sz w:val="16"/>
          <w:szCs w:val="16"/>
          <w:color w:val="auto"/>
        </w:rPr>
        <w:t xml:space="preserve">, by means of an announcement on the Dow Jones broad tape, a wire service such as AP, radio, television, newspapers and magazines of wide circulation or documents filed or furnished with the SEC, and enough time has elapsed to permit the investment market to absorb and evaluate the information. As a general rule, information is considered nonpublic until the </w:t>
      </w:r>
      <w:r>
        <w:rPr>
          <w:rFonts w:ascii="Arial" w:cs="Arial" w:eastAsia="Arial" w:hAnsi="Arial"/>
          <w:sz w:val="16"/>
          <w:szCs w:val="16"/>
          <w:u w:val="single" w:color="auto"/>
          <w:color w:val="auto"/>
        </w:rPr>
        <w:t>third full business day</w:t>
      </w:r>
      <w:r>
        <w:rPr>
          <w:rFonts w:ascii="Arial" w:cs="Arial" w:eastAsia="Arial" w:hAnsi="Arial"/>
          <w:sz w:val="16"/>
          <w:szCs w:val="16"/>
          <w:color w:val="auto"/>
        </w:rPr>
        <w:t xml:space="preserve"> after public disclosure. Thus, you should refrain from trading or communicating such information, until the </w:t>
      </w:r>
      <w:r>
        <w:rPr>
          <w:rFonts w:ascii="Arial" w:cs="Arial" w:eastAsia="Arial" w:hAnsi="Arial"/>
          <w:sz w:val="16"/>
          <w:szCs w:val="16"/>
          <w:u w:val="single" w:color="auto"/>
          <w:color w:val="auto"/>
        </w:rPr>
        <w:t>third full business day</w:t>
      </w:r>
      <w:r>
        <w:rPr>
          <w:rFonts w:ascii="Arial" w:cs="Arial" w:eastAsia="Arial" w:hAnsi="Arial"/>
          <w:sz w:val="16"/>
          <w:szCs w:val="16"/>
          <w:color w:val="auto"/>
        </w:rPr>
        <w:t xml:space="preserve"> after the public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607695</wp:posOffset>
            </wp:positionV>
            <wp:extent cx="54603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26" w:name="page127"/>
    <w:bookmarkEnd w:id="126"/>
    <w:p>
      <w:pPr>
        <w:jc w:val="both"/>
        <w:ind w:left="200" w:right="219" w:firstLine="648"/>
        <w:spacing w:after="0" w:line="252" w:lineRule="auto"/>
        <w:rPr>
          <w:sz w:val="20"/>
          <w:szCs w:val="20"/>
          <w:color w:val="auto"/>
        </w:rPr>
      </w:pPr>
      <w:r>
        <w:rPr>
          <w:rFonts w:ascii="Arial" w:cs="Arial" w:eastAsia="Arial" w:hAnsi="Arial"/>
          <w:sz w:val="16"/>
          <w:szCs w:val="16"/>
          <w:color w:val="auto"/>
        </w:rPr>
        <w:t>Any Company Insider who is unsure whether the information that he or she possesses is material or nonpublic should consult the Company’s General Counsel and Secretary for guidance before (A) trading in any (i) Company securities or (ii) securities of another publicly traded company that is economically-linked to the Company, inclusive of all significant Company partners, collaborators, customers, suppliers, vendors, industry peers, or competitors of the Company, or (B) disclosing or otherwise communicating such information to others.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Confidentiality Procedures</w:t>
      </w:r>
    </w:p>
    <w:p>
      <w:pPr>
        <w:spacing w:after="0" w:line="194"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16"/>
          <w:szCs w:val="16"/>
          <w:color w:val="auto"/>
        </w:rPr>
        <w:t>Maintaining the confidentiality of Company information is essential for competitive, security and other business reasons, as well as to comply with securities laws. All information a Company Insider learns about the Company or its business plans in connection with such Company Insider’s employment or service to the Company is potentially “inside” information until publicly disclosed by the Company. The Company Insider should treat all such information as confidential and proprietary to the Company. The Company Insider may not disclose it to others, including but not limited to any Related Party, any other family members, other relatives or business or social acquaintances, who do not need to know the information as part of their work or service for the Company.</w:t>
      </w:r>
    </w:p>
    <w:p>
      <w:pPr>
        <w:spacing w:after="0" w:line="160" w:lineRule="exact"/>
        <w:rPr>
          <w:sz w:val="20"/>
          <w:szCs w:val="20"/>
          <w:color w:val="auto"/>
        </w:rPr>
      </w:pPr>
    </w:p>
    <w:p>
      <w:pPr>
        <w:jc w:val="both"/>
        <w:ind w:left="200" w:right="199" w:firstLine="648"/>
        <w:spacing w:after="0" w:line="252" w:lineRule="auto"/>
        <w:rPr>
          <w:sz w:val="20"/>
          <w:szCs w:val="20"/>
          <w:color w:val="auto"/>
        </w:rPr>
      </w:pPr>
      <w:r>
        <w:rPr>
          <w:rFonts w:ascii="Arial" w:cs="Arial" w:eastAsia="Arial" w:hAnsi="Arial"/>
          <w:sz w:val="16"/>
          <w:szCs w:val="16"/>
          <w:color w:val="auto"/>
        </w:rPr>
        <w:t>Company Insiders who are in possession of material nonpublic information about the Company should therefore take steps to ensure that the confidentiality of such information is protected. Such steps may include: adopting code names, using passwords for computerized information, shredding confidential documents, locking files and desk drawers containing sensitive information, labeling documents “confidential,” limiting the copying of sensitive documents and maintaining a record of other employees who request access to confidential documents or files.</w:t>
      </w:r>
    </w:p>
    <w:p>
      <w:pPr>
        <w:spacing w:after="0" w:line="155"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16"/>
          <w:szCs w:val="16"/>
          <w:color w:val="auto"/>
        </w:rPr>
        <w:t>Also, the timing and nature of the Company’s disclosure of material information to outsiders is subject to legal rules, the breach of which could result in substantial liability to the Company Insider, the Company and its management. Accordingly, it is important that only specifically designated representatives of the Company discuss the Company with the news media, securities analysts, and investors. Inquiries of this type received by a Company Insider should be referred to the Company’s General Counsel.</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Certain Transactions</w:t>
      </w:r>
    </w:p>
    <w:p>
      <w:pPr>
        <w:spacing w:after="0" w:line="194" w:lineRule="exact"/>
        <w:rPr>
          <w:sz w:val="20"/>
          <w:szCs w:val="20"/>
          <w:color w:val="auto"/>
        </w:rPr>
      </w:pPr>
    </w:p>
    <w:p>
      <w:pPr>
        <w:jc w:val="both"/>
        <w:ind w:left="200" w:right="199" w:firstLine="648"/>
        <w:spacing w:after="0" w:line="250" w:lineRule="auto"/>
        <w:rPr>
          <w:sz w:val="20"/>
          <w:szCs w:val="20"/>
          <w:color w:val="auto"/>
        </w:rPr>
      </w:pPr>
      <w:r>
        <w:rPr>
          <w:rFonts w:ascii="Arial" w:cs="Arial" w:eastAsia="Arial" w:hAnsi="Arial"/>
          <w:sz w:val="16"/>
          <w:szCs w:val="16"/>
          <w:b w:val="1"/>
          <w:bCs w:val="1"/>
          <w:color w:val="auto"/>
        </w:rPr>
        <w:t xml:space="preserve">Hedging. </w:t>
      </w:r>
      <w:r>
        <w:rPr>
          <w:rFonts w:ascii="Arial" w:cs="Arial" w:eastAsia="Arial" w:hAnsi="Arial"/>
          <w:sz w:val="16"/>
          <w:szCs w:val="16"/>
          <w:color w:val="auto"/>
        </w:rPr>
        <w:t>The Company considers it inappropriate for any Company Insider to engage in any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hedge or offset any decrease in the market value of the Company’s equity securities (commonly referred to as “hedging” or “monetization” transactions), because such transactions may permit you to continue to own the Company’s securities but without the full risks and rewards of ownership, resulting in you no longer having the same objectives as the Company’s other shareholders. Accordingly, hedging transactions, including, but not limited to, through the use of financial instruments such as exchange funds, equity swaps, puts, calls, collars, forwards and other derivative instruments, or through the establishment of a short position in the Company’s equity securities, are prohibited.</w:t>
      </w:r>
    </w:p>
    <w:p>
      <w:pPr>
        <w:spacing w:after="0" w:line="143"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b w:val="1"/>
          <w:bCs w:val="1"/>
          <w:color w:val="auto"/>
        </w:rPr>
        <w:t xml:space="preserve">Gifts. </w:t>
      </w:r>
      <w:r>
        <w:rPr>
          <w:rFonts w:ascii="Arial" w:cs="Arial" w:eastAsia="Arial" w:hAnsi="Arial"/>
          <w:sz w:val="16"/>
          <w:szCs w:val="16"/>
          <w:color w:val="auto"/>
        </w:rPr>
        <w:t>Except as otherwise provided below, any gifts of Company securities are transactions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Policy.</w:t>
      </w:r>
    </w:p>
    <w:p>
      <w:pPr>
        <w:spacing w:after="0" w:line="115"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b w:val="1"/>
          <w:bCs w:val="1"/>
          <w:color w:val="auto"/>
        </w:rPr>
        <w:t>Vesting of Stock-Based Awards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Policy does not apply to the vesting of restricted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awards, performance share awards or other stock-based awards of the Company, or the exercise of tax withholding rights via net settlement procedures pursuant to which the Company withholds shares of common stock to satisfy tax withholding requirements upon the vesting of any such stock-based awards; provided, however, that this Policy applies to any broker-assisted or other market sales of the Company’s common stock to satisfy such tax withholding requirements.</w:t>
      </w:r>
    </w:p>
    <w:p>
      <w:pPr>
        <w:spacing w:after="0" w:line="160" w:lineRule="exact"/>
        <w:rPr>
          <w:sz w:val="20"/>
          <w:szCs w:val="20"/>
          <w:color w:val="auto"/>
        </w:rPr>
      </w:pPr>
    </w:p>
    <w:p>
      <w:pPr>
        <w:jc w:val="both"/>
        <w:ind w:left="200" w:right="199" w:firstLine="648"/>
        <w:spacing w:after="0" w:line="244" w:lineRule="auto"/>
        <w:rPr>
          <w:sz w:val="20"/>
          <w:szCs w:val="20"/>
          <w:color w:val="auto"/>
        </w:rPr>
      </w:pPr>
      <w:r>
        <w:rPr>
          <w:rFonts w:ascii="Arial" w:cs="Arial" w:eastAsia="Arial" w:hAnsi="Arial"/>
          <w:sz w:val="16"/>
          <w:szCs w:val="16"/>
          <w:b w:val="1"/>
          <w:bCs w:val="1"/>
          <w:color w:val="auto"/>
        </w:rPr>
        <w:t xml:space="preserve">Exercise of Stock-Based Awards. </w:t>
      </w:r>
      <w:r>
        <w:rPr>
          <w:rFonts w:ascii="Arial" w:cs="Arial" w:eastAsia="Arial" w:hAnsi="Arial"/>
          <w:sz w:val="16"/>
          <w:szCs w:val="16"/>
          <w:color w:val="auto"/>
        </w:rPr>
        <w:t>This Policy does not apply to the exercise of any stock option award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stock-based awards of the Company; provided, however, that (i) any such exercise by a Section 16 Person is subject to the pre-clearance procedures; and (ii) the sale of any Company common stock acquired upon the exercise of any such award is subject to this Policy. In addition, this Policy does not apply to net settlement procedures in connection with the exercise of any stock option award or other stock-based awards of the Company pursuant to which the Company withholds shares of common stock to satisfy tax withholding requirements or to satisfy any applicable exercise price of any such award; provided, however, that this Policy applies to any broker-assisted or other market sales of the Company’s common stock to satisfy such tax withholding requirements or such exercise price obligations.</w:t>
      </w:r>
    </w:p>
    <w:p>
      <w:pPr>
        <w:spacing w:after="0" w:line="164"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16"/>
          <w:szCs w:val="16"/>
          <w:b w:val="1"/>
          <w:bCs w:val="1"/>
          <w:color w:val="auto"/>
        </w:rPr>
        <w:t xml:space="preserve">Standing and Limit Orders. </w:t>
      </w:r>
      <w:r>
        <w:rPr>
          <w:rFonts w:ascii="Arial" w:cs="Arial" w:eastAsia="Arial" w:hAnsi="Arial"/>
          <w:sz w:val="16"/>
          <w:szCs w:val="16"/>
          <w:color w:val="auto"/>
        </w:rPr>
        <w:t>Standing and limit orders (excluding standing and limit orders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any Rule 10b5-1 plans, as described in this Policy) create heightened risks for insider trading violations similar to the use of margin accounts. There is no control over the timing of purchases or sales that result from standing instructions to a broker, and as a result the broker could execute a transaction when the owner is aware of material non-public information. The Company therefore strongly discourages placing standing or limit orders on the Company’s securities. If a person subject to this Policy determines that such person must use a standing or limit order with respect to Company securities, the order should be limited to a short duration and any transactions in connection therewith must otherwise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603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27" w:name="page128"/>
    <w:bookmarkEnd w:id="127"/>
    <w:p>
      <w:pPr>
        <w:jc w:val="both"/>
        <w:ind w:left="200" w:right="219" w:firstLine="648"/>
        <w:spacing w:after="0" w:line="247" w:lineRule="auto"/>
        <w:rPr>
          <w:sz w:val="20"/>
          <w:szCs w:val="20"/>
          <w:color w:val="auto"/>
        </w:rPr>
      </w:pPr>
      <w:r>
        <w:rPr>
          <w:rFonts w:ascii="Arial" w:cs="Arial" w:eastAsia="Arial" w:hAnsi="Arial"/>
          <w:sz w:val="16"/>
          <w:szCs w:val="16"/>
          <w:b w:val="1"/>
          <w:bCs w:val="1"/>
          <w:color w:val="auto"/>
        </w:rPr>
        <w:t xml:space="preserve">Short Sales. </w:t>
      </w:r>
      <w:r>
        <w:rPr>
          <w:rFonts w:ascii="Arial" w:cs="Arial" w:eastAsia="Arial" w:hAnsi="Arial"/>
          <w:sz w:val="16"/>
          <w:szCs w:val="16"/>
          <w:color w:val="auto"/>
        </w:rPr>
        <w:t>Short sales of the Company’s securities (i.e., the sale of a security that the seller does not own)</w:t>
      </w:r>
      <w:r>
        <w:rPr>
          <w:rFonts w:ascii="Arial" w:cs="Arial" w:eastAsia="Arial" w:hAnsi="Arial"/>
          <w:sz w:val="16"/>
          <w:szCs w:val="16"/>
          <w:b w:val="1"/>
          <w:bCs w:val="1"/>
          <w:color w:val="auto"/>
        </w:rPr>
        <w:t xml:space="preserve"> </w:t>
      </w:r>
      <w:r>
        <w:rPr>
          <w:rFonts w:ascii="Arial" w:cs="Arial" w:eastAsia="Arial" w:hAnsi="Arial"/>
          <w:sz w:val="16"/>
          <w:szCs w:val="16"/>
          <w:color w:val="auto"/>
        </w:rPr>
        <w:t>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the Company’s securities by Applicable Persons are prohibited. Moreover, Section 16(c) of the Exchange Act prohibits any Section 16 Person from engaging in short sales with respect to equity securities.</w:t>
      </w:r>
    </w:p>
    <w:p>
      <w:pPr>
        <w:spacing w:after="0" w:line="160" w:lineRule="exact"/>
        <w:rPr>
          <w:sz w:val="20"/>
          <w:szCs w:val="20"/>
          <w:color w:val="auto"/>
        </w:rPr>
      </w:pPr>
    </w:p>
    <w:p>
      <w:pPr>
        <w:jc w:val="both"/>
        <w:ind w:left="200" w:right="199" w:firstLine="648"/>
        <w:spacing w:after="0" w:line="247" w:lineRule="auto"/>
        <w:rPr>
          <w:sz w:val="20"/>
          <w:szCs w:val="20"/>
          <w:color w:val="auto"/>
        </w:rPr>
      </w:pPr>
      <w:r>
        <w:rPr>
          <w:rFonts w:ascii="Arial" w:cs="Arial" w:eastAsia="Arial" w:hAnsi="Arial"/>
          <w:sz w:val="16"/>
          <w:szCs w:val="16"/>
          <w:b w:val="1"/>
          <w:bCs w:val="1"/>
          <w:color w:val="auto"/>
        </w:rPr>
        <w:t xml:space="preserve">Margin Accounts and Pledging. </w:t>
      </w:r>
      <w:r>
        <w:rPr>
          <w:rFonts w:ascii="Arial" w:cs="Arial" w:eastAsia="Arial" w:hAnsi="Arial"/>
          <w:sz w:val="16"/>
          <w:szCs w:val="16"/>
          <w:color w:val="auto"/>
        </w:rPr>
        <w:t>Securities held in a margin account as collateral for a margin loan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sold by a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each Applicable Person is prohibited from holding the Company’s securities in a margin account or otherwise pledging the Company’s securities as collateral for a loan, except as set forth in the Company’s Policy Regarding Special Trading Procedures.</w:t>
      </w:r>
    </w:p>
    <w:p>
      <w:pPr>
        <w:spacing w:after="0" w:line="146" w:lineRule="exact"/>
        <w:rPr>
          <w:sz w:val="20"/>
          <w:szCs w:val="20"/>
          <w:color w:val="auto"/>
        </w:rPr>
      </w:pPr>
    </w:p>
    <w:p>
      <w:pPr>
        <w:jc w:val="both"/>
        <w:ind w:left="200" w:right="199" w:firstLine="648"/>
        <w:spacing w:after="0" w:line="252" w:lineRule="auto"/>
        <w:rPr>
          <w:sz w:val="20"/>
          <w:szCs w:val="20"/>
          <w:color w:val="auto"/>
        </w:rPr>
      </w:pPr>
      <w:r>
        <w:rPr>
          <w:rFonts w:ascii="Arial" w:cs="Arial" w:eastAsia="Arial" w:hAnsi="Arial"/>
          <w:sz w:val="16"/>
          <w:szCs w:val="16"/>
          <w:b w:val="1"/>
          <w:bCs w:val="1"/>
          <w:color w:val="auto"/>
        </w:rPr>
        <w:t xml:space="preserve">Publicly Traded Options. </w:t>
      </w:r>
      <w:r>
        <w:rPr>
          <w:rFonts w:ascii="Arial" w:cs="Arial" w:eastAsia="Arial" w:hAnsi="Arial"/>
          <w:sz w:val="16"/>
          <w:szCs w:val="16"/>
          <w:color w:val="auto"/>
        </w:rPr>
        <w:t>Given the relatively short term of publicly-traded options, transactions in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may create the appearance that a person is trading based on material non-public information. Additionally, transactions in options may focus a person’s attention on short-term performance at the expense of a company’s long-term objectives. Accordingly, transactions in puts, calls or other derivative securities in relation to the Company’s securities by any Applicable Person is prohibited.</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Transactions Following Termination of Service</w:t>
      </w:r>
    </w:p>
    <w:p>
      <w:pPr>
        <w:spacing w:after="0" w:line="194"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16"/>
          <w:szCs w:val="16"/>
          <w:color w:val="auto"/>
        </w:rPr>
        <w:t>This Policy continues to apply to transactions in Company securities after termination of service to the Company. If an Applicable Person is in possession of material nonpublic information when such Applicable Person’s service terminates, such Applicable Person may not trade in the Company’s securities until any such material nonpublic information has become public or is no longer material.</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Personal Responsibility; Assistance</w:t>
      </w:r>
    </w:p>
    <w:p>
      <w:pPr>
        <w:spacing w:after="0" w:line="181"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6"/>
          <w:szCs w:val="16"/>
          <w:color w:val="auto"/>
        </w:rPr>
        <w:t>Each Company Insider should remember that the ultimate responsibility for adhering to this Policy and avoiding improper trading or tipping rests with such Company Insider. In this regard, it is important that each Company Insider use such Company Insider’s best judgment.</w:t>
      </w:r>
    </w:p>
    <w:p>
      <w:pPr>
        <w:spacing w:after="0" w:line="144" w:lineRule="exact"/>
        <w:rPr>
          <w:sz w:val="20"/>
          <w:szCs w:val="20"/>
          <w:color w:val="auto"/>
        </w:rPr>
      </w:pPr>
    </w:p>
    <w:p>
      <w:pPr>
        <w:jc w:val="both"/>
        <w:ind w:left="200" w:right="199" w:firstLine="648"/>
        <w:spacing w:after="0" w:line="253" w:lineRule="auto"/>
        <w:rPr>
          <w:sz w:val="20"/>
          <w:szCs w:val="20"/>
          <w:color w:val="auto"/>
        </w:rPr>
      </w:pPr>
      <w:r>
        <w:rPr>
          <w:rFonts w:ascii="Arial" w:cs="Arial" w:eastAsia="Arial" w:hAnsi="Arial"/>
          <w:sz w:val="16"/>
          <w:szCs w:val="16"/>
          <w:b w:val="1"/>
          <w:bCs w:val="1"/>
          <w:color w:val="auto"/>
        </w:rPr>
        <w:t>Compliance with this Policy by all Applicable Persons is of the utmost importance both for such Applicable Person and for the Company. Any person who has any questions about the application of this Policy to any particular situation should seek guidance from the Company’s General Counsel. You should consult your legal and financial advisors as needed. Any action on the part of the Company, the Company’s General Counsel, (or the General Counsel’s designee) or any other employee or any director pursuant to this Policy (or otherwise) does not constitute legal advice or insulate a person from liability under applicable securities laws.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Adopted effective as of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603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6"/>
          <w:szCs w:val="16"/>
          <w:b w:val="1"/>
          <w:bCs w:val="1"/>
          <w:u w:val="single" w:color="auto"/>
          <w:color w:val="auto"/>
        </w:rPr>
        <w:t>Annex A to Statement of Company Policy Regarding Insider Trading</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Individual Rule 10b5-1 Trading Plan Guidelines</w:t>
      </w:r>
    </w:p>
    <w:p>
      <w:pPr>
        <w:spacing w:after="0" w:line="219"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6"/>
          <w:szCs w:val="16"/>
          <w:color w:val="auto"/>
        </w:rPr>
        <w:t>The Securities and Exchange Commission enacted Rule 10b5-1 (the “Rule”) to give directors, officers and employees who were often in possession of material, nonpublic information (“Insiders”) greater flexibility to engage in transactions in their company’s stock. If Insiders follow the requirements of the Rule, Insiders will have an affirmative defense from insider trading liability for trades made under an effective written plan for trading securities (commonly referred to as a Rule 10b5-1 Plan). In each case, Insiders must act in good faith with respect to the Rule 10b5-1 Plan (“Plan”) and not as part of a scheme to evade the prohibitions against unlawful insider trading.</w:t>
      </w:r>
    </w:p>
    <w:p>
      <w:pPr>
        <w:spacing w:after="0" w:line="185"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6"/>
          <w:szCs w:val="16"/>
          <w:color w:val="auto"/>
        </w:rPr>
        <w:t>As set forth in the Ryman Hospitality Properties, Inc. Statement of Company Policy Regarding Insider Trading (the “Policy”), the Company permits its Insiders to purchase or sell shares of Company common stock pursuant to a Plan under certain circumstances. The Company has set forth the following guidelines (the “Guidelines”)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Company’s General Counsel.</w:t>
      </w:r>
    </w:p>
    <w:p>
      <w:pPr>
        <w:spacing w:after="0" w:line="117" w:lineRule="exact"/>
        <w:rPr>
          <w:sz w:val="20"/>
          <w:szCs w:val="20"/>
          <w:color w:val="auto"/>
        </w:rPr>
      </w:pPr>
    </w:p>
    <w:p>
      <w:pPr>
        <w:jc w:val="both"/>
        <w:ind w:left="860" w:right="219" w:hanging="3"/>
        <w:spacing w:after="0" w:line="265" w:lineRule="auto"/>
        <w:tabs>
          <w:tab w:leader="none" w:pos="150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Pre-Clearance</w:t>
      </w:r>
      <w:r>
        <w:rPr>
          <w:rFonts w:ascii="Arial" w:cs="Arial" w:eastAsia="Arial" w:hAnsi="Arial"/>
          <w:sz w:val="16"/>
          <w:szCs w:val="16"/>
          <w:color w:val="auto"/>
        </w:rPr>
        <w:t>. All Plans must be submitted in writing and pre-cleared by the Company’s General Counsel (or the General Counsel’s designee) at least five (5) trading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172" w:lineRule="exact"/>
        <w:rPr>
          <w:rFonts w:ascii="Arial" w:cs="Arial" w:eastAsia="Arial" w:hAnsi="Arial"/>
          <w:sz w:val="16"/>
          <w:szCs w:val="16"/>
          <w:color w:val="auto"/>
        </w:rPr>
      </w:pPr>
    </w:p>
    <w:p>
      <w:pPr>
        <w:ind w:left="860" w:right="219" w:hanging="3"/>
        <w:spacing w:after="0" w:line="268" w:lineRule="auto"/>
        <w:tabs>
          <w:tab w:leader="none" w:pos="150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Plan Adoption</w:t>
      </w:r>
      <w:r>
        <w:rPr>
          <w:rFonts w:ascii="Arial" w:cs="Arial" w:eastAsia="Arial" w:hAnsi="Arial"/>
          <w:sz w:val="16"/>
          <w:szCs w:val="16"/>
          <w:color w:val="auto"/>
        </w:rPr>
        <w:t>. All Plans must be entered into during an open trading window and when the Insider is not in possession of any material, nonpublic information.</w:t>
      </w:r>
    </w:p>
    <w:p>
      <w:pPr>
        <w:spacing w:after="0" w:line="169" w:lineRule="exact"/>
        <w:rPr>
          <w:rFonts w:ascii="Arial" w:cs="Arial" w:eastAsia="Arial" w:hAnsi="Arial"/>
          <w:sz w:val="16"/>
          <w:szCs w:val="16"/>
          <w:color w:val="auto"/>
        </w:rPr>
      </w:pPr>
    </w:p>
    <w:p>
      <w:pPr>
        <w:jc w:val="both"/>
        <w:ind w:left="860" w:right="219" w:hanging="3"/>
        <w:spacing w:after="0" w:line="252" w:lineRule="auto"/>
        <w:tabs>
          <w:tab w:leader="none" w:pos="150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Plan Format</w:t>
      </w:r>
      <w:r>
        <w:rPr>
          <w:rFonts w:ascii="Arial" w:cs="Arial" w:eastAsia="Arial" w:hAnsi="Arial"/>
          <w:sz w:val="16"/>
          <w:szCs w:val="16"/>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68" w:lineRule="exact"/>
        <w:rPr>
          <w:rFonts w:ascii="Arial" w:cs="Arial" w:eastAsia="Arial" w:hAnsi="Arial"/>
          <w:sz w:val="16"/>
          <w:szCs w:val="16"/>
          <w:color w:val="auto"/>
        </w:rPr>
      </w:pPr>
    </w:p>
    <w:p>
      <w:pPr>
        <w:ind w:left="1500" w:hanging="643"/>
        <w:spacing w:after="0"/>
        <w:tabs>
          <w:tab w:leader="none" w:pos="150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Cooling-Off Period</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jc w:val="both"/>
        <w:ind w:left="200" w:right="219" w:firstLine="1305"/>
        <w:spacing w:after="0" w:line="251" w:lineRule="auto"/>
        <w:tabs>
          <w:tab w:leader="none" w:pos="2144"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Insider is a Company director or officer (as defined in Rule 16a-1 under the Securities Exchange Act of 1934, as amended (a “Section 16 Person”)), the Plan must not permit any trades to occur until the later of (a) 90 days following adoption or modification of the Plan or (b) two (2)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pacing w:after="0" w:line="374" w:lineRule="exact"/>
        <w:rPr>
          <w:rFonts w:ascii="Arial" w:cs="Arial" w:eastAsia="Arial" w:hAnsi="Arial"/>
          <w:sz w:val="16"/>
          <w:szCs w:val="16"/>
          <w:color w:val="auto"/>
        </w:rPr>
      </w:pPr>
    </w:p>
    <w:p>
      <w:pPr>
        <w:jc w:val="both"/>
        <w:ind w:left="200" w:right="239" w:firstLine="1305"/>
        <w:spacing w:after="0" w:line="257" w:lineRule="auto"/>
        <w:tabs>
          <w:tab w:leader="none" w:pos="2144"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Insider is not a Section 16 Person (but is also not the Company), the Plan must not permit any trades to occur until the expiration of a cooling-off period 30 days after the adoption or modification of such Plan.</w:t>
      </w:r>
    </w:p>
    <w:p>
      <w:pPr>
        <w:spacing w:after="0" w:line="178" w:lineRule="exact"/>
        <w:rPr>
          <w:rFonts w:ascii="Arial" w:cs="Arial" w:eastAsia="Arial" w:hAnsi="Arial"/>
          <w:sz w:val="16"/>
          <w:szCs w:val="16"/>
          <w:color w:val="auto"/>
        </w:rPr>
      </w:pPr>
    </w:p>
    <w:p>
      <w:pPr>
        <w:ind w:left="200" w:right="219" w:firstLine="657"/>
        <w:spacing w:after="0" w:line="259" w:lineRule="auto"/>
        <w:tabs>
          <w:tab w:leader="none" w:pos="149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Multiple Plans</w:t>
      </w:r>
      <w:r>
        <w:rPr>
          <w:rFonts w:ascii="Arial" w:cs="Arial" w:eastAsia="Arial" w:hAnsi="Arial"/>
          <w:sz w:val="16"/>
          <w:szCs w:val="16"/>
          <w:color w:val="auto"/>
        </w:rPr>
        <w:t>. Pursuant to the Rule, a person may only rely on the affirmative defense for a single-trade plan once during any consecutive 12-month period. A single-trade plan is a 10b5-1 trading plan designed to effect the purchase or sale of the total amount of the securities subject to the plan as a single transaction. Further, only one Plan may be in effect at any time, unless one of three exemptions is met, which are:</w:t>
      </w:r>
    </w:p>
    <w:p>
      <w:pPr>
        <w:spacing w:after="0" w:line="164" w:lineRule="exact"/>
        <w:rPr>
          <w:rFonts w:ascii="Arial" w:cs="Arial" w:eastAsia="Arial" w:hAnsi="Arial"/>
          <w:sz w:val="16"/>
          <w:szCs w:val="16"/>
          <w:color w:val="auto"/>
        </w:rPr>
      </w:pPr>
    </w:p>
    <w:p>
      <w:pPr>
        <w:jc w:val="both"/>
        <w:ind w:left="200" w:right="219" w:firstLine="1305"/>
        <w:spacing w:after="0" w:line="275" w:lineRule="auto"/>
        <w:tabs>
          <w:tab w:leader="none" w:pos="2144"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person may enter into more than one Plan with different broker-dealers or other agents and treat the Plans as a single Plan so long as, when taken as a whole, the “plan” complies with all of the rule’s requirements;</w:t>
      </w:r>
    </w:p>
    <w:p>
      <w:pPr>
        <w:spacing w:after="0" w:line="347" w:lineRule="exact"/>
        <w:rPr>
          <w:rFonts w:ascii="Arial" w:cs="Arial" w:eastAsia="Arial" w:hAnsi="Arial"/>
          <w:sz w:val="16"/>
          <w:szCs w:val="16"/>
          <w:color w:val="auto"/>
        </w:rPr>
      </w:pPr>
    </w:p>
    <w:p>
      <w:pPr>
        <w:jc w:val="both"/>
        <w:ind w:left="200" w:right="219" w:firstLine="1305"/>
        <w:spacing w:after="0" w:line="259" w:lineRule="auto"/>
        <w:tabs>
          <w:tab w:leader="none" w:pos="2144"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9" w:name="page130"/>
    <w:bookmarkEnd w:id="129"/>
    <w:p>
      <w:pPr>
        <w:jc w:val="both"/>
        <w:ind w:left="200" w:right="219" w:firstLine="1305"/>
        <w:spacing w:after="0" w:line="266" w:lineRule="auto"/>
        <w:tabs>
          <w:tab w:leader="none" w:pos="2144" w:val="left"/>
        </w:tabs>
        <w:numPr>
          <w:ilvl w:val="2"/>
          <w:numId w:val="57"/>
        </w:numPr>
        <w:rPr>
          <w:rFonts w:ascii="Arial" w:cs="Arial" w:eastAsia="Arial" w:hAnsi="Arial"/>
          <w:sz w:val="16"/>
          <w:szCs w:val="16"/>
          <w:color w:val="auto"/>
        </w:rPr>
      </w:pPr>
      <w:r>
        <w:rPr>
          <w:rFonts w:ascii="Arial" w:cs="Arial" w:eastAsia="Arial" w:hAnsi="Arial"/>
          <w:sz w:val="16"/>
          <w:szCs w:val="16"/>
          <w:color w:val="auto"/>
        </w:rPr>
        <w:t>A person may have an additional Plan set up solely to sell securities as necessary to satisfy tax-withholding obligations arising exclusively from the vesting of a compensatory award, otherwise known as a “sell-to-cover” transaction.</w:t>
      </w:r>
    </w:p>
    <w:p>
      <w:pPr>
        <w:spacing w:after="0" w:line="171" w:lineRule="exact"/>
        <w:rPr>
          <w:rFonts w:ascii="Arial" w:cs="Arial" w:eastAsia="Arial" w:hAnsi="Arial"/>
          <w:sz w:val="16"/>
          <w:szCs w:val="16"/>
          <w:color w:val="auto"/>
        </w:rPr>
      </w:pPr>
    </w:p>
    <w:p>
      <w:pPr>
        <w:jc w:val="both"/>
        <w:ind w:left="200" w:right="219" w:firstLine="657"/>
        <w:spacing w:after="0" w:line="253" w:lineRule="auto"/>
        <w:tabs>
          <w:tab w:leader="none" w:pos="149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Trades Outside of the Plan</w:t>
      </w:r>
      <w:r>
        <w:rPr>
          <w:rFonts w:ascii="Arial" w:cs="Arial" w:eastAsia="Arial" w:hAnsi="Arial"/>
          <w:sz w:val="16"/>
          <w:szCs w:val="16"/>
          <w:color w:val="auto"/>
        </w:rPr>
        <w:t>. Once a Plan is established, Insiders may transact in securities that are not subject to the currently existing Plan. Such transactions continue to be subject to the Company’s Policy, including, to the extent applicable, the pre-clearance provisions and procedures of the Company’s Policy Regarding Special Trading Procedures, as applicable. Under no circumstances will opposite-way open market transactions be permitted.</w:t>
      </w:r>
    </w:p>
    <w:p>
      <w:pPr>
        <w:spacing w:after="0" w:line="182" w:lineRule="exact"/>
        <w:rPr>
          <w:rFonts w:ascii="Arial" w:cs="Arial" w:eastAsia="Arial" w:hAnsi="Arial"/>
          <w:sz w:val="16"/>
          <w:szCs w:val="16"/>
          <w:color w:val="auto"/>
        </w:rPr>
      </w:pPr>
    </w:p>
    <w:p>
      <w:pPr>
        <w:ind w:left="1500" w:hanging="643"/>
        <w:spacing w:after="0"/>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Plan Duration</w:t>
      </w:r>
      <w:r>
        <w:rPr>
          <w:rFonts w:ascii="Arial" w:cs="Arial" w:eastAsia="Arial" w:hAnsi="Arial"/>
          <w:sz w:val="16"/>
          <w:szCs w:val="16"/>
          <w:color w:val="auto"/>
        </w:rPr>
        <w:t>. The minimum duration of a Plan is six months and the maximum duration is two years.</w:t>
      </w:r>
    </w:p>
    <w:p>
      <w:pPr>
        <w:spacing w:after="0" w:line="221" w:lineRule="exact"/>
        <w:rPr>
          <w:rFonts w:ascii="Arial" w:cs="Arial" w:eastAsia="Arial" w:hAnsi="Arial"/>
          <w:sz w:val="16"/>
          <w:szCs w:val="16"/>
          <w:color w:val="auto"/>
        </w:rPr>
      </w:pPr>
    </w:p>
    <w:p>
      <w:pPr>
        <w:ind w:left="1500" w:hanging="643"/>
        <w:spacing w:after="0"/>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When entering into a Plan, an Insider must certify that at the time of adoption of the Plan</w:t>
      </w:r>
    </w:p>
    <w:p>
      <w:pPr>
        <w:spacing w:after="0" w:line="7" w:lineRule="exact"/>
        <w:rPr>
          <w:rFonts w:ascii="Arial" w:cs="Arial" w:eastAsia="Arial" w:hAnsi="Arial"/>
          <w:sz w:val="16"/>
          <w:szCs w:val="16"/>
          <w:color w:val="auto"/>
        </w:rPr>
      </w:pPr>
    </w:p>
    <w:p>
      <w:pPr>
        <w:ind w:left="200" w:right="219"/>
        <w:spacing w:after="0" w:line="265" w:lineRule="auto"/>
        <w:rPr>
          <w:rFonts w:ascii="Arial" w:cs="Arial" w:eastAsia="Arial" w:hAnsi="Arial"/>
          <w:sz w:val="16"/>
          <w:szCs w:val="16"/>
          <w:color w:val="auto"/>
        </w:rPr>
      </w:pPr>
      <w:r>
        <w:rPr>
          <w:rFonts w:ascii="Arial" w:cs="Arial" w:eastAsia="Arial" w:hAnsi="Arial"/>
          <w:sz w:val="16"/>
          <w:szCs w:val="16"/>
          <w:color w:val="auto"/>
        </w:rPr>
        <w:t>that the Insider: (1) is not aware of any material, non-public information; and (2) is adopting the Plan in good faith and not as part of a plan or scheme to evade the prohibitions of the Rule.</w:t>
      </w:r>
    </w:p>
    <w:p>
      <w:pPr>
        <w:spacing w:after="0" w:line="171" w:lineRule="exact"/>
        <w:rPr>
          <w:rFonts w:ascii="Arial" w:cs="Arial" w:eastAsia="Arial" w:hAnsi="Arial"/>
          <w:sz w:val="16"/>
          <w:szCs w:val="16"/>
          <w:color w:val="auto"/>
        </w:rPr>
      </w:pPr>
    </w:p>
    <w:p>
      <w:pPr>
        <w:jc w:val="both"/>
        <w:ind w:left="200" w:right="219" w:firstLine="657"/>
        <w:spacing w:after="0" w:line="252" w:lineRule="auto"/>
        <w:tabs>
          <w:tab w:leader="none" w:pos="149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Modifications</w:t>
      </w:r>
      <w:r>
        <w:rPr>
          <w:rFonts w:ascii="Arial" w:cs="Arial" w:eastAsia="Arial" w:hAnsi="Arial"/>
          <w:sz w:val="16"/>
          <w:szCs w:val="16"/>
          <w:color w:val="auto"/>
        </w:rPr>
        <w:t>.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181" w:lineRule="exact"/>
        <w:rPr>
          <w:rFonts w:ascii="Arial" w:cs="Arial" w:eastAsia="Arial" w:hAnsi="Arial"/>
          <w:sz w:val="16"/>
          <w:szCs w:val="16"/>
          <w:color w:val="auto"/>
        </w:rPr>
      </w:pPr>
    </w:p>
    <w:p>
      <w:pPr>
        <w:jc w:val="both"/>
        <w:ind w:left="200" w:right="219" w:firstLine="657"/>
        <w:spacing w:after="0" w:line="244" w:lineRule="auto"/>
        <w:tabs>
          <w:tab w:leader="none" w:pos="149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Early Terminations</w:t>
      </w:r>
      <w:r>
        <w:rPr>
          <w:rFonts w:ascii="Arial" w:cs="Arial" w:eastAsia="Arial" w:hAnsi="Arial"/>
          <w:sz w:val="16"/>
          <w:szCs w:val="16"/>
          <w:color w:val="auto"/>
        </w:rPr>
        <w:t xml:space="preserve">. The early termination of a Plan could affect the availability of the Rule’s affirmative defense for prior Plan transactions if it calls into question whether the Plan was entered into in good faith and not as part of a plan to avoid the insider trading rules. </w:t>
      </w:r>
      <w:r>
        <w:rPr>
          <w:rFonts w:ascii="Arial" w:cs="Arial" w:eastAsia="Arial" w:hAnsi="Arial"/>
          <w:sz w:val="16"/>
          <w:szCs w:val="16"/>
          <w:b w:val="1"/>
          <w:bCs w:val="1"/>
          <w:color w:val="auto"/>
        </w:rPr>
        <w:t>Because of this risk, early terminations are strongly discouraged.</w:t>
      </w:r>
      <w:r>
        <w:rPr>
          <w:rFonts w:ascii="Arial" w:cs="Arial" w:eastAsia="Arial" w:hAnsi="Arial"/>
          <w:sz w:val="16"/>
          <w:szCs w:val="16"/>
          <w:color w:val="auto"/>
        </w:rPr>
        <w:t xml:space="preserve"> In the event an Insider determines to terminate a Plan early, every effort should be taken to terminate the Plan during an open window. Early termination of a Plan during a quiet (or blackout) period requires extenuating circumstances and is subject to legal review. In the event an Insider early terminates his or her Plan, such Insider (i) will be subject to the cooling-off period for the subsequent Plan that starts when the first Plan is terminated, as noted above, and (ii) may be</w:t>
      </w:r>
    </w:p>
    <w:p>
      <w:pPr>
        <w:spacing w:after="0" w:line="2" w:lineRule="exact"/>
        <w:rPr>
          <w:rFonts w:ascii="Arial" w:cs="Arial" w:eastAsia="Arial" w:hAnsi="Arial"/>
          <w:sz w:val="16"/>
          <w:szCs w:val="16"/>
          <w:color w:val="auto"/>
        </w:rPr>
      </w:pPr>
    </w:p>
    <w:p>
      <w:pPr>
        <w:ind w:left="460" w:hanging="251"/>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prohibited from adopting future Plans, (B) prohibited from transacting in securities outside of a Plan, or (C) subject to</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restrictions at the sole discretion of the Company’s General Counsel.</w:t>
      </w:r>
    </w:p>
    <w:p>
      <w:pPr>
        <w:spacing w:after="0" w:line="205" w:lineRule="exact"/>
        <w:rPr>
          <w:sz w:val="20"/>
          <w:szCs w:val="20"/>
          <w:color w:val="auto"/>
        </w:rPr>
      </w:pPr>
    </w:p>
    <w:p>
      <w:pPr>
        <w:jc w:val="both"/>
        <w:ind w:left="200" w:right="219" w:firstLine="657"/>
        <w:spacing w:after="0" w:line="266" w:lineRule="auto"/>
        <w:tabs>
          <w:tab w:leader="none" w:pos="149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Brokers and Broker Reporting</w:t>
      </w:r>
      <w:r>
        <w:rPr>
          <w:rFonts w:ascii="Arial" w:cs="Arial" w:eastAsia="Arial" w:hAnsi="Arial"/>
          <w:sz w:val="16"/>
          <w:szCs w:val="16"/>
          <w:color w:val="auto"/>
        </w:rPr>
        <w:t>. Each Plan must require the broker counterparty to promptly report to the Company’s designated representative the details of every transaction executed under a Plan, but in any event, such detail shall be provided no later than one (1) trading day after the execution date.</w:t>
      </w:r>
    </w:p>
    <w:p>
      <w:pPr>
        <w:spacing w:after="0" w:line="171" w:lineRule="exact"/>
        <w:rPr>
          <w:rFonts w:ascii="Arial" w:cs="Arial" w:eastAsia="Arial" w:hAnsi="Arial"/>
          <w:sz w:val="16"/>
          <w:szCs w:val="16"/>
          <w:color w:val="auto"/>
        </w:rPr>
      </w:pPr>
    </w:p>
    <w:p>
      <w:pPr>
        <w:jc w:val="both"/>
        <w:ind w:left="200" w:right="219" w:firstLine="657"/>
        <w:spacing w:after="0" w:line="252" w:lineRule="auto"/>
        <w:tabs>
          <w:tab w:leader="none" w:pos="149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Public Disclosure of Plan Transactions</w:t>
      </w:r>
      <w:r>
        <w:rPr>
          <w:rFonts w:ascii="Arial" w:cs="Arial" w:eastAsia="Arial" w:hAnsi="Arial"/>
          <w:sz w:val="16"/>
          <w:szCs w:val="16"/>
          <w:color w:val="auto"/>
        </w:rPr>
        <w:t>. Transactions executed pursuant to a Plan will be indicated as such on the Insider’s Form 4, if applicable. In addition, beginning with the first periodic filing that covers the Company’s first full fiscal period that begins on or after April 1, 2023, the Company will be required to disclose in its periodic reports (i.e., 10-Qs and 10-Ks) the adoption or termination of a Plan by any Section 16 Person during the last completed quarter, including a description of the material terms of such a Plan, other than terms with respect to price.</w:t>
      </w:r>
    </w:p>
    <w:p>
      <w:pPr>
        <w:spacing w:after="0" w:line="168" w:lineRule="exact"/>
        <w:rPr>
          <w:rFonts w:ascii="Arial" w:cs="Arial" w:eastAsia="Arial" w:hAnsi="Arial"/>
          <w:sz w:val="16"/>
          <w:szCs w:val="16"/>
          <w:color w:val="auto"/>
        </w:rPr>
      </w:pPr>
    </w:p>
    <w:p>
      <w:pPr>
        <w:jc w:val="both"/>
        <w:ind w:left="200" w:right="219" w:firstLine="657"/>
        <w:spacing w:after="0" w:line="266" w:lineRule="auto"/>
        <w:tabs>
          <w:tab w:leader="none" w:pos="149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863600</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6"/>
          <w:szCs w:val="16"/>
          <w:b w:val="1"/>
          <w:bCs w:val="1"/>
          <w:color w:val="auto"/>
        </w:rPr>
        <w:t>RYMAN HOSPITALITY PROPERTIES,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POLICY REGARDING SPECIAL TRADING PROCEDURES</w:t>
      </w:r>
    </w:p>
    <w:p>
      <w:pPr>
        <w:spacing w:after="0" w:line="178" w:lineRule="exact"/>
        <w:rPr>
          <w:sz w:val="20"/>
          <w:szCs w:val="20"/>
          <w:color w:val="auto"/>
        </w:rPr>
      </w:pPr>
    </w:p>
    <w:p>
      <w:pPr>
        <w:jc w:val="center"/>
        <w:ind w:left="200" w:right="259"/>
        <w:spacing w:after="0" w:line="296" w:lineRule="auto"/>
        <w:rPr>
          <w:sz w:val="20"/>
          <w:szCs w:val="20"/>
          <w:color w:val="auto"/>
        </w:rPr>
      </w:pPr>
      <w:r>
        <w:rPr>
          <w:rFonts w:ascii="Arial" w:cs="Arial" w:eastAsia="Arial" w:hAnsi="Arial"/>
          <w:sz w:val="16"/>
          <w:szCs w:val="16"/>
          <w:b w:val="1"/>
          <w:bCs w:val="1"/>
          <w:color w:val="auto"/>
        </w:rPr>
        <w:t>This Policy is Applicable Only to Directors, Section 16 Executive Officers and Other Employees Designated by the Company</w:t>
      </w:r>
      <w:r>
        <w:rPr>
          <w:rFonts w:ascii="Arial" w:cs="Arial" w:eastAsia="Arial" w:hAnsi="Arial"/>
          <w:sz w:val="16"/>
          <w:szCs w:val="16"/>
          <w:color w:val="auto"/>
        </w:rPr>
        <w:t>.</w:t>
      </w:r>
    </w:p>
    <w:p>
      <w:pPr>
        <w:spacing w:after="0" w:line="11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6"/>
          <w:szCs w:val="16"/>
          <w:color w:val="auto"/>
        </w:rPr>
        <w:t>Concurrently with the adoption of this Company Policy Regarding Special Trading Procedures (this “Trading Policy”), Ryman Hospitality Partners, Inc., a Delaware corporation (together with its affiliates and subsidiaries, unless context otherwise requires, the “Company”) has adopted a Statement of Company Policy Regarding Insider Trading, including the Company’s Individual Rule 10b5-1 Trading Plan Guidelines attached as Annex A thereto (collectively, the “Insider Trading Statement”) applicable to all Company directors, officers and employees and such other persons as specified therein, which also has been furnished to you. This Trading Policy places limitations, in addition to those included in the Insider Trading Statement, on transactions in certain securities for directors, executive officers and certain other employees who may have regular access to material nonpublic information in the performance of their duties (“Covered Persons”).</w:t>
      </w:r>
    </w:p>
    <w:p>
      <w:pPr>
        <w:spacing w:after="0" w:line="335"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6"/>
          <w:szCs w:val="16"/>
          <w:color w:val="auto"/>
        </w:rPr>
        <w:t>To provide assistance in preventing inadvertent violations and avoiding even the appearance of an improper transaction (which could result, for example, where a Covered Person engages in a trade while unaware of a pending major development), the procedures set forth below must be followed by all Covered Persons.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Blackout Periods and Preclearance</w:t>
      </w:r>
    </w:p>
    <w:p>
      <w:pPr>
        <w:spacing w:after="0" w:line="194"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6"/>
          <w:szCs w:val="16"/>
          <w:color w:val="auto"/>
        </w:rPr>
        <w:t>The Company has put in place “blackout” periods during which Covered Persons shall refrain from trading (including purchases, sales, gifts or other transactions) in Company securities. It is Company policy that a Covered Person may not trade Company securities during the four calendar periods commencing at market close on the 20th calendar day of the third month of the then-current fiscal quarter and ending, in each case, on the third full business day after the Company’s annual or quarterly earnings release.</w:t>
      </w:r>
    </w:p>
    <w:p>
      <w:pPr>
        <w:spacing w:after="0" w:line="155"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6"/>
          <w:szCs w:val="16"/>
          <w:color w:val="auto"/>
        </w:rPr>
        <w:t>In unusual circumstances, such as a significant announcement that may likely affect the Company, the Company may impose a special blackout period. If you are subject to special blackout, you will be notified by the Company’s General Counsel. However, the existence of a special blackout period generally will not be announced other than to those who are aware of the event giving rise to the blackout. Accordingly, if you are notified of a special blackout period you should not disclose the existence of the blackout to others.</w:t>
      </w:r>
    </w:p>
    <w:p>
      <w:pPr>
        <w:spacing w:after="0" w:line="141"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6"/>
          <w:szCs w:val="16"/>
          <w:color w:val="auto"/>
        </w:rPr>
        <w:t>The “blackout” periods do not apply to stock option exercises or other periodic or regular savings or deferred compensation plan purchases, unless the Company has suspended such option exercises or purchases (which would occur only under unusual circumstances). Moreover, the “blackout” periods would not apply to transactions pursuant to a previously submitted written plan approved by the Company’s General Counsel, as consistent with Rule 10b5-1 including the Insider Trading Statement.</w:t>
      </w:r>
    </w:p>
    <w:p>
      <w:pPr>
        <w:spacing w:after="0" w:line="155"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6"/>
          <w:szCs w:val="16"/>
          <w:color w:val="auto"/>
        </w:rPr>
        <w:t xml:space="preserve">However, the “blackout” periods </w:t>
      </w:r>
      <w:r>
        <w:rPr>
          <w:rFonts w:ascii="Arial" w:cs="Arial" w:eastAsia="Arial" w:hAnsi="Arial"/>
          <w:sz w:val="16"/>
          <w:szCs w:val="16"/>
          <w:u w:val="single" w:color="auto"/>
          <w:color w:val="auto"/>
        </w:rPr>
        <w:t>do</w:t>
      </w:r>
      <w:r>
        <w:rPr>
          <w:rFonts w:ascii="Arial" w:cs="Arial" w:eastAsia="Arial" w:hAnsi="Arial"/>
          <w:sz w:val="16"/>
          <w:szCs w:val="16"/>
          <w:color w:val="auto"/>
        </w:rPr>
        <w:t xml:space="preserve"> cover market sales of stock received pursuant to the 2024 Omnibus Incentive Plan (or other stock plan) and transfers into or out of the Company’s stock fund under the 401(k) Savings Plan. In addition, transactions involving Company securities held by or in the name of any member of a Covered Person’s family who resides with such Covered Person, including a spouse, children, children away at college, stepchildren, grandchildren, parents, stepparents, grandparents, siblings and in-laws, anyone else who lives in the Covered Person’s household and any family members who do not live in the Covered Person’s household if the Covered Person directs, influences or controls their securities transactions, as well as other entities such as trusts, corporations and partnerships in which he or she has an interest (collectively, each a “Related Party”), also are restricted.</w:t>
      </w:r>
    </w:p>
    <w:p>
      <w:pPr>
        <w:spacing w:after="0" w:line="159" w:lineRule="exact"/>
        <w:rPr>
          <w:sz w:val="20"/>
          <w:szCs w:val="20"/>
          <w:color w:val="auto"/>
        </w:rPr>
      </w:pPr>
    </w:p>
    <w:p>
      <w:pPr>
        <w:jc w:val="both"/>
        <w:ind w:left="200" w:right="279"/>
        <w:spacing w:after="0" w:line="254" w:lineRule="auto"/>
        <w:rPr>
          <w:sz w:val="20"/>
          <w:szCs w:val="20"/>
          <w:color w:val="auto"/>
        </w:rPr>
      </w:pPr>
      <w:r>
        <w:rPr>
          <w:rFonts w:ascii="Arial" w:cs="Arial" w:eastAsia="Arial" w:hAnsi="Arial"/>
          <w:sz w:val="16"/>
          <w:szCs w:val="16"/>
          <w:b w:val="1"/>
          <w:bCs w:val="1"/>
          <w:color w:val="auto"/>
        </w:rPr>
        <w:t xml:space="preserve">It is Company policy that </w:t>
      </w:r>
      <w:r>
        <w:rPr>
          <w:rFonts w:ascii="Arial" w:cs="Arial" w:eastAsia="Arial" w:hAnsi="Arial"/>
          <w:sz w:val="16"/>
          <w:szCs w:val="16"/>
          <w:b w:val="1"/>
          <w:bCs w:val="1"/>
          <w:u w:val="single" w:color="auto"/>
          <w:color w:val="auto"/>
        </w:rPr>
        <w:t>all transactions</w:t>
      </w:r>
      <w:r>
        <w:rPr>
          <w:rFonts w:ascii="Arial" w:cs="Arial" w:eastAsia="Arial" w:hAnsi="Arial"/>
          <w:sz w:val="16"/>
          <w:szCs w:val="16"/>
          <w:b w:val="1"/>
          <w:bCs w:val="1"/>
          <w:color w:val="auto"/>
        </w:rPr>
        <w:t xml:space="preserve"> by the Company’s directors, executive officers and other senior officers (a group more narrow than the Covered Persons) involving Company securities must be specifically precleared by the Company’s General Counsel. If the Company’s General Counsel desires to complete any trades involving Company securities, the General Counsel must first obtain approval of the Chief Executive Officer of the Company.</w:t>
      </w:r>
    </w:p>
    <w:p>
      <w:pPr>
        <w:spacing w:after="0" w:line="147"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6"/>
          <w:szCs w:val="16"/>
          <w:color w:val="auto"/>
        </w:rPr>
        <w:t>If, upon requesting approval, a Covered Person is advised that Company securities may be traded, the individual may buy, sell or gift the securities within two full business days after receiving permission, provided that the individual does not acquire material nonpublic information during that time. If for any reason the trade is not completed within the two full business days, preclearance must be obtained again before the securities may be traded. If, upon requesting approval or otherwise, a Covered Person is advised that the securities may not be traded, the individual may not buy, sell or gift any securities under any circumstances, or inform anyone within or outside the Company of the restriction. This trading restriction will remain in effect until the individual subsequently receives preclearance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624840</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1" w:name="page132"/>
    <w:bookmarkEnd w:id="131"/>
    <w:p>
      <w:pPr>
        <w:ind w:left="280"/>
        <w:spacing w:after="0"/>
        <w:rPr>
          <w:sz w:val="20"/>
          <w:szCs w:val="20"/>
          <w:color w:val="auto"/>
        </w:rPr>
      </w:pPr>
      <w:r>
        <w:rPr>
          <w:rFonts w:ascii="Arial" w:cs="Arial" w:eastAsia="Arial" w:hAnsi="Arial"/>
          <w:sz w:val="16"/>
          <w:szCs w:val="16"/>
          <w:b w:val="1"/>
          <w:bCs w:val="1"/>
          <w:color w:val="auto"/>
        </w:rPr>
        <w:t>Section 16</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Periodic Reporting</w:t>
      </w:r>
    </w:p>
    <w:p>
      <w:pPr>
        <w:spacing w:after="0" w:line="192" w:lineRule="exact"/>
        <w:rPr>
          <w:sz w:val="20"/>
          <w:szCs w:val="20"/>
          <w:color w:val="auto"/>
        </w:rPr>
      </w:pPr>
    </w:p>
    <w:p>
      <w:pPr>
        <w:jc w:val="both"/>
        <w:ind w:left="280" w:right="219"/>
        <w:spacing w:after="0" w:line="247" w:lineRule="auto"/>
        <w:rPr>
          <w:sz w:val="20"/>
          <w:szCs w:val="20"/>
          <w:color w:val="auto"/>
        </w:rPr>
      </w:pPr>
      <w:r>
        <w:rPr>
          <w:rFonts w:ascii="Arial" w:cs="Arial" w:eastAsia="Arial" w:hAnsi="Arial"/>
          <w:sz w:val="16"/>
          <w:szCs w:val="16"/>
          <w:color w:val="auto"/>
        </w:rPr>
        <w:t>Section 16(a) of the Securities Exchange Act of 1934 (the “1934 Act”) requires that directors, executive officers and beneficial owners of at least ten-percent of the Company’s common stock file reports with the Securities and Exchange Commission (the “SEC”) and the New York Stock Exchange (the “NYSE”) concerning their beneficial ownership of equity securities of the Company and changes in such holdings. The SEC’s rules essentially include two beneficial ownership concepts. The first, used in determining who is a greater than ten-percent stockholder required to file Section 16 reports, focuses on a person’s voting or investment power over securities as a major factor in determining beneficial ownership. As a practical matter, if a person has sole or shared voting or investment power over securities that will usually be sufficient to find that those securities are beneficially owned for purposes of Section 16.</w:t>
      </w:r>
    </w:p>
    <w:p>
      <w:pPr>
        <w:spacing w:after="0" w:line="159" w:lineRule="exact"/>
        <w:rPr>
          <w:sz w:val="20"/>
          <w:szCs w:val="20"/>
          <w:color w:val="auto"/>
        </w:rPr>
      </w:pPr>
    </w:p>
    <w:p>
      <w:pPr>
        <w:jc w:val="both"/>
        <w:ind w:left="280" w:right="219"/>
        <w:spacing w:after="0" w:line="247" w:lineRule="auto"/>
        <w:rPr>
          <w:sz w:val="20"/>
          <w:szCs w:val="20"/>
          <w:color w:val="auto"/>
        </w:rPr>
      </w:pPr>
      <w:r>
        <w:rPr>
          <w:rFonts w:ascii="Arial" w:cs="Arial" w:eastAsia="Arial" w:hAnsi="Arial"/>
          <w:sz w:val="16"/>
          <w:szCs w:val="16"/>
          <w:color w:val="auto"/>
        </w:rPr>
        <w:t>Once a person, whether an executive officer, director or greater than ten-percent stockholder, is required to file Section 16 reports, the SEC uses a second beneficial ownership concept, based on such person’s direct or indirect “pecuniary interest” in securities, to determine which transactions need to be reported and are subject to potential profit disgorgement. Essentially, this second test is predicated on an insider’s ability to profit from purchases or sales of securities. In determining the existence of a pecuniary interest, a person has a pecuniary interest in securities held by members of his or her immediate family if they share the same household. A person may also be held to be the beneficial owner of securities held by a partnership, corporation, trust or other entity over which he or she has a controlling influence. Finally, special rules exist for fiduciaries and beneficiaries of trusts and partners of partnerships. Given the difficulty of applying Section 16’s “beneficial ownership” and “pecuniary interest” concepts, the Company is prepared to assist executive officers, directors and other filing persons in making such determinations.</w:t>
      </w:r>
    </w:p>
    <w:p>
      <w:pPr>
        <w:spacing w:after="0" w:line="158" w:lineRule="exact"/>
        <w:rPr>
          <w:sz w:val="20"/>
          <w:szCs w:val="20"/>
          <w:color w:val="auto"/>
        </w:rPr>
      </w:pPr>
    </w:p>
    <w:p>
      <w:pPr>
        <w:jc w:val="both"/>
        <w:ind w:left="280" w:right="219"/>
        <w:spacing w:after="0" w:line="247" w:lineRule="auto"/>
        <w:rPr>
          <w:sz w:val="20"/>
          <w:szCs w:val="20"/>
          <w:color w:val="auto"/>
        </w:rPr>
      </w:pPr>
      <w:r>
        <w:rPr>
          <w:rFonts w:ascii="Arial" w:cs="Arial" w:eastAsia="Arial" w:hAnsi="Arial"/>
          <w:sz w:val="16"/>
          <w:szCs w:val="16"/>
          <w:color w:val="auto"/>
        </w:rPr>
        <w:t xml:space="preserve">The initial filing report is the Form 3, which lists direct or indirect stock ownership (including ownership by immediate family members) as of the date a person elected a director or executive officer of the Company. Virtually all transactions directly or indirectly affecting Company stock ownership by a Covered Person, his or her immediate family and other entities in which he or she has an interest must be reported. This includes transactions conducted pursuant to the Company’s employee benefit plans. Generally, a Form 4 is due </w:t>
      </w:r>
      <w:r>
        <w:rPr>
          <w:rFonts w:ascii="Arial" w:cs="Arial" w:eastAsia="Arial" w:hAnsi="Arial"/>
          <w:sz w:val="16"/>
          <w:szCs w:val="16"/>
          <w:u w:val="single" w:color="auto"/>
          <w:color w:val="auto"/>
        </w:rPr>
        <w:t>any time</w:t>
      </w:r>
      <w:r>
        <w:rPr>
          <w:rFonts w:ascii="Arial" w:cs="Arial" w:eastAsia="Arial" w:hAnsi="Arial"/>
          <w:sz w:val="16"/>
          <w:szCs w:val="16"/>
          <w:color w:val="auto"/>
        </w:rPr>
        <w:t xml:space="preserve"> a Covered Person’s stock ownership changes. There is also an annual end-of-year Form 5 filing that is required to be filed in certain circumstances. These reports must be filed with the SEC, the NYSE and the Company and become a matter of public record.</w:t>
      </w:r>
    </w:p>
    <w:p>
      <w:pPr>
        <w:spacing w:after="0" w:line="160" w:lineRule="exact"/>
        <w:rPr>
          <w:sz w:val="20"/>
          <w:szCs w:val="20"/>
          <w:color w:val="auto"/>
        </w:rPr>
      </w:pPr>
    </w:p>
    <w:p>
      <w:pPr>
        <w:jc w:val="both"/>
        <w:ind w:left="280" w:right="279"/>
        <w:spacing w:after="0" w:line="247" w:lineRule="auto"/>
        <w:rPr>
          <w:sz w:val="20"/>
          <w:szCs w:val="20"/>
          <w:color w:val="auto"/>
        </w:rPr>
      </w:pPr>
      <w:r>
        <w:rPr>
          <w:rFonts w:ascii="Arial" w:cs="Arial" w:eastAsia="Arial" w:hAnsi="Arial"/>
          <w:sz w:val="16"/>
          <w:szCs w:val="16"/>
          <w:color w:val="auto"/>
        </w:rPr>
        <w:t xml:space="preserve">The Form 3 must be </w:t>
      </w:r>
      <w:r>
        <w:rPr>
          <w:rFonts w:ascii="Arial" w:cs="Arial" w:eastAsia="Arial" w:hAnsi="Arial"/>
          <w:sz w:val="16"/>
          <w:szCs w:val="16"/>
          <w:u w:val="single" w:color="auto"/>
          <w:color w:val="auto"/>
        </w:rPr>
        <w:t>received</w:t>
      </w:r>
      <w:r>
        <w:rPr>
          <w:rFonts w:ascii="Arial" w:cs="Arial" w:eastAsia="Arial" w:hAnsi="Arial"/>
          <w:sz w:val="16"/>
          <w:szCs w:val="16"/>
          <w:color w:val="auto"/>
        </w:rPr>
        <w:t xml:space="preserve"> by the SEC within ten days after the date on which a person first becomes a director, executive officer or ten-percent holder subject to Section 16. A Form 4 must be </w:t>
      </w:r>
      <w:r>
        <w:rPr>
          <w:rFonts w:ascii="Arial" w:cs="Arial" w:eastAsia="Arial" w:hAnsi="Arial"/>
          <w:sz w:val="16"/>
          <w:szCs w:val="16"/>
          <w:u w:val="single" w:color="auto"/>
          <w:color w:val="auto"/>
        </w:rPr>
        <w:t>received</w:t>
      </w:r>
      <w:r>
        <w:rPr>
          <w:rFonts w:ascii="Arial" w:cs="Arial" w:eastAsia="Arial" w:hAnsi="Arial"/>
          <w:sz w:val="16"/>
          <w:szCs w:val="16"/>
          <w:color w:val="auto"/>
        </w:rPr>
        <w:t xml:space="preserve"> by the SEC within two days after there has been a non-exempt transaction which results in a change in beneficial ownership. The Form 5 must be </w:t>
      </w:r>
      <w:r>
        <w:rPr>
          <w:rFonts w:ascii="Arial" w:cs="Arial" w:eastAsia="Arial" w:hAnsi="Arial"/>
          <w:sz w:val="16"/>
          <w:szCs w:val="16"/>
          <w:u w:val="single" w:color="auto"/>
          <w:color w:val="auto"/>
        </w:rPr>
        <w:t>received</w:t>
      </w:r>
      <w:r>
        <w:rPr>
          <w:rFonts w:ascii="Arial" w:cs="Arial" w:eastAsia="Arial" w:hAnsi="Arial"/>
          <w:sz w:val="16"/>
          <w:szCs w:val="16"/>
          <w:color w:val="auto"/>
        </w:rPr>
        <w:t xml:space="preserve"> by the SEC within 45 days of the Company’s fiscal year end by every person who was an insider at any time during the fiscal year and who had an exempt transaction not otherwise reported. As part of the 1934 Act, the Company will be required to report </w:t>
      </w:r>
      <w:r>
        <w:rPr>
          <w:rFonts w:ascii="Arial" w:cs="Arial" w:eastAsia="Arial" w:hAnsi="Arial"/>
          <w:sz w:val="16"/>
          <w:szCs w:val="16"/>
          <w:u w:val="single" w:color="auto"/>
          <w:color w:val="auto"/>
        </w:rPr>
        <w:t>by name</w:t>
      </w:r>
      <w:r>
        <w:rPr>
          <w:rFonts w:ascii="Arial" w:cs="Arial" w:eastAsia="Arial" w:hAnsi="Arial"/>
          <w:sz w:val="16"/>
          <w:szCs w:val="16"/>
          <w:color w:val="auto"/>
        </w:rPr>
        <w:t xml:space="preserve"> in the Form 10-K or proxy statement any </w:t>
      </w:r>
      <w:r>
        <w:rPr>
          <w:rFonts w:ascii="Arial" w:cs="Arial" w:eastAsia="Arial" w:hAnsi="Arial"/>
          <w:sz w:val="16"/>
          <w:szCs w:val="16"/>
          <w:u w:val="single" w:color="auto"/>
          <w:color w:val="auto"/>
        </w:rPr>
        <w:t>failures to file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late filings</w:t>
      </w:r>
      <w:r>
        <w:rPr>
          <w:rFonts w:ascii="Arial" w:cs="Arial" w:eastAsia="Arial" w:hAnsi="Arial"/>
          <w:sz w:val="16"/>
          <w:szCs w:val="16"/>
          <w:color w:val="auto"/>
        </w:rPr>
        <w:t xml:space="preserve"> of Forms 3, 4 or 5 by executive officers or directors.</w:t>
      </w:r>
    </w:p>
    <w:p>
      <w:pPr>
        <w:spacing w:after="0" w:line="160" w:lineRule="exact"/>
        <w:rPr>
          <w:sz w:val="20"/>
          <w:szCs w:val="20"/>
          <w:color w:val="auto"/>
        </w:rPr>
      </w:pPr>
    </w:p>
    <w:p>
      <w:pPr>
        <w:jc w:val="both"/>
        <w:ind w:left="280" w:right="279"/>
        <w:spacing w:after="0" w:line="250" w:lineRule="auto"/>
        <w:rPr>
          <w:sz w:val="20"/>
          <w:szCs w:val="20"/>
          <w:color w:val="auto"/>
        </w:rPr>
      </w:pPr>
      <w:r>
        <w:rPr>
          <w:rFonts w:ascii="Arial" w:cs="Arial" w:eastAsia="Arial" w:hAnsi="Arial"/>
          <w:sz w:val="16"/>
          <w:szCs w:val="16"/>
          <w:color w:val="auto"/>
        </w:rPr>
        <w:t>Directors and executive officers will also be required to file a Form 4 for non-exempt transactions completed after they cease to be a director or executive officer of the Company if such transactions occur within six months of their last non-exempt transaction while an executive officer or director. Moreover, no later than 45 days after the end of the fiscal year in which the resignation occurs, a Form 5 may be required with respect to certain exempt transactions. Furthermore, a Form 5 may be required to report any exempt or otherwise reportable transactions in the six-month period after ceasing to be an executive officer or director. The consequences of a late filing or a failure to file under the SEC rules may be significant. For example:</w:t>
      </w:r>
    </w:p>
    <w:p>
      <w:pPr>
        <w:spacing w:after="0" w:line="157" w:lineRule="exact"/>
        <w:rPr>
          <w:sz w:val="20"/>
          <w:szCs w:val="20"/>
          <w:color w:val="auto"/>
        </w:rPr>
      </w:pPr>
    </w:p>
    <w:p>
      <w:pPr>
        <w:ind w:left="1420" w:right="279" w:hanging="509"/>
        <w:spacing w:after="0" w:line="285" w:lineRule="auto"/>
        <w:tabs>
          <w:tab w:leader="none" w:pos="142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Fines for each filing violation by an executive, director or greater than ten-percent stockholder, cease and desist orders, director and officer bars and injunctions.</w:t>
      </w:r>
    </w:p>
    <w:p>
      <w:pPr>
        <w:spacing w:after="0" w:line="115" w:lineRule="exact"/>
        <w:rPr>
          <w:rFonts w:ascii="Times New Roman" w:cs="Times New Roman" w:eastAsia="Times New Roman" w:hAnsi="Times New Roman"/>
          <w:sz w:val="16"/>
          <w:szCs w:val="16"/>
          <w:color w:val="auto"/>
        </w:rPr>
      </w:pPr>
    </w:p>
    <w:p>
      <w:pPr>
        <w:ind w:left="1420" w:hanging="509"/>
        <w:spacing w:after="0"/>
        <w:tabs>
          <w:tab w:leader="none" w:pos="142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Disclosure in the Company’s Proxy Statement or Form 10-K.</w:t>
      </w:r>
    </w:p>
    <w:p>
      <w:pPr>
        <w:spacing w:after="0" w:line="207" w:lineRule="exact"/>
        <w:rPr>
          <w:sz w:val="20"/>
          <w:szCs w:val="20"/>
          <w:color w:val="auto"/>
        </w:rPr>
      </w:pPr>
    </w:p>
    <w:p>
      <w:pPr>
        <w:jc w:val="both"/>
        <w:ind w:left="280" w:right="219"/>
        <w:spacing w:after="0" w:line="247" w:lineRule="auto"/>
        <w:rPr>
          <w:sz w:val="20"/>
          <w:szCs w:val="20"/>
          <w:color w:val="auto"/>
        </w:rPr>
      </w:pPr>
      <w:r>
        <w:rPr>
          <w:rFonts w:ascii="Arial" w:cs="Arial" w:eastAsia="Arial" w:hAnsi="Arial"/>
          <w:sz w:val="16"/>
          <w:szCs w:val="16"/>
          <w:color w:val="auto"/>
        </w:rPr>
        <w:t>Under the SEC rules, the filing requirements are solely the responsibility of the individual executive officer or director; however, the Company has a program in place to assist and monitor these filings. Please contact the Company’s General Counsel for assistance. As in the past, the Company will prepare and mail the Forms; however, it remains the responsibility of directors and executive officers to timely notify the Company of any stock transactions and to review, approve and sign the Forms. If a director or executive officer elects to mail his or her own Form, he or she is asked to retain a written receipt from the post office or other service and deliver a copy of the Form and receipt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916305</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2" w:name="page133"/>
    <w:bookmarkEnd w:id="132"/>
    <w:p>
      <w:pPr>
        <w:jc w:val="both"/>
        <w:ind w:left="200" w:right="219"/>
        <w:spacing w:after="0" w:line="263" w:lineRule="auto"/>
        <w:rPr>
          <w:sz w:val="20"/>
          <w:szCs w:val="20"/>
          <w:color w:val="auto"/>
        </w:rPr>
      </w:pPr>
      <w:r>
        <w:rPr>
          <w:rFonts w:ascii="Arial" w:cs="Arial" w:eastAsia="Arial" w:hAnsi="Arial"/>
          <w:sz w:val="16"/>
          <w:szCs w:val="16"/>
          <w:b w:val="1"/>
          <w:bCs w:val="1"/>
          <w:color w:val="auto"/>
        </w:rPr>
        <w:t>You should consult your legal and financial advisors as needed. Any action on the part of the Company, the Company’s General Counsel (or the General Counsel’s designee) or any other employee or any director pursuant to this policy (or otherwise) does not constitute legal advice or insulate a person from liability under applicable securities laws.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Short-Swing Profits</w:t>
      </w:r>
    </w:p>
    <w:p>
      <w:pPr>
        <w:spacing w:after="0" w:line="219"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6"/>
          <w:szCs w:val="16"/>
          <w:color w:val="auto"/>
        </w:rPr>
        <w:t>Supplementing the reporting requirements of Section 16(a) is the “short-swing” trading provision contained in Section 16(b) of the 1934 Act. Section 16(b) provides that any profit realized by an executive officer or director from any purchase and sale, or sale and purchase, of any equity security of the Company within any period of less than six months shall inure to, and be recovered by, the Company. Unlike other provisions in the federal securities laws, intent to take unfair advantage of non-public information is not required for recovery under Section 16(b). In other words, transactions in the Company’s securities within six months of one another can lead to disgorgement, irrespective of the reasons for or purposes of the transaction. The recovery for short-swing profits belongs to the Company and cannot be waived. Additionally, the 1934 Act authorizes stockholders to bring these actions under certain circumstances.</w:t>
      </w:r>
    </w:p>
    <w:p>
      <w:pPr>
        <w:spacing w:after="0" w:line="78" w:lineRule="exact"/>
        <w:rPr>
          <w:sz w:val="20"/>
          <w:szCs w:val="20"/>
          <w:color w:val="auto"/>
        </w:rPr>
      </w:pPr>
    </w:p>
    <w:p>
      <w:pPr>
        <w:jc w:val="both"/>
        <w:ind w:left="200" w:right="279"/>
        <w:spacing w:after="0" w:line="257" w:lineRule="auto"/>
        <w:rPr>
          <w:sz w:val="20"/>
          <w:szCs w:val="20"/>
          <w:color w:val="auto"/>
        </w:rPr>
      </w:pPr>
      <w:r>
        <w:rPr>
          <w:rFonts w:ascii="Arial" w:cs="Arial" w:eastAsia="Arial" w:hAnsi="Arial"/>
          <w:sz w:val="16"/>
          <w:szCs w:val="16"/>
          <w:color w:val="auto"/>
        </w:rPr>
        <w:t>It is irrelevant for Section 16(b) purposes whether the purchase or the sale comes first. Furthermore, courts will match the lowest purchase price with the highest sale price. Thus, although the executive officer or director may have realized an overall economic loss, he or she may be treated for Section 16(b) purposes as having realized a profit.</w:t>
      </w:r>
    </w:p>
    <w:p>
      <w:pPr>
        <w:spacing w:after="0" w:line="151" w:lineRule="exact"/>
        <w:rPr>
          <w:sz w:val="20"/>
          <w:szCs w:val="20"/>
          <w:color w:val="auto"/>
        </w:rPr>
      </w:pPr>
    </w:p>
    <w:p>
      <w:pPr>
        <w:jc w:val="both"/>
        <w:ind w:left="200" w:right="299"/>
        <w:spacing w:after="0" w:line="266" w:lineRule="auto"/>
        <w:rPr>
          <w:sz w:val="20"/>
          <w:szCs w:val="20"/>
          <w:color w:val="auto"/>
        </w:rPr>
      </w:pPr>
      <w:r>
        <w:rPr>
          <w:rFonts w:ascii="Arial" w:cs="Arial" w:eastAsia="Arial" w:hAnsi="Arial"/>
          <w:sz w:val="16"/>
          <w:szCs w:val="16"/>
          <w:color w:val="auto"/>
        </w:rPr>
        <w:t>Most exercises and conversions of derivative securities, including option exercises, are not considered a purchase; however, the acquisition still must be reported. Stock acquired on the exercise of a Company stock option may not be sold until six months after the option grant date.</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Securities Law Restrictions</w:t>
      </w:r>
    </w:p>
    <w:p>
      <w:pPr>
        <w:spacing w:after="0" w:line="194" w:lineRule="exact"/>
        <w:rPr>
          <w:sz w:val="20"/>
          <w:szCs w:val="20"/>
          <w:color w:val="auto"/>
        </w:rPr>
      </w:pPr>
    </w:p>
    <w:p>
      <w:pPr>
        <w:jc w:val="both"/>
        <w:ind w:left="200" w:right="359"/>
        <w:spacing w:after="0" w:line="245" w:lineRule="auto"/>
        <w:rPr>
          <w:sz w:val="20"/>
          <w:szCs w:val="20"/>
          <w:color w:val="auto"/>
        </w:rPr>
      </w:pPr>
      <w:r>
        <w:rPr>
          <w:rFonts w:ascii="Arial" w:cs="Arial" w:eastAsia="Arial" w:hAnsi="Arial"/>
          <w:sz w:val="16"/>
          <w:szCs w:val="16"/>
          <w:color w:val="auto"/>
        </w:rPr>
        <w:t>The federal securities laws also impose on each Covered Person other restrictions which are not related to the possession of material nonpublic information. Even if a Covered Person has no material nonpublic information, a Covered Person may not sell publicly securities of the Company unless such sale is covered by an effective registration statement or is being made pursuant to the registration requirement. Rule 144 under the Securities Act of 1933, as amended (“Rule 144”) provides an exemption from registration for sales made through transactions with brokers, provided that a number of conditions are met. Rule 144 sets forth various requirements (including volume, manner of sale and current public information requirements) with respect to the sale of securities by any “affiliate,” which may be deemed to include a Covered Person. If a Covered Person, or any Related Party thereof, is permitted to make a public sale pursuant to this Trading Policy and the Insider Trading Statement, a Covered Person should advise his or her broker that he or she is selling pursuant to Rule 144 and he or she may be obligated to file a Form 144 with the SEC and the NYSE. If a Covered Person, or any Related Party thereof, intends to sell Company securities, such Covered Person must coordinate with the Company’s General Counsel and the broker of such Covered Person as part of the pre-clearance process to ensure any applicable compliance with Rule 144. The Company’s General Counsel has copies of Form 144 and is able to advise and provide assistance in connection with such transactions.</w:t>
      </w:r>
    </w:p>
    <w:p>
      <w:pPr>
        <w:spacing w:after="0" w:line="35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6"/>
          <w:szCs w:val="16"/>
          <w:color w:val="auto"/>
        </w:rPr>
        <w:t>In addition, when the Company is engaged in a distribution of its securities through a public offering or otherwise, a Covered Person may not purchase any securities, whether or not he or she is in possession of material nonpublic information, until such distribution has been completed. If there are any questions about purchases while the Company is engaged in such a distribution, advice should be sought from the Company’s General Counsel.</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Compliance With the Insider Trading Statement</w:t>
      </w:r>
    </w:p>
    <w:p>
      <w:pPr>
        <w:spacing w:after="0" w:line="181" w:lineRule="exact"/>
        <w:rPr>
          <w:sz w:val="20"/>
          <w:szCs w:val="20"/>
          <w:color w:val="auto"/>
        </w:rPr>
      </w:pPr>
    </w:p>
    <w:p>
      <w:pPr>
        <w:jc w:val="both"/>
        <w:ind w:left="200" w:right="279"/>
        <w:spacing w:after="0" w:line="251" w:lineRule="auto"/>
        <w:rPr>
          <w:sz w:val="20"/>
          <w:szCs w:val="20"/>
          <w:color w:val="auto"/>
        </w:rPr>
      </w:pPr>
      <w:r>
        <w:rPr>
          <w:rFonts w:ascii="Arial" w:cs="Arial" w:eastAsia="Arial" w:hAnsi="Arial"/>
          <w:sz w:val="16"/>
          <w:szCs w:val="16"/>
          <w:color w:val="auto"/>
        </w:rPr>
        <w:t>Except as set forth under the section entitled “Anti-Hedging and Pledging Pre-Approval” in this Trading Policy, the procedures set forth in this Trading Policy are in addition to the policies set forth in the Insider Trading Statement and are not a substitute therefor. A Covered Person is responsible for complying with both the Insider Trading Statement and this Trading Policy. Thus, even if a Covered Person receives preclearance and no blackout period is in effect, a Covered Person, and any of such Covered Person’s Related Parties may not “tip” or trade in Company securities if in possession of material nonpublic information about the Company.</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Anti-Hedging and Pledging Pre-Approval Policy</w:t>
      </w:r>
    </w:p>
    <w:p>
      <w:pPr>
        <w:spacing w:after="0" w:line="181" w:lineRule="exact"/>
        <w:rPr>
          <w:sz w:val="20"/>
          <w:szCs w:val="20"/>
          <w:color w:val="auto"/>
        </w:rPr>
      </w:pPr>
    </w:p>
    <w:p>
      <w:pPr>
        <w:jc w:val="both"/>
        <w:ind w:left="200" w:right="279"/>
        <w:spacing w:after="0" w:line="253" w:lineRule="auto"/>
        <w:rPr>
          <w:sz w:val="20"/>
          <w:szCs w:val="20"/>
          <w:color w:val="auto"/>
        </w:rPr>
      </w:pPr>
      <w:r>
        <w:rPr>
          <w:rFonts w:ascii="Arial" w:cs="Arial" w:eastAsia="Arial" w:hAnsi="Arial"/>
          <w:sz w:val="16"/>
          <w:szCs w:val="16"/>
          <w:color w:val="auto"/>
        </w:rPr>
        <w:t>The Company considers it inappropriate for any executive officer or director to engage in any transactions designed to hedge or offset any decrease in the market value of the Company’s equity securities (commonly referred to as “hedging” or “monetization” transactions), including, but not limited to, through the use of financial instruments such as exchange funds, equity swaps, puts, calls, collars, forwards and other derivative instruments, or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3" w:name="page134"/>
    <w:bookmarkEnd w:id="133"/>
    <w:p>
      <w:pPr>
        <w:jc w:val="both"/>
        <w:ind w:left="200" w:right="299"/>
        <w:spacing w:after="0" w:line="259" w:lineRule="auto"/>
        <w:rPr>
          <w:sz w:val="20"/>
          <w:szCs w:val="20"/>
          <w:color w:val="auto"/>
        </w:rPr>
      </w:pPr>
      <w:r>
        <w:rPr>
          <w:rFonts w:ascii="Arial" w:cs="Arial" w:eastAsia="Arial" w:hAnsi="Arial"/>
          <w:sz w:val="16"/>
          <w:szCs w:val="16"/>
          <w:color w:val="auto"/>
        </w:rPr>
        <w:t>establishment of a short position in the Company’s equity securities. Therefore, such transactions are prohibited. This prohibition also includes transactions, such as forward sale contracts, in which the stockholder continues to own the underlying security without all the risks or rewards of ownership. The prohibitions in this paragraph do not apply to the exercise of stock options granted as part of a Company incentive plan.</w:t>
      </w:r>
    </w:p>
    <w:p>
      <w:pPr>
        <w:spacing w:after="0" w:line="151" w:lineRule="exact"/>
        <w:rPr>
          <w:sz w:val="20"/>
          <w:szCs w:val="20"/>
          <w:color w:val="auto"/>
        </w:rPr>
      </w:pPr>
    </w:p>
    <w:p>
      <w:pPr>
        <w:jc w:val="both"/>
        <w:ind w:left="200" w:right="279"/>
        <w:spacing w:after="0" w:line="247" w:lineRule="auto"/>
        <w:rPr>
          <w:sz w:val="20"/>
          <w:szCs w:val="20"/>
          <w:color w:val="auto"/>
        </w:rPr>
      </w:pPr>
      <w:r>
        <w:rPr>
          <w:rFonts w:ascii="Arial" w:cs="Arial" w:eastAsia="Arial" w:hAnsi="Arial"/>
          <w:sz w:val="16"/>
          <w:szCs w:val="16"/>
          <w:color w:val="auto"/>
        </w:rPr>
        <w:t>Additionally, executive officers and directors may not pledge, including by holding Company securities in a margin account, or otherwise encumber Company stock without obtaining prior pre-clearance of the Human Resources Committee; provided that such pre-clearance will not be required for: (1) loans from the Company’s 401k Savings Plan accounts; (2) the involuntary imposition of liens, such as tax liens or liens arising from legal proceedings, or customary purchase and sale agreements, such as Rule 10b5-1 plans; or (3) pledges of less than a “significant” amount of Company stock. The term “significant” means the lesser of 0.50% of the Company’s outstanding equity securities and 10% of the equity securities of the Company owned by the executive officer or director. In addition, any pledged shares do not count towards an executive officer’s or director’s stock ownership requirements.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Compliance with the Policy Following Termination of Service</w:t>
      </w:r>
    </w:p>
    <w:p>
      <w:pPr>
        <w:spacing w:after="0" w:line="235"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6"/>
          <w:szCs w:val="16"/>
          <w:color w:val="auto"/>
        </w:rPr>
        <w:t>If any Covered Person is aware of material non-public information with respect to the Company when such person terminates service as a director, officer, employee or consultant of the Company, such person may not engage in any transactions subject to this Trading Policy and the Insider Trading Statement involving the Company’s securities until that information has become public or is no longer material. Additionally, if such person’s service with the Company terminates during any blackout period, such person will continue to be subject to the restrictions set forth in this Trading Policy and the Insider Trading Statement until such blackout period has ended.</w:t>
      </w:r>
    </w:p>
    <w:p>
      <w:pPr>
        <w:spacing w:after="0" w:line="175" w:lineRule="exact"/>
        <w:rPr>
          <w:sz w:val="20"/>
          <w:szCs w:val="20"/>
          <w:color w:val="auto"/>
        </w:rPr>
      </w:pPr>
    </w:p>
    <w:p>
      <w:pPr>
        <w:jc w:val="both"/>
        <w:ind w:left="200" w:right="279"/>
        <w:spacing w:after="0" w:line="278" w:lineRule="auto"/>
        <w:rPr>
          <w:sz w:val="20"/>
          <w:szCs w:val="20"/>
          <w:color w:val="auto"/>
        </w:rPr>
      </w:pPr>
      <w:r>
        <w:rPr>
          <w:rFonts w:ascii="Arial" w:cs="Arial" w:eastAsia="Arial" w:hAnsi="Arial"/>
          <w:sz w:val="16"/>
          <w:szCs w:val="16"/>
          <w:color w:val="auto"/>
        </w:rPr>
        <w:t>This Trading Policy will still apply to any Covered Person regarding, (i) any transactions within the six-month period following the termination of such Covered Person’s service as a Section 16 Person also must not be subject to short-swing liability under Section 16(b) of the Exchange Act and (ii) in order to ensure compliance with Rule 144 as described above, any such individual must notify the Company prior to making any sales of the Company’s securities during the three months following such time that such individual ceases serving as a Section 16 Person.</w:t>
      </w:r>
    </w:p>
    <w:p>
      <w:pPr>
        <w:spacing w:after="0" w:line="68" w:lineRule="exact"/>
        <w:rPr>
          <w:sz w:val="20"/>
          <w:szCs w:val="20"/>
          <w:color w:val="auto"/>
        </w:rPr>
      </w:pPr>
    </w:p>
    <w:p>
      <w:pPr>
        <w:ind w:left="200" w:right="479"/>
        <w:spacing w:after="0" w:line="279" w:lineRule="auto"/>
        <w:rPr>
          <w:sz w:val="20"/>
          <w:szCs w:val="20"/>
          <w:color w:val="auto"/>
        </w:rPr>
      </w:pPr>
      <w:r>
        <w:rPr>
          <w:rFonts w:ascii="Arial" w:cs="Arial" w:eastAsia="Arial" w:hAnsi="Arial"/>
          <w:sz w:val="16"/>
          <w:szCs w:val="16"/>
          <w:b w:val="1"/>
          <w:bCs w:val="1"/>
          <w:color w:val="auto"/>
        </w:rPr>
        <w:t>If there are any questions regarding this Trading Policy or the Insider Trading Statement, or the Company’s policy with respect to Rule 10b5-1 plans, please contact the Company’s General Counsel.</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Adopted effective as of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603885</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4" w:name="page135"/>
    <w:bookmarkEnd w:id="134"/>
    <w:p>
      <w:pPr>
        <w:ind w:left="7840"/>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 Name</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188"/>
        </w:trPr>
        <w:tc>
          <w:tcPr>
            <w:tcW w:w="180" w:type="dxa"/>
            <w:vAlign w:val="bottom"/>
          </w:tcPr>
          <w:p>
            <w:pPr>
              <w:spacing w:after="0"/>
              <w:rPr>
                <w:sz w:val="16"/>
                <w:szCs w:val="16"/>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2644 McGavock, LLC</w:t>
            </w:r>
          </w:p>
        </w:tc>
        <w:tc>
          <w:tcPr>
            <w:tcW w:w="40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Delaware</w:t>
            </w:r>
          </w:p>
        </w:tc>
        <w:tc>
          <w:tcPr>
            <w:tcW w:w="420" w:type="dxa"/>
            <w:vAlign w:val="bottom"/>
          </w:tcPr>
          <w:p>
            <w:pPr>
              <w:spacing w:after="0"/>
              <w:rPr>
                <w:sz w:val="16"/>
                <w:szCs w:val="16"/>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MidCo,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Operations,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Attractions IP,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10,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Investors,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Block 21 Service Company,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Texas</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Country Music Television International,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Cumberland Depot,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GN Bond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GOO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GOOSPK 1604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New York</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GPSI,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IP,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GSD River North,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GSD River South,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Corporate Properties,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Creative Group,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Finance Corporation</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High Point Land,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Hotel Properties,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Hotels,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N451A Invesco,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DC,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Inn at Opryland,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NH,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OH,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SA,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Partner,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DC,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GP,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Florida</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NH,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Maryland</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SA,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Sub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 Management,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RHPAHP,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RHPAHO,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Ryman Corporate Properties,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Ryman Hotel Operations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Attractions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Borrower,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Finance,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Ole Red Gatlinburg,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Tennessee</w:t>
            </w:r>
          </w:p>
        </w:tc>
      </w:tr>
      <w:tr>
        <w:trPr>
          <w:trHeight w:val="506"/>
        </w:trPr>
        <w:tc>
          <w:tcPr>
            <w:tcW w:w="18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3"/>
        </w:trPr>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135" w:name="page136"/>
    <w:bookmarkEnd w:id="135"/>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Holdings, Inc.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Las Vegas,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Nashville Airport,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Orlando,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OLH,GP</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Attractions HoldCo,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Entertainment Group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Attractions,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Hospitality,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Park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SE Invesco,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Springhouse Golf,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Wildhorse Saloon Entertainment Ventures,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WR Invesco,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WSM-AM,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NCV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735"/>
        </w:trPr>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3"/>
        </w:trPr>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333-238530-09) pertaining to the $700,000,000 4.75% Senior Notes Due 2027 of Ryman Hospitality Properties, Inc.,</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333-211214) pertaining to the Ryman Hospitality Properties, Inc. 2016 Omnibus Incentive Plan,</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333-272429) pertaining to the offering of common stock of Ryman Hospitality Properties, Inc., and</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333-279248) pertaining to the Ryman Hospitality Properties, Inc. 2024 Omnibus Incentive Plan,</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our reports dated February 21, 2025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2024.</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07" w:lineRule="exact"/>
        <w:rPr>
          <w:sz w:val="20"/>
          <w:szCs w:val="20"/>
          <w:color w:val="auto"/>
        </w:rPr>
      </w:pPr>
    </w:p>
    <w:p>
      <w:pPr>
        <w:ind w:left="820" w:hanging="488"/>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Mark Fioravanti</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07" w:lineRule="exact"/>
        <w:rPr>
          <w:sz w:val="20"/>
          <w:szCs w:val="20"/>
          <w:color w:val="auto"/>
        </w:rPr>
      </w:pPr>
    </w:p>
    <w:p>
      <w:pPr>
        <w:ind w:left="820" w:hanging="488"/>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Jennifer Hutcheson</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2024, as filed with the Securities and Exchange Commission on the date hereof (the "Report"), I, Mark Fioravanti, President and Chief Executive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2024, as filed with the Securities and Exchange Commission on the date hereof (the "Report"), I, Jennifer Hutcheson, Executive Vice President, Chief Financial Officer and Chief Accounting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22"/>
    </w:lvl>
  </w:abstractNum>
  <w:abstractNum w:abstractNumId="42">
    <w:nsid w:val="4F4EF005"/>
    <w:multiLevelType w:val="hybridMultilevel"/>
    <w:lvl w:ilvl="0">
      <w:lvlJc w:val="left"/>
      <w:lvlText w:val="%1"/>
      <w:numFmt w:val="decimal"/>
      <w:start w:val="97"/>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2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upperLetter"/>
      <w:start w:val="9"/>
    </w:lvl>
  </w:abstractNum>
  <w:abstractNum w:abstractNumId="51">
    <w:nsid w:val="354FE9F9"/>
    <w:multiLevelType w:val="hybridMultilevel"/>
    <w:lvl w:ilvl="0">
      <w:lvlJc w:val="left"/>
      <w:lvlText w:val="%1."/>
      <w:numFmt w:val="upperLetter"/>
      <w:start w:val="35"/>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upperLetter"/>
      <w:start w:val="6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lvl w:ilvl="1">
      <w:lvlJc w:val="left"/>
      <w:lvlText w:val="%2."/>
      <w:numFmt w:val="upperLetter"/>
      <w:start w:val="1"/>
    </w:lvl>
  </w:abstractNum>
  <w:abstractNum w:abstractNumId="56">
    <w:nsid w:val="3F6AB60F"/>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
    </w:lvl>
  </w:abstractNum>
  <w:abstractNum w:abstractNumId="57">
    <w:nsid w:val="61574095"/>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abstractNum>
  <w:abstractNum w:abstractNumId="58">
    <w:nsid w:val="7E0C57B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24"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83" Type="http://schemas.openxmlformats.org/officeDocument/2006/relationships/hyperlink" Target="http://www.sec.gov/Archives/edgar/data/1040829/000119312512410191/d419132dex31.htm" TargetMode="External"/><Relationship Id="rId84" Type="http://schemas.openxmlformats.org/officeDocument/2006/relationships/hyperlink" Target="https://www.sec.gov/Archives/edgar/data/1040829/000155837023002012/rhp-20221231xex3d2.htm" TargetMode="External"/><Relationship Id="rId85" Type="http://schemas.openxmlformats.org/officeDocument/2006/relationships/hyperlink" Target="http://www.sec.gov/Archives/edgar/data/1040829/000119312512401709/d415216dex41.htm" TargetMode="External"/><Relationship Id="rId86" Type="http://schemas.openxmlformats.org/officeDocument/2006/relationships/hyperlink" Target="https://www.sec.gov/Archives/edgar/data/1040829/000155837020001342/ex-4d3.htm" TargetMode="External"/><Relationship Id="rId87" Type="http://schemas.openxmlformats.org/officeDocument/2006/relationships/hyperlink" Target="http://www.sec.gov/Archives/edgar/data/1040829/000141057819001323/tv529738_ex4-1.htm" TargetMode="External"/><Relationship Id="rId88" Type="http://schemas.openxmlformats.org/officeDocument/2006/relationships/hyperlink" Target="http://www.sec.gov/Archives/edgar/data/1040829/000141057819001570/tv530763_ex4-3.htm" TargetMode="External"/><Relationship Id="rId89" Type="http://schemas.openxmlformats.org/officeDocument/2006/relationships/hyperlink" Target="https://www.sec.gov/Archives/edgar/data/1040829/000114036121005258/nt10019727x5_ex4-1.htm" TargetMode="External"/><Relationship Id="rId90" Type="http://schemas.openxmlformats.org/officeDocument/2006/relationships/hyperlink" Target="https://www.sec.gov/ix?doc=/Archives/edgar/data/1040829/000114036121005258/nt10019727x5_8k.htm" TargetMode="External"/><Relationship Id="rId91" Type="http://schemas.openxmlformats.org/officeDocument/2006/relationships/hyperlink" Target="https://www.sec.gov/Archives/edgar/data/1040829/000114036123030947/brhc20054708_ex4-1.htm" TargetMode="External"/><Relationship Id="rId92" Type="http://schemas.openxmlformats.org/officeDocument/2006/relationships/hyperlink" Target="https://www.sec.gov/Archives/edgar/data/1040829/000114036124016193/ny20024154x2_ex4-1.htm" TargetMode="External"/><Relationship Id="rId93" Type="http://schemas.openxmlformats.org/officeDocument/2006/relationships/hyperlink" Target="https://www.sec.gov/ix?doc=/Archives/edgar/data/1040829/000114036124016193/ny20024154x2_8k.htm" TargetMode="External"/><Relationship Id="rId94" Type="http://schemas.openxmlformats.org/officeDocument/2006/relationships/hyperlink" Target="https://www.sec.gov/Archives/edgar/data/1040829/000110465923062700/tm2316305d1_ex10-1.htm" TargetMode="External"/><Relationship Id="rId95" Type="http://schemas.openxmlformats.org/officeDocument/2006/relationships/hyperlink" Target="https://www.sec.gov/Archives/edgar/data/1040829/000114036124019606/ef20026843_ex10-1.htm" TargetMode="External"/><Relationship Id="rId96" Type="http://schemas.openxmlformats.org/officeDocument/2006/relationships/hyperlink" Target="https://www.sec.gov/Archives/edgar/data/1040829/000114036124049940/ef20040400_ex10-1.htm" TargetMode="External"/><Relationship Id="rId97" Type="http://schemas.openxmlformats.org/officeDocument/2006/relationships/hyperlink" Target="http://www.sec.gov/Archives/edgar/data/1040829/0000950144-00-004089-index.html" TargetMode="External"/><Relationship Id="rId98" Type="http://schemas.openxmlformats.org/officeDocument/2006/relationships/hyperlink" Target="http://www.sec.gov/Archives/edgar/data/1040829/000095014403004173/g81512exv10w21.txt" TargetMode="External"/><Relationship Id="rId99" Type="http://schemas.openxmlformats.org/officeDocument/2006/relationships/hyperlink" Target="http://www.sec.gov/Archives/edgar/data/1040829/000095014403004173/g81512exv10w22.txt" TargetMode="External"/><Relationship Id="rId100" Type="http://schemas.openxmlformats.org/officeDocument/2006/relationships/hyperlink" Target="http://www.sec.gov/Archives/edgar/data/1040829/000119312519003774/d682468dex101.htm" TargetMode="External"/><Relationship Id="rId101" Type="http://schemas.openxmlformats.org/officeDocument/2006/relationships/hyperlink" Target="https://www.sec.gov/Archives/edgar/data/1040829/000110465922042464/tm2211530d1_ex10-1.htm" TargetMode="External"/><Relationship Id="rId102" Type="http://schemas.openxmlformats.org/officeDocument/2006/relationships/hyperlink" Target="https://www.sec.gov/Archives/edgar/data/1040829/000155837022011603/rhp-20220630xex10d2.htm" TargetMode="External"/><Relationship Id="rId103" Type="http://schemas.openxmlformats.org/officeDocument/2006/relationships/hyperlink" Target="https://www.sec.gov/Archives/edgar/data/1040829/000155837022011603/rhp-20220630xex10d3.htm" TargetMode="External"/><Relationship Id="rId104" Type="http://schemas.openxmlformats.org/officeDocument/2006/relationships/hyperlink" Target="https://www.sec.gov/Archives/edgar/data/1040829/000110465922071928/tm2218606d1_ex10-1.htm" TargetMode="External"/><Relationship Id="rId105" Type="http://schemas.openxmlformats.org/officeDocument/2006/relationships/hyperlink" Target="https://www.sec.gov/Archives/edgar/data/1040829/000155837024001613/rhp-20231231xex10d14.htm" TargetMode="External"/><Relationship Id="rId106" Type="http://schemas.openxmlformats.org/officeDocument/2006/relationships/hyperlink" Target="http://www.sec.gov/Archives/edgar/data/1040829/000095014401004631/g68099ex10-19.txt" TargetMode="External"/><Relationship Id="rId107" Type="http://schemas.openxmlformats.org/officeDocument/2006/relationships/hyperlink" Target="http://www.sec.gov/Archives/edgar/data/1040829/000095014408001431/g11970exv10w1.htm" TargetMode="External"/><Relationship Id="rId108" Type="http://schemas.openxmlformats.org/officeDocument/2006/relationships/hyperlink" Target="http://www.sec.gov/Archives/edgar/data/1040829/000095014408009526/g17124exv10w3.htm" TargetMode="External"/><Relationship Id="rId109" Type="http://schemas.openxmlformats.org/officeDocument/2006/relationships/hyperlink" Target="http://www.sec.gov/Archives/edgar/data/1040829/000095012310101559/g25095exv10w2.htm" TargetMode="External"/><Relationship Id="rId110" Type="http://schemas.openxmlformats.org/officeDocument/2006/relationships/hyperlink" Target="http://www.sec.gov/Archives/edgar/data/1040829/000119312512456947/d412761dex105.htm" TargetMode="External"/><Relationship Id="rId111" Type="http://schemas.openxmlformats.org/officeDocument/2006/relationships/hyperlink" Target="https://www.sec.gov/Archives/edgar/data/1040829/000155837021001956/rhp-20201231xex10d17.htm" TargetMode="External"/><Relationship Id="rId112" Type="http://schemas.openxmlformats.org/officeDocument/2006/relationships/hyperlink" Target="https://www.sec.gov/Archives/edgar/data/1040829/000110465922107763/tm2227868d1_ex10-1.htm" TargetMode="External"/><Relationship Id="rId113" Type="http://schemas.openxmlformats.org/officeDocument/2006/relationships/hyperlink" Target="http://www.sec.gov/Archives/edgar/data/1040829/000095014402003186/g74977ex10-30.txt" TargetMode="External"/><Relationship Id="rId114" Type="http://schemas.openxmlformats.org/officeDocument/2006/relationships/hyperlink" Target="http://www.sec.gov/Archives/edgar/data/1040829/000095014408001431/g11970exv10w3.htm" TargetMode="External"/><Relationship Id="rId115" Type="http://schemas.openxmlformats.org/officeDocument/2006/relationships/hyperlink" Target="http://www.sec.gov/Archives/edgar/data/1040829/000095012310017849/g22218exv10w38.htm" TargetMode="External"/><Relationship Id="rId116" Type="http://schemas.openxmlformats.org/officeDocument/2006/relationships/hyperlink" Target="http://www.sec.gov/Archives/edgar/data/1040829/000095012310101559/g25095exv10w5.htm" TargetMode="External"/><Relationship Id="rId117" Type="http://schemas.openxmlformats.org/officeDocument/2006/relationships/hyperlink" Target="http://www.sec.gov/Archives/edgar/data/1040829/000119312512456947/d412761dex106.htm" TargetMode="External"/><Relationship Id="rId118" Type="http://schemas.openxmlformats.org/officeDocument/2006/relationships/hyperlink" Target="https://www.sec.gov/Archives/edgar/data/1040829/000110465922028770/tm227976d1_ex10-1.htm" TargetMode="External"/><Relationship Id="rId119" Type="http://schemas.openxmlformats.org/officeDocument/2006/relationships/hyperlink" Target="https://www.sec.gov/Archives/edgar/data/1040829/000110465922107763/tm2227868d1_ex10-2.htm" TargetMode="External"/><Relationship Id="rId120" Type="http://schemas.openxmlformats.org/officeDocument/2006/relationships/hyperlink" Target="https://www.sec.gov/Archives/edgar/data/1040829/000119312518060772/d503192dex1021.htm" TargetMode="External"/><Relationship Id="rId121" Type="http://schemas.openxmlformats.org/officeDocument/2006/relationships/hyperlink" Target="http://www.sec.gov/Archives/edgar/data/1040829/000119312518060772/d503192dex1022.htm" TargetMode="External"/><Relationship Id="rId122" Type="http://schemas.openxmlformats.org/officeDocument/2006/relationships/hyperlink" Target="https://www.sec.gov/Archives/edgar/data/1040829/000110465922028770/tm227976d1_ex10-2.htm" TargetMode="External"/><Relationship Id="rId123" Type="http://schemas.openxmlformats.org/officeDocument/2006/relationships/hyperlink" Target="http://www.sec.gov/Archives/edgar/data/1040829/000095014403004173/g81512exv10w36.txt" TargetMode="External"/><Relationship Id="rId125" Type="http://schemas.openxmlformats.org/officeDocument/2006/relationships/hyperlink" Target="http://www.sec.gov/Archives/edgar/data/1040829/000119312516582078/d92622dex101.htm" TargetMode="External"/><Relationship Id="rId126" Type="http://schemas.openxmlformats.org/officeDocument/2006/relationships/hyperlink" Target="http://www.sec.gov/Archives/edgar/data/1040829/000119312517061161/d285683dex1043.htm" TargetMode="External"/><Relationship Id="rId127" Type="http://schemas.openxmlformats.org/officeDocument/2006/relationships/hyperlink" Target="http://www.sec.gov/Archives/edgar/data/1040829/000119312516671549/d199388dex101.htm" TargetMode="External"/><Relationship Id="rId128" Type="http://schemas.openxmlformats.org/officeDocument/2006/relationships/hyperlink" Target="http://www.sec.gov/Archives/edgar/data/1040829/000119312516671549/d199388dex102.htm" TargetMode="External"/><Relationship Id="rId129" Type="http://schemas.openxmlformats.org/officeDocument/2006/relationships/hyperlink" Target="https://www.sec.gov/Archives/edgar/data/1040829/000110465924059212/tm2413770d3_ex10-1.htm" TargetMode="External"/><Relationship Id="rId130" Type="http://schemas.openxmlformats.org/officeDocument/2006/relationships/hyperlink" Target="https://www.sec.gov/Archives/edgar/data/1040829/000155837024010587/rhp-20240630xex10d3.htm" TargetMode="External"/><Relationship Id="rId131" Type="http://schemas.openxmlformats.org/officeDocument/2006/relationships/hyperlink" Target="https://www.sec.gov/Archives/edgar/data/1040829/000155837024010587/rhp-20240630xex10d4.htm" TargetMode="External"/><Relationship Id="rId132" Type="http://schemas.openxmlformats.org/officeDocument/2006/relationships/hyperlink" Target="https://www.sec.gov/Archives/edgar/data/1040829/000155837024010587/rhp-20240630xex22.htm" TargetMode="External"/><Relationship Id="rId133" Type="http://schemas.openxmlformats.org/officeDocument/2006/relationships/hyperlink" Target="https://www.sec.gov/Archives/edgar/data/1040829/000155837024001613/rhp-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2025-02-21T13:38:09Z</dcterms:created>
  <dcterms:modified xsi:type="dcterms:W3CDTF">2025-02-21T13:38:09Z</dcterms:modified>
</cp:coreProperties>
</file>