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Haslam William</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Ryman Hospitality Properties,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RHP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3"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04/15/2026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502 UNION AVENUE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KNOXVILLE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37902</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1,332</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1,332</w:t>
            </w:r>
            <w:r>
              <w:rPr>
                <w:rFonts w:ascii="Times New Roman" w:cs="Times New Roman" w:eastAsia="Times New Roman" w:hAnsi="Times New Roman"/>
                <w:sz w:val="21"/>
                <w:szCs w:val="21"/>
                <w:color w:val="008000"/>
                <w:vertAlign w:val="superscript"/>
              </w:rPr>
              <w:t>(2)</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vest 100% on May 8, 2026.</w:t>
      </w:r>
    </w:p>
    <w:p>
      <w:pPr>
        <w:spacing w:after="0" w:line="45" w:lineRule="exact"/>
        <w:rPr>
          <w:rFonts w:ascii="Times New Roman" w:cs="Times New Roman" w:eastAsia="Times New Roman" w:hAnsi="Times New Roman"/>
          <w:sz w:val="13"/>
          <w:szCs w:val="13"/>
          <w:color w:val="008000"/>
        </w:rPr>
      </w:pPr>
    </w:p>
    <w:p>
      <w:pPr>
        <w:jc w:val="both"/>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reporting person's outstanding restricted stock unit awards, as a result of the $1.20 dividend per share of outstanding common stock paid by the issuer on April 15, 2026, the reporting person received additional restricted stock units in an amount based on the amount of the dividend per share and the closing price of the issuer's common stock traded on the NYSE on March 31, 2026.</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Scott J. Lynn, Attorney-in-Fact </w:t>
      </w:r>
      <w:r>
        <w:rPr>
          <w:rFonts w:ascii="Times New Roman" w:cs="Times New Roman" w:eastAsia="Times New Roman" w:hAnsi="Times New Roman"/>
          <w:sz w:val="32"/>
          <w:szCs w:val="32"/>
          <w:color w:val="0000FF"/>
          <w:vertAlign w:val="subscript"/>
        </w:rPr>
        <w:t>04/16/2026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William Haslam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85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59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55943"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2026-04-16T13:25:55Z</dcterms:created>
  <dcterms:modified xsi:type="dcterms:W3CDTF">2026-04-16T13:25:55Z</dcterms:modified>
</cp:coreProperties>
</file>